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adjustRightInd/>
        <w:spacing w:line="400" w:lineRule="atLeast"/>
        <w:jc w:val="center"/>
        <w:textAlignment w:val="auto"/>
        <w:rPr>
          <w:rFonts w:eastAsia="文鼎粗行楷体简"/>
          <w:b/>
          <w:kern w:val="2"/>
          <w:sz w:val="48"/>
          <w:szCs w:val="48"/>
        </w:rPr>
      </w:pPr>
    </w:p>
    <w:p>
      <w:pPr>
        <w:autoSpaceDE/>
        <w:autoSpaceDN/>
        <w:adjustRightInd/>
        <w:spacing w:line="400" w:lineRule="atLeast"/>
        <w:textAlignment w:val="auto"/>
        <w:rPr>
          <w:rFonts w:eastAsia="文鼎粗行楷体简"/>
          <w:b/>
          <w:kern w:val="2"/>
          <w:sz w:val="48"/>
          <w:szCs w:val="48"/>
        </w:rPr>
      </w:pPr>
    </w:p>
    <w:p>
      <w:pPr>
        <w:autoSpaceDE/>
        <w:autoSpaceDN/>
        <w:adjustRightInd/>
        <w:spacing w:line="400" w:lineRule="atLeast"/>
        <w:jc w:val="center"/>
        <w:textAlignment w:val="auto"/>
        <w:rPr>
          <w:rFonts w:eastAsia="文鼎粗行楷体简"/>
          <w:b/>
          <w:kern w:val="2"/>
          <w:sz w:val="48"/>
          <w:szCs w:val="48"/>
        </w:rPr>
      </w:pPr>
      <w:r>
        <w:rPr>
          <w:rFonts w:hint="eastAsia" w:eastAsia="文鼎粗行楷体简"/>
          <w:b/>
          <w:kern w:val="2"/>
          <w:sz w:val="48"/>
          <w:szCs w:val="48"/>
        </w:rPr>
        <w:t>厦门同集热电有限公司</w:t>
      </w:r>
    </w:p>
    <w:p>
      <w:pPr>
        <w:autoSpaceDE/>
        <w:autoSpaceDN/>
        <w:adjustRightInd/>
        <w:spacing w:line="360" w:lineRule="auto"/>
        <w:jc w:val="center"/>
        <w:textAlignment w:val="auto"/>
        <w:rPr>
          <w:rFonts w:eastAsia="文鼎粗行楷体简"/>
          <w:b/>
          <w:kern w:val="2"/>
          <w:sz w:val="44"/>
          <w:szCs w:val="44"/>
        </w:rPr>
      </w:pPr>
    </w:p>
    <w:p>
      <w:pPr>
        <w:autoSpaceDE/>
        <w:autoSpaceDN/>
        <w:adjustRightInd/>
        <w:spacing w:line="360" w:lineRule="auto"/>
        <w:jc w:val="center"/>
        <w:textAlignment w:val="auto"/>
        <w:rPr>
          <w:rFonts w:eastAsia="文鼎粗行楷体简"/>
          <w:b/>
          <w:kern w:val="2"/>
          <w:sz w:val="44"/>
          <w:szCs w:val="44"/>
        </w:rPr>
      </w:pPr>
      <w:r>
        <w:rPr>
          <w:rFonts w:hint="eastAsia" w:eastAsia="文鼎粗行楷体简"/>
          <w:b/>
          <w:kern w:val="2"/>
          <w:sz w:val="44"/>
          <w:szCs w:val="44"/>
        </w:rPr>
        <w:t>2024年-2025年环保自行监测项目</w:t>
      </w:r>
    </w:p>
    <w:p>
      <w:pPr>
        <w:autoSpaceDE/>
        <w:autoSpaceDN/>
        <w:adjustRightInd/>
        <w:spacing w:line="400" w:lineRule="atLeast"/>
        <w:jc w:val="center"/>
        <w:textAlignment w:val="auto"/>
        <w:rPr>
          <w:rFonts w:eastAsia="文鼎粗行楷体简"/>
          <w:b/>
          <w:kern w:val="2"/>
          <w:sz w:val="52"/>
          <w:szCs w:val="52"/>
        </w:rPr>
      </w:pPr>
    </w:p>
    <w:p>
      <w:pPr>
        <w:autoSpaceDE/>
        <w:autoSpaceDN/>
        <w:adjustRightInd/>
        <w:spacing w:line="400" w:lineRule="atLeast"/>
        <w:jc w:val="center"/>
        <w:textAlignment w:val="auto"/>
        <w:rPr>
          <w:rFonts w:eastAsia="文鼎粗行楷体简"/>
          <w:b/>
          <w:kern w:val="2"/>
          <w:sz w:val="52"/>
          <w:szCs w:val="52"/>
        </w:rPr>
      </w:pPr>
      <w:r>
        <w:rPr>
          <w:rFonts w:hint="eastAsia" w:eastAsia="文鼎粗行楷体简"/>
          <w:b/>
          <w:kern w:val="2"/>
          <w:sz w:val="44"/>
          <w:szCs w:val="44"/>
        </w:rPr>
        <w:t>竞争性谈判文件</w:t>
      </w:r>
    </w:p>
    <w:p>
      <w:pPr>
        <w:autoSpaceDE/>
        <w:autoSpaceDN/>
        <w:adjustRightInd/>
        <w:spacing w:line="400" w:lineRule="atLeast"/>
        <w:jc w:val="center"/>
        <w:textAlignment w:val="auto"/>
        <w:rPr>
          <w:rFonts w:eastAsia="文鼎粗行楷体简"/>
          <w:b/>
          <w:kern w:val="2"/>
          <w:sz w:val="52"/>
          <w:szCs w:val="52"/>
        </w:rPr>
      </w:pPr>
    </w:p>
    <w:p>
      <w:pPr>
        <w:autoSpaceDE/>
        <w:autoSpaceDN/>
        <w:adjustRightInd/>
        <w:spacing w:line="400" w:lineRule="atLeast"/>
        <w:jc w:val="center"/>
        <w:textAlignment w:val="auto"/>
        <w:rPr>
          <w:rFonts w:eastAsia="文鼎粗行楷体简"/>
          <w:b/>
          <w:kern w:val="2"/>
          <w:sz w:val="52"/>
          <w:szCs w:val="52"/>
        </w:rPr>
      </w:pPr>
    </w:p>
    <w:p>
      <w:pPr>
        <w:autoSpaceDE/>
        <w:autoSpaceDN/>
        <w:adjustRightInd/>
        <w:spacing w:line="400" w:lineRule="atLeast"/>
        <w:jc w:val="center"/>
        <w:textAlignment w:val="auto"/>
        <w:rPr>
          <w:rFonts w:eastAsia="文鼎粗行楷体简"/>
          <w:b/>
          <w:kern w:val="2"/>
          <w:sz w:val="32"/>
          <w:szCs w:val="22"/>
        </w:rPr>
      </w:pPr>
    </w:p>
    <w:p>
      <w:pPr>
        <w:autoSpaceDE/>
        <w:autoSpaceDN/>
        <w:adjustRightInd/>
        <w:spacing w:line="400" w:lineRule="atLeast"/>
        <w:jc w:val="center"/>
        <w:textAlignment w:val="auto"/>
        <w:rPr>
          <w:b/>
          <w:color w:val="FF0000"/>
          <w:kern w:val="2"/>
          <w:sz w:val="32"/>
          <w:szCs w:val="22"/>
        </w:rPr>
      </w:pPr>
      <w:r>
        <w:rPr>
          <w:rFonts w:hint="eastAsia"/>
          <w:kern w:val="2"/>
          <w:sz w:val="32"/>
          <w:szCs w:val="32"/>
        </w:rPr>
        <w:t>项目编号：承揽140[2023]010</w:t>
      </w: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tabs>
          <w:tab w:val="left" w:pos="6902"/>
        </w:tabs>
        <w:autoSpaceDE/>
        <w:autoSpaceDN/>
        <w:adjustRightInd/>
        <w:spacing w:line="400" w:lineRule="atLeast"/>
        <w:jc w:val="center"/>
        <w:textAlignment w:val="auto"/>
        <w:rPr>
          <w:b/>
          <w:kern w:val="2"/>
          <w:sz w:val="32"/>
          <w:szCs w:val="22"/>
        </w:rPr>
      </w:pPr>
    </w:p>
    <w:p>
      <w:pPr>
        <w:autoSpaceDE/>
        <w:autoSpaceDN/>
        <w:adjustRightInd/>
        <w:spacing w:line="400" w:lineRule="atLeast"/>
        <w:jc w:val="center"/>
        <w:textAlignment w:val="auto"/>
        <w:rPr>
          <w:b/>
          <w:kern w:val="2"/>
          <w:sz w:val="32"/>
          <w:szCs w:val="22"/>
        </w:rPr>
      </w:pPr>
    </w:p>
    <w:p>
      <w:pPr>
        <w:autoSpaceDE/>
        <w:autoSpaceDN/>
        <w:snapToGrid w:val="0"/>
        <w:spacing w:line="400" w:lineRule="atLeast"/>
        <w:jc w:val="center"/>
        <w:textAlignment w:val="auto"/>
        <w:rPr>
          <w:b/>
          <w:bCs/>
          <w:kern w:val="2"/>
          <w:sz w:val="35"/>
          <w:szCs w:val="35"/>
        </w:rPr>
      </w:pPr>
      <w:r>
        <w:rPr>
          <w:rFonts w:hint="eastAsia"/>
          <w:b/>
          <w:bCs/>
          <w:kern w:val="2"/>
          <w:sz w:val="35"/>
          <w:szCs w:val="35"/>
        </w:rPr>
        <w:t>厦门同集热电有限公司</w:t>
      </w:r>
    </w:p>
    <w:p>
      <w:pPr>
        <w:spacing w:line="400" w:lineRule="atLeast"/>
        <w:jc w:val="center"/>
        <w:rPr>
          <w:bCs/>
          <w:sz w:val="29"/>
          <w:szCs w:val="29"/>
        </w:rPr>
        <w:sectPr>
          <w:footerReference r:id="rId8" w:type="first"/>
          <w:footerReference r:id="rId6" w:type="default"/>
          <w:headerReference r:id="rId5" w:type="even"/>
          <w:footerReference r:id="rId7" w:type="even"/>
          <w:pgSz w:w="11906" w:h="16838"/>
          <w:pgMar w:top="1417" w:right="1417" w:bottom="1134" w:left="1417" w:header="794" w:footer="794" w:gutter="0"/>
          <w:cols w:space="720" w:num="1"/>
          <w:docGrid w:linePitch="312" w:charSpace="0"/>
        </w:sectPr>
      </w:pPr>
      <w:r>
        <w:rPr>
          <w:rFonts w:hint="eastAsia"/>
          <w:b/>
          <w:bCs/>
          <w:kern w:val="2"/>
          <w:sz w:val="35"/>
          <w:szCs w:val="35"/>
        </w:rPr>
        <w:t>2023年11月</w:t>
      </w:r>
    </w:p>
    <w:p>
      <w:pPr>
        <w:numPr>
          <w:ilvl w:val="0"/>
          <w:numId w:val="1"/>
        </w:numPr>
        <w:spacing w:beforeLines="50" w:line="400" w:lineRule="atLeast"/>
        <w:ind w:left="68"/>
        <w:jc w:val="center"/>
        <w:rPr>
          <w:rFonts w:ascii="宋体" w:hAnsi="宋体"/>
          <w:b/>
          <w:bCs/>
          <w:sz w:val="28"/>
          <w:szCs w:val="28"/>
        </w:rPr>
      </w:pPr>
      <w:r>
        <w:rPr>
          <w:rFonts w:hint="eastAsia" w:ascii="宋体" w:hAnsi="宋体"/>
          <w:b/>
          <w:bCs/>
          <w:sz w:val="28"/>
          <w:szCs w:val="28"/>
        </w:rPr>
        <w:t>采购邀请书</w:t>
      </w:r>
    </w:p>
    <w:p>
      <w:pPr>
        <w:snapToGrid w:val="0"/>
        <w:spacing w:line="400" w:lineRule="atLeast"/>
        <w:ind w:left="105" w:leftChars="50" w:right="105" w:rightChars="50" w:firstLine="480" w:firstLineChars="200"/>
        <w:jc w:val="left"/>
        <w:rPr>
          <w:rFonts w:ascii="宋体" w:hAnsi="宋体" w:cs="宋体"/>
          <w:sz w:val="24"/>
          <w:szCs w:val="24"/>
        </w:rPr>
      </w:pPr>
      <w:r>
        <w:rPr>
          <w:rFonts w:hint="eastAsia" w:ascii="宋体" w:hAnsi="宋体" w:cs="宋体"/>
          <w:sz w:val="24"/>
          <w:szCs w:val="24"/>
        </w:rPr>
        <w:t>厦门同集热电有限公司对</w:t>
      </w:r>
      <w:r>
        <w:rPr>
          <w:rFonts w:hint="eastAsia" w:ascii="宋体" w:hAnsi="宋体" w:cs="宋体"/>
          <w:b/>
          <w:spacing w:val="10"/>
          <w:kern w:val="2"/>
          <w:sz w:val="24"/>
          <w:szCs w:val="24"/>
          <w:u w:val="single"/>
        </w:rPr>
        <w:t>2024年-2025年环保自行监测项目</w:t>
      </w:r>
      <w:r>
        <w:rPr>
          <w:rFonts w:hint="eastAsia" w:ascii="宋体" w:hAnsi="宋体"/>
          <w:sz w:val="24"/>
          <w:szCs w:val="24"/>
        </w:rPr>
        <w:t>竞争性谈判采购</w:t>
      </w:r>
      <w:r>
        <w:rPr>
          <w:rFonts w:hint="eastAsia" w:ascii="宋体" w:hAnsi="宋体" w:cs="宋体"/>
          <w:sz w:val="24"/>
          <w:szCs w:val="24"/>
        </w:rPr>
        <w:t>，</w:t>
      </w:r>
      <w:r>
        <w:rPr>
          <w:rFonts w:hint="eastAsia" w:ascii="宋体" w:hAnsi="宋体"/>
          <w:sz w:val="24"/>
          <w:szCs w:val="24"/>
        </w:rPr>
        <w:t>欢迎具备相应资质的合格供应商参与本项目的报价。</w:t>
      </w:r>
    </w:p>
    <w:p>
      <w:pPr>
        <w:numPr>
          <w:ilvl w:val="0"/>
          <w:numId w:val="2"/>
        </w:numPr>
        <w:autoSpaceDE/>
        <w:autoSpaceDN/>
        <w:snapToGrid w:val="0"/>
        <w:spacing w:line="400" w:lineRule="atLeast"/>
        <w:ind w:right="105" w:rightChars="50"/>
        <w:jc w:val="left"/>
        <w:textAlignment w:val="auto"/>
      </w:pPr>
      <w:r>
        <w:rPr>
          <w:rFonts w:hint="eastAsia" w:ascii="宋体" w:hAnsi="宋体"/>
          <w:b/>
          <w:bCs/>
          <w:sz w:val="24"/>
          <w:szCs w:val="24"/>
        </w:rPr>
        <w:t>项目概况</w:t>
      </w:r>
    </w:p>
    <w:p>
      <w:pPr>
        <w:pStyle w:val="4"/>
        <w:keepNext w:val="0"/>
        <w:keepLines w:val="0"/>
        <w:numPr>
          <w:ilvl w:val="0"/>
          <w:numId w:val="3"/>
        </w:numPr>
        <w:kinsoku w:val="0"/>
        <w:overflowPunct w:val="0"/>
        <w:autoSpaceDE w:val="0"/>
        <w:autoSpaceDN w:val="0"/>
        <w:adjustRightInd/>
        <w:spacing w:line="400" w:lineRule="atLeast"/>
        <w:jc w:val="both"/>
        <w:textAlignment w:val="auto"/>
        <w:rPr>
          <w:rFonts w:ascii="宋体" w:hAnsi="宋体" w:eastAsia="宋体"/>
          <w:b w:val="0"/>
          <w:sz w:val="24"/>
          <w:szCs w:val="24"/>
        </w:rPr>
      </w:pPr>
      <w:r>
        <w:rPr>
          <w:rFonts w:hint="eastAsia" w:ascii="宋体" w:hAnsi="宋体" w:eastAsia="宋体"/>
          <w:b w:val="0"/>
          <w:sz w:val="24"/>
          <w:szCs w:val="24"/>
        </w:rPr>
        <w:t>项目名称：2024年-2025年环保自行监测项目</w:t>
      </w:r>
    </w:p>
    <w:p>
      <w:pPr>
        <w:pStyle w:val="4"/>
        <w:keepNext w:val="0"/>
        <w:keepLines w:val="0"/>
        <w:numPr>
          <w:ilvl w:val="0"/>
          <w:numId w:val="3"/>
        </w:numPr>
        <w:kinsoku w:val="0"/>
        <w:overflowPunct w:val="0"/>
        <w:autoSpaceDE w:val="0"/>
        <w:autoSpaceDN w:val="0"/>
        <w:adjustRightInd/>
        <w:spacing w:line="400" w:lineRule="atLeast"/>
        <w:jc w:val="both"/>
        <w:textAlignment w:val="auto"/>
        <w:rPr>
          <w:rFonts w:ascii="宋体" w:hAnsi="宋体" w:eastAsia="宋体"/>
          <w:b w:val="0"/>
          <w:bCs/>
          <w:sz w:val="24"/>
          <w:szCs w:val="24"/>
        </w:rPr>
      </w:pPr>
      <w:r>
        <w:rPr>
          <w:rFonts w:hint="eastAsia" w:ascii="宋体" w:hAnsi="宋体" w:eastAsia="宋体"/>
          <w:b w:val="0"/>
          <w:sz w:val="24"/>
          <w:szCs w:val="24"/>
        </w:rPr>
        <w:t>项目地点：</w:t>
      </w:r>
      <w:r>
        <w:rPr>
          <w:rFonts w:hint="eastAsia" w:ascii="宋体" w:hAnsi="宋体" w:eastAsia="宋体"/>
          <w:b w:val="0"/>
          <w:bCs/>
          <w:sz w:val="24"/>
          <w:szCs w:val="24"/>
        </w:rPr>
        <w:t>厦门同集热电有限公司</w:t>
      </w:r>
    </w:p>
    <w:p>
      <w:pPr>
        <w:pStyle w:val="4"/>
        <w:keepNext w:val="0"/>
        <w:keepLines w:val="0"/>
        <w:numPr>
          <w:ilvl w:val="0"/>
          <w:numId w:val="3"/>
        </w:numPr>
        <w:kinsoku w:val="0"/>
        <w:overflowPunct w:val="0"/>
        <w:autoSpaceDE w:val="0"/>
        <w:autoSpaceDN w:val="0"/>
        <w:adjustRightInd/>
        <w:spacing w:line="400" w:lineRule="atLeast"/>
        <w:jc w:val="both"/>
        <w:textAlignment w:val="auto"/>
        <w:rPr>
          <w:rFonts w:ascii="宋体" w:hAnsi="宋体" w:eastAsia="宋体"/>
          <w:b w:val="0"/>
          <w:sz w:val="24"/>
          <w:szCs w:val="24"/>
        </w:rPr>
      </w:pPr>
      <w:r>
        <w:rPr>
          <w:rFonts w:hint="eastAsia" w:ascii="宋体" w:hAnsi="宋体" w:eastAsia="宋体"/>
          <w:b w:val="0"/>
          <w:sz w:val="24"/>
          <w:szCs w:val="24"/>
        </w:rPr>
        <w:t>资金来源：国有企业自筹资金</w:t>
      </w:r>
    </w:p>
    <w:p>
      <w:pPr>
        <w:pStyle w:val="4"/>
        <w:keepNext w:val="0"/>
        <w:keepLines w:val="0"/>
        <w:numPr>
          <w:ilvl w:val="0"/>
          <w:numId w:val="3"/>
        </w:numPr>
        <w:kinsoku w:val="0"/>
        <w:overflowPunct w:val="0"/>
        <w:autoSpaceDE w:val="0"/>
        <w:autoSpaceDN w:val="0"/>
        <w:adjustRightInd/>
        <w:spacing w:line="400" w:lineRule="atLeast"/>
        <w:jc w:val="both"/>
        <w:textAlignment w:val="auto"/>
        <w:rPr>
          <w:rFonts w:ascii="宋体" w:hAnsi="宋体" w:eastAsia="宋体"/>
          <w:b w:val="0"/>
          <w:bCs/>
          <w:sz w:val="24"/>
          <w:szCs w:val="24"/>
        </w:rPr>
      </w:pPr>
      <w:r>
        <w:rPr>
          <w:rFonts w:hint="eastAsia" w:ascii="宋体" w:hAnsi="宋体" w:eastAsia="宋体"/>
          <w:b w:val="0"/>
          <w:sz w:val="24"/>
          <w:szCs w:val="24"/>
        </w:rPr>
        <w:t>服务周</w:t>
      </w:r>
      <w:r>
        <w:rPr>
          <w:rFonts w:hint="eastAsia" w:ascii="宋体" w:hAnsi="宋体" w:eastAsia="宋体"/>
          <w:b w:val="0"/>
          <w:bCs/>
          <w:sz w:val="24"/>
          <w:szCs w:val="24"/>
        </w:rPr>
        <w:t>期：2024年1月-2025年12月</w:t>
      </w:r>
    </w:p>
    <w:p>
      <w:pPr>
        <w:pStyle w:val="2"/>
      </w:pPr>
    </w:p>
    <w:p>
      <w:pPr>
        <w:numPr>
          <w:ilvl w:val="0"/>
          <w:numId w:val="2"/>
        </w:numPr>
        <w:autoSpaceDE/>
        <w:autoSpaceDN/>
        <w:snapToGrid w:val="0"/>
        <w:spacing w:line="400" w:lineRule="atLeast"/>
        <w:ind w:right="105" w:rightChars="50"/>
        <w:jc w:val="left"/>
        <w:textAlignment w:val="auto"/>
        <w:rPr>
          <w:rFonts w:ascii="宋体" w:hAnsi="宋体"/>
          <w:b/>
          <w:bCs/>
          <w:sz w:val="24"/>
          <w:szCs w:val="24"/>
        </w:rPr>
      </w:pPr>
      <w:r>
        <w:rPr>
          <w:rFonts w:hint="eastAsia" w:ascii="宋体" w:hAnsi="宋体"/>
          <w:b/>
          <w:bCs/>
          <w:sz w:val="24"/>
          <w:szCs w:val="24"/>
        </w:rPr>
        <w:t>报价方资格要求</w:t>
      </w:r>
      <w:r>
        <w:rPr>
          <w:rFonts w:hint="eastAsia" w:ascii="宋体" w:hAnsi="宋体"/>
          <w:b/>
          <w:bCs/>
          <w:sz w:val="24"/>
          <w:szCs w:val="24"/>
        </w:rPr>
        <w:tab/>
      </w:r>
    </w:p>
    <w:p>
      <w:pPr>
        <w:pStyle w:val="4"/>
        <w:keepNext w:val="0"/>
        <w:keepLines w:val="0"/>
        <w:numPr>
          <w:ilvl w:val="0"/>
          <w:numId w:val="4"/>
        </w:numPr>
        <w:kinsoku w:val="0"/>
        <w:overflowPunct w:val="0"/>
        <w:autoSpaceDE w:val="0"/>
        <w:autoSpaceDN w:val="0"/>
        <w:adjustRightInd/>
        <w:spacing w:line="400" w:lineRule="atLeast"/>
        <w:jc w:val="both"/>
        <w:textAlignment w:val="auto"/>
        <w:rPr>
          <w:rFonts w:ascii="宋体" w:hAnsi="宋体" w:eastAsia="宋体"/>
          <w:b w:val="0"/>
          <w:sz w:val="24"/>
          <w:szCs w:val="24"/>
        </w:rPr>
      </w:pPr>
      <w:r>
        <w:rPr>
          <w:rFonts w:hint="eastAsia" w:ascii="宋体" w:hAnsi="宋体" w:eastAsia="宋体"/>
          <w:b w:val="0"/>
          <w:sz w:val="24"/>
          <w:szCs w:val="24"/>
        </w:rPr>
        <w:t>响应谈判文件、参加报价竞争的中华人民共和国境内的企业法人，且具有独立订立合同的权力，提供营业执照和资质证书复印件并加盖公章。</w:t>
      </w:r>
    </w:p>
    <w:p>
      <w:pPr>
        <w:pStyle w:val="4"/>
        <w:keepNext w:val="0"/>
        <w:keepLines w:val="0"/>
        <w:numPr>
          <w:ilvl w:val="0"/>
          <w:numId w:val="4"/>
        </w:numPr>
        <w:kinsoku w:val="0"/>
        <w:overflowPunct w:val="0"/>
        <w:autoSpaceDE w:val="0"/>
        <w:autoSpaceDN w:val="0"/>
        <w:adjustRightInd/>
        <w:spacing w:line="400" w:lineRule="atLeast"/>
        <w:jc w:val="both"/>
        <w:textAlignment w:val="auto"/>
        <w:rPr>
          <w:rFonts w:ascii="宋体" w:hAnsi="宋体" w:eastAsia="宋体"/>
          <w:b w:val="0"/>
          <w:sz w:val="24"/>
          <w:szCs w:val="24"/>
        </w:rPr>
      </w:pPr>
      <w:r>
        <w:rPr>
          <w:rFonts w:hint="eastAsia" w:ascii="宋体" w:hAnsi="宋体" w:eastAsia="宋体"/>
          <w:b w:val="0"/>
          <w:sz w:val="24"/>
          <w:szCs w:val="24"/>
        </w:rPr>
        <w:t>具备“CMA”认证资质。资质范围需涵盖我司本次招标所有的污染物指标监测。</w:t>
      </w:r>
    </w:p>
    <w:p>
      <w:pPr>
        <w:pStyle w:val="4"/>
        <w:keepNext w:val="0"/>
        <w:keepLines w:val="0"/>
        <w:numPr>
          <w:ilvl w:val="0"/>
          <w:numId w:val="4"/>
        </w:numPr>
        <w:kinsoku w:val="0"/>
        <w:overflowPunct w:val="0"/>
        <w:autoSpaceDE w:val="0"/>
        <w:autoSpaceDN w:val="0"/>
        <w:adjustRightInd/>
        <w:spacing w:line="400" w:lineRule="atLeast"/>
        <w:jc w:val="both"/>
        <w:textAlignment w:val="auto"/>
        <w:rPr>
          <w:rFonts w:ascii="宋体" w:hAnsi="宋体" w:eastAsia="宋体"/>
          <w:b w:val="0"/>
          <w:sz w:val="24"/>
          <w:szCs w:val="24"/>
        </w:rPr>
      </w:pPr>
      <w:r>
        <w:rPr>
          <w:rFonts w:hint="eastAsia" w:ascii="宋体" w:hAnsi="宋体" w:eastAsia="宋体"/>
          <w:b w:val="0"/>
          <w:sz w:val="24"/>
          <w:szCs w:val="24"/>
        </w:rPr>
        <w:t>自2021年1月1日起，具有2项</w:t>
      </w:r>
      <w:r>
        <w:rPr>
          <w:rFonts w:hint="eastAsia" w:ascii="宋体" w:hAnsi="宋体" w:eastAsia="宋体"/>
          <w:b w:val="0"/>
          <w:sz w:val="24"/>
          <w:szCs w:val="24"/>
          <w:lang w:eastAsia="zh-CN"/>
        </w:rPr>
        <w:t>（</w:t>
      </w:r>
      <w:r>
        <w:rPr>
          <w:rFonts w:hint="eastAsia" w:ascii="宋体" w:hAnsi="宋体" w:eastAsia="宋体"/>
          <w:b w:val="0"/>
          <w:sz w:val="24"/>
          <w:szCs w:val="24"/>
          <w:lang w:val="en-US" w:eastAsia="zh-CN"/>
        </w:rPr>
        <w:t>含）</w:t>
      </w:r>
      <w:r>
        <w:rPr>
          <w:rFonts w:hint="eastAsia" w:ascii="宋体" w:hAnsi="宋体" w:eastAsia="宋体"/>
          <w:b w:val="0"/>
          <w:sz w:val="24"/>
          <w:szCs w:val="24"/>
        </w:rPr>
        <w:t>类似监测服务业绩，提供业绩合同复印件并加盖公章。</w:t>
      </w:r>
    </w:p>
    <w:p>
      <w:pPr>
        <w:pStyle w:val="4"/>
        <w:keepNext w:val="0"/>
        <w:keepLines w:val="0"/>
        <w:numPr>
          <w:ilvl w:val="0"/>
          <w:numId w:val="4"/>
        </w:numPr>
        <w:kinsoku w:val="0"/>
        <w:overflowPunct w:val="0"/>
        <w:autoSpaceDE w:val="0"/>
        <w:autoSpaceDN w:val="0"/>
        <w:adjustRightInd/>
        <w:spacing w:line="400" w:lineRule="atLeast"/>
        <w:jc w:val="both"/>
        <w:textAlignment w:val="auto"/>
        <w:rPr>
          <w:rFonts w:ascii="宋体" w:hAnsi="宋体"/>
          <w:bCs/>
          <w:sz w:val="24"/>
          <w:szCs w:val="24"/>
        </w:rPr>
      </w:pPr>
      <w:r>
        <w:rPr>
          <w:rFonts w:hint="eastAsia" w:ascii="宋体" w:hAnsi="宋体" w:eastAsia="宋体"/>
          <w:b w:val="0"/>
          <w:sz w:val="24"/>
          <w:szCs w:val="24"/>
        </w:rPr>
        <w:t>报价方若为法定代表人须提供身份证复印件并加盖公章；报价方若为授权代理人，须提供法人授权委托书及被委托人身份证复印件并盖公章。</w:t>
      </w:r>
    </w:p>
    <w:p>
      <w:pPr>
        <w:numPr>
          <w:ilvl w:val="0"/>
          <w:numId w:val="2"/>
        </w:numPr>
        <w:autoSpaceDE/>
        <w:autoSpaceDN/>
        <w:snapToGrid w:val="0"/>
        <w:spacing w:line="400" w:lineRule="atLeast"/>
        <w:ind w:right="105" w:rightChars="50"/>
        <w:jc w:val="left"/>
        <w:textAlignment w:val="auto"/>
        <w:rPr>
          <w:rFonts w:ascii="宋体" w:hAnsi="宋体"/>
          <w:b/>
          <w:bCs/>
          <w:sz w:val="24"/>
          <w:szCs w:val="24"/>
        </w:rPr>
      </w:pPr>
      <w:bookmarkStart w:id="0" w:name="_Toc12893_WPSOffice_Level2"/>
      <w:bookmarkStart w:id="1" w:name="_Toc2134_WPSOffice_Level2"/>
      <w:bookmarkStart w:id="2" w:name="_Toc15058_WPSOffice_Level2"/>
      <w:r>
        <w:rPr>
          <w:rFonts w:hint="eastAsia" w:ascii="宋体" w:hAnsi="宋体"/>
          <w:b/>
          <w:bCs/>
          <w:sz w:val="24"/>
          <w:szCs w:val="24"/>
        </w:rPr>
        <w:t>报价截止时间</w:t>
      </w:r>
      <w:bookmarkEnd w:id="0"/>
      <w:bookmarkEnd w:id="1"/>
    </w:p>
    <w:bookmarkEnd w:id="2"/>
    <w:p>
      <w:pPr>
        <w:pStyle w:val="4"/>
        <w:keepNext w:val="0"/>
        <w:keepLines w:val="0"/>
        <w:numPr>
          <w:ilvl w:val="0"/>
          <w:numId w:val="5"/>
        </w:numPr>
        <w:tabs>
          <w:tab w:val="left" w:pos="0"/>
        </w:tabs>
        <w:kinsoku w:val="0"/>
        <w:overflowPunct w:val="0"/>
        <w:autoSpaceDE w:val="0"/>
        <w:autoSpaceDN w:val="0"/>
        <w:adjustRightInd/>
        <w:spacing w:line="400" w:lineRule="atLeast"/>
        <w:jc w:val="both"/>
        <w:textAlignment w:val="auto"/>
        <w:rPr>
          <w:rFonts w:ascii="宋体" w:hAnsi="宋体" w:eastAsia="宋体"/>
          <w:b w:val="0"/>
          <w:bCs/>
          <w:sz w:val="24"/>
          <w:szCs w:val="24"/>
        </w:rPr>
      </w:pPr>
      <w:bookmarkStart w:id="3" w:name="_Toc10772_WPSOffice_Level2"/>
      <w:bookmarkStart w:id="4" w:name="_Toc22931_WPSOffice_Level2"/>
      <w:bookmarkStart w:id="5" w:name="_Toc17981_WPSOffice_Level2"/>
      <w:r>
        <w:rPr>
          <w:rFonts w:hint="eastAsia" w:ascii="宋体" w:hAnsi="宋体" w:eastAsia="宋体"/>
          <w:b w:val="0"/>
          <w:sz w:val="24"/>
          <w:szCs w:val="24"/>
        </w:rPr>
        <w:t>报价文件须于2023年</w:t>
      </w:r>
      <w:r>
        <w:rPr>
          <w:rFonts w:hint="eastAsia" w:ascii="宋体" w:hAnsi="宋体" w:eastAsia="宋体"/>
          <w:b w:val="0"/>
          <w:sz w:val="24"/>
          <w:szCs w:val="24"/>
          <w:lang w:val="en-US" w:eastAsia="zh-CN"/>
        </w:rPr>
        <w:t>12</w:t>
      </w:r>
      <w:r>
        <w:rPr>
          <w:rFonts w:hint="eastAsia" w:ascii="宋体" w:hAnsi="宋体" w:eastAsia="宋体"/>
          <w:b w:val="0"/>
          <w:sz w:val="24"/>
          <w:szCs w:val="24"/>
        </w:rPr>
        <w:t xml:space="preserve"> 月</w:t>
      </w:r>
      <w:r>
        <w:rPr>
          <w:rFonts w:hint="eastAsia" w:ascii="宋体" w:hAnsi="宋体" w:eastAsia="宋体"/>
          <w:b w:val="0"/>
          <w:sz w:val="24"/>
          <w:szCs w:val="24"/>
          <w:lang w:val="en-US" w:eastAsia="zh-CN"/>
        </w:rPr>
        <w:t>21</w:t>
      </w:r>
      <w:r>
        <w:rPr>
          <w:rFonts w:hint="eastAsia" w:ascii="宋体" w:hAnsi="宋体" w:eastAsia="宋体"/>
          <w:b w:val="0"/>
          <w:sz w:val="24"/>
          <w:szCs w:val="24"/>
        </w:rPr>
        <w:t xml:space="preserve"> 日</w:t>
      </w:r>
      <w:r>
        <w:rPr>
          <w:rFonts w:hint="eastAsia" w:ascii="宋体" w:hAnsi="宋体" w:eastAsia="宋体"/>
          <w:b w:val="0"/>
          <w:sz w:val="24"/>
          <w:szCs w:val="24"/>
          <w:lang w:val="en-US" w:eastAsia="zh-CN"/>
        </w:rPr>
        <w:t>上</w:t>
      </w:r>
      <w:r>
        <w:rPr>
          <w:rFonts w:hint="eastAsia" w:ascii="宋体" w:hAnsi="宋体" w:eastAsia="宋体"/>
          <w:b w:val="0"/>
          <w:sz w:val="24"/>
          <w:szCs w:val="24"/>
        </w:rPr>
        <w:t>午</w:t>
      </w:r>
      <w:r>
        <w:rPr>
          <w:rFonts w:hint="eastAsia" w:ascii="宋体" w:hAnsi="宋体" w:eastAsia="宋体"/>
          <w:b w:val="0"/>
          <w:sz w:val="24"/>
          <w:szCs w:val="24"/>
          <w:lang w:val="en-US" w:eastAsia="zh-CN"/>
        </w:rPr>
        <w:t>10</w:t>
      </w:r>
      <w:r>
        <w:rPr>
          <w:rFonts w:hint="eastAsia" w:ascii="宋体" w:hAnsi="宋体" w:eastAsia="宋体"/>
          <w:b w:val="0"/>
          <w:sz w:val="24"/>
          <w:szCs w:val="24"/>
        </w:rPr>
        <w:t>:00（北京时间）之前提交到厦门市同安区美禾三路399号，厦门同集热电有限公司2楼安全环保部。</w:t>
      </w:r>
    </w:p>
    <w:p>
      <w:pPr>
        <w:pStyle w:val="4"/>
        <w:keepNext w:val="0"/>
        <w:keepLines w:val="0"/>
        <w:numPr>
          <w:ilvl w:val="0"/>
          <w:numId w:val="5"/>
        </w:numPr>
        <w:tabs>
          <w:tab w:val="left" w:pos="0"/>
        </w:tabs>
        <w:kinsoku w:val="0"/>
        <w:overflowPunct w:val="0"/>
        <w:autoSpaceDE w:val="0"/>
        <w:autoSpaceDN w:val="0"/>
        <w:adjustRightInd/>
        <w:spacing w:line="400" w:lineRule="atLeast"/>
        <w:jc w:val="both"/>
        <w:textAlignment w:val="auto"/>
        <w:rPr>
          <w:rFonts w:ascii="宋体" w:hAnsi="宋体" w:eastAsia="宋体"/>
          <w:b w:val="0"/>
          <w:sz w:val="24"/>
          <w:szCs w:val="24"/>
        </w:rPr>
      </w:pPr>
      <w:r>
        <w:rPr>
          <w:rFonts w:hint="eastAsia" w:ascii="宋体" w:hAnsi="宋体" w:eastAsia="宋体"/>
          <w:b w:val="0"/>
          <w:sz w:val="24"/>
          <w:szCs w:val="24"/>
        </w:rPr>
        <w:t>采购方有权拒绝接受迟到的报价文件。</w:t>
      </w:r>
    </w:p>
    <w:p>
      <w:pPr>
        <w:pStyle w:val="4"/>
        <w:keepNext w:val="0"/>
        <w:keepLines w:val="0"/>
        <w:numPr>
          <w:ilvl w:val="0"/>
          <w:numId w:val="5"/>
        </w:numPr>
        <w:tabs>
          <w:tab w:val="left" w:pos="0"/>
        </w:tabs>
        <w:kinsoku w:val="0"/>
        <w:overflowPunct w:val="0"/>
        <w:autoSpaceDE w:val="0"/>
        <w:autoSpaceDN w:val="0"/>
        <w:adjustRightInd/>
        <w:spacing w:line="400" w:lineRule="atLeast"/>
        <w:jc w:val="both"/>
        <w:textAlignment w:val="auto"/>
        <w:rPr>
          <w:rFonts w:ascii="宋体" w:hAnsi="宋体" w:eastAsia="宋体"/>
          <w:b w:val="0"/>
          <w:sz w:val="24"/>
          <w:szCs w:val="24"/>
        </w:rPr>
      </w:pPr>
      <w:r>
        <w:rPr>
          <w:rFonts w:hint="eastAsia" w:ascii="宋体" w:hAnsi="宋体" w:eastAsia="宋体"/>
          <w:b w:val="0"/>
          <w:sz w:val="24"/>
          <w:szCs w:val="24"/>
        </w:rPr>
        <w:t>报价文件须盖单位公章，所有报价文件装入封袋密封后都必须在封口处盖章，并在密封袋上正确标明报价项目名称、同时加盖公章，</w:t>
      </w:r>
      <w:r>
        <w:rPr>
          <w:rFonts w:hint="eastAsia" w:ascii="宋体" w:hAnsi="宋体" w:eastAsia="宋体"/>
          <w:b w:val="0"/>
          <w:color w:val="auto"/>
          <w:sz w:val="24"/>
          <w:szCs w:val="24"/>
        </w:rPr>
        <w:t>否则视为无效。</w:t>
      </w:r>
    </w:p>
    <w:p>
      <w:pPr>
        <w:numPr>
          <w:ilvl w:val="0"/>
          <w:numId w:val="2"/>
        </w:numPr>
        <w:autoSpaceDE/>
        <w:autoSpaceDN/>
        <w:snapToGrid w:val="0"/>
        <w:spacing w:line="400" w:lineRule="atLeast"/>
        <w:ind w:right="105" w:rightChars="50"/>
        <w:jc w:val="left"/>
        <w:textAlignment w:val="auto"/>
        <w:rPr>
          <w:rFonts w:ascii="宋体" w:hAnsi="宋体"/>
          <w:b/>
          <w:bCs/>
          <w:sz w:val="24"/>
          <w:szCs w:val="24"/>
        </w:rPr>
      </w:pPr>
      <w:r>
        <w:rPr>
          <w:rFonts w:hint="eastAsia" w:ascii="宋体" w:hAnsi="宋体"/>
          <w:b/>
          <w:bCs/>
          <w:sz w:val="24"/>
          <w:szCs w:val="24"/>
        </w:rPr>
        <w:t>谈判时间和地点</w:t>
      </w:r>
      <w:bookmarkEnd w:id="3"/>
      <w:bookmarkEnd w:id="4"/>
      <w:bookmarkEnd w:id="5"/>
    </w:p>
    <w:p>
      <w:pPr>
        <w:pStyle w:val="4"/>
        <w:keepNext w:val="0"/>
        <w:keepLines w:val="0"/>
        <w:numPr>
          <w:ilvl w:val="0"/>
          <w:numId w:val="6"/>
        </w:numPr>
        <w:tabs>
          <w:tab w:val="left" w:pos="0"/>
        </w:tabs>
        <w:kinsoku w:val="0"/>
        <w:overflowPunct w:val="0"/>
        <w:autoSpaceDE w:val="0"/>
        <w:autoSpaceDN w:val="0"/>
        <w:adjustRightInd/>
        <w:spacing w:line="400" w:lineRule="atLeast"/>
        <w:jc w:val="both"/>
        <w:textAlignment w:val="auto"/>
        <w:rPr>
          <w:rFonts w:ascii="宋体" w:hAnsi="宋体" w:eastAsia="宋体"/>
          <w:b w:val="0"/>
          <w:sz w:val="24"/>
          <w:szCs w:val="24"/>
        </w:rPr>
      </w:pPr>
      <w:r>
        <w:rPr>
          <w:rFonts w:hint="eastAsia" w:ascii="宋体" w:hAnsi="宋体" w:eastAsia="宋体"/>
          <w:b w:val="0"/>
          <w:sz w:val="24"/>
          <w:szCs w:val="24"/>
        </w:rPr>
        <w:t>采购方将</w:t>
      </w:r>
      <w:r>
        <w:rPr>
          <w:rFonts w:hint="eastAsia" w:ascii="宋体" w:hAnsi="宋体" w:eastAsia="宋体"/>
          <w:b w:val="0"/>
          <w:bCs/>
          <w:sz w:val="24"/>
          <w:szCs w:val="24"/>
        </w:rPr>
        <w:t>于2023年</w:t>
      </w:r>
      <w:r>
        <w:rPr>
          <w:rFonts w:hint="eastAsia" w:ascii="宋体" w:hAnsi="宋体" w:eastAsia="宋体"/>
          <w:b w:val="0"/>
          <w:bCs/>
          <w:sz w:val="24"/>
          <w:szCs w:val="24"/>
          <w:lang w:val="en-US" w:eastAsia="zh-CN"/>
        </w:rPr>
        <w:t>12</w:t>
      </w:r>
      <w:r>
        <w:rPr>
          <w:rFonts w:hint="eastAsia" w:ascii="宋体" w:hAnsi="宋体" w:eastAsia="宋体"/>
          <w:b w:val="0"/>
          <w:bCs/>
          <w:sz w:val="24"/>
          <w:szCs w:val="24"/>
        </w:rPr>
        <w:t xml:space="preserve"> 月</w:t>
      </w:r>
      <w:r>
        <w:rPr>
          <w:rFonts w:hint="eastAsia" w:ascii="宋体" w:hAnsi="宋体" w:eastAsia="宋体"/>
          <w:b w:val="0"/>
          <w:bCs/>
          <w:sz w:val="24"/>
          <w:szCs w:val="24"/>
          <w:lang w:val="en-US" w:eastAsia="zh-CN"/>
        </w:rPr>
        <w:t>21</w:t>
      </w:r>
      <w:r>
        <w:rPr>
          <w:rFonts w:hint="eastAsia" w:ascii="宋体" w:hAnsi="宋体" w:eastAsia="宋体"/>
          <w:b w:val="0"/>
          <w:bCs/>
          <w:sz w:val="24"/>
          <w:szCs w:val="24"/>
        </w:rPr>
        <w:t xml:space="preserve"> 日</w:t>
      </w:r>
      <w:r>
        <w:rPr>
          <w:rFonts w:hint="eastAsia" w:ascii="宋体" w:hAnsi="宋体" w:eastAsia="宋体"/>
          <w:b w:val="0"/>
          <w:bCs/>
          <w:sz w:val="24"/>
          <w:szCs w:val="24"/>
          <w:lang w:val="en-US" w:eastAsia="zh-CN"/>
        </w:rPr>
        <w:t>上</w:t>
      </w:r>
      <w:r>
        <w:rPr>
          <w:rFonts w:hint="eastAsia" w:ascii="宋体" w:hAnsi="宋体" w:eastAsia="宋体"/>
          <w:b w:val="0"/>
          <w:bCs/>
          <w:sz w:val="24"/>
          <w:szCs w:val="24"/>
        </w:rPr>
        <w:t>午</w:t>
      </w:r>
      <w:r>
        <w:rPr>
          <w:rFonts w:hint="eastAsia" w:ascii="宋体" w:hAnsi="宋体" w:eastAsia="宋体"/>
          <w:b w:val="0"/>
          <w:bCs/>
          <w:sz w:val="24"/>
          <w:szCs w:val="24"/>
          <w:lang w:val="en-US" w:eastAsia="zh-CN"/>
        </w:rPr>
        <w:t>10</w:t>
      </w:r>
      <w:r>
        <w:rPr>
          <w:rFonts w:hint="eastAsia" w:ascii="宋体" w:hAnsi="宋体" w:eastAsia="宋体"/>
          <w:b w:val="0"/>
          <w:bCs/>
          <w:sz w:val="24"/>
          <w:szCs w:val="24"/>
        </w:rPr>
        <w:t>:00（北京时间），在厦门市同安区美禾三路399号，厦门同集热电有限公司一楼会议室开标。</w:t>
      </w:r>
    </w:p>
    <w:p>
      <w:pPr>
        <w:numPr>
          <w:ilvl w:val="0"/>
          <w:numId w:val="6"/>
        </w:numPr>
        <w:autoSpaceDE/>
        <w:autoSpaceDN/>
        <w:snapToGrid w:val="0"/>
        <w:spacing w:line="360" w:lineRule="auto"/>
        <w:ind w:right="105" w:rightChars="50"/>
        <w:jc w:val="left"/>
        <w:textAlignment w:val="auto"/>
        <w:rPr>
          <w:rFonts w:ascii="宋体" w:hAnsi="宋体"/>
          <w:sz w:val="24"/>
          <w:szCs w:val="24"/>
        </w:rPr>
      </w:pPr>
      <w:r>
        <w:rPr>
          <w:rFonts w:hint="eastAsia" w:ascii="宋体" w:hAnsi="宋体"/>
          <w:sz w:val="24"/>
          <w:szCs w:val="24"/>
        </w:rPr>
        <w:t>谈判时欢迎所有报价方参加谈判会议，报价方代表应签名以证明其出席谈判会议，谈判代表须出具身份证原件。报价方因故不能派代表出席谈判会议或谈判代表未能出具身份证原件的，视为默认谈判结果。</w:t>
      </w:r>
    </w:p>
    <w:p>
      <w:pPr>
        <w:numPr>
          <w:ilvl w:val="0"/>
          <w:numId w:val="2"/>
        </w:numPr>
        <w:autoSpaceDE/>
        <w:autoSpaceDN/>
        <w:snapToGrid w:val="0"/>
        <w:spacing w:line="400" w:lineRule="atLeast"/>
        <w:ind w:right="105" w:rightChars="50"/>
        <w:jc w:val="left"/>
        <w:textAlignment w:val="auto"/>
        <w:rPr>
          <w:rFonts w:ascii="宋体" w:hAnsi="宋体"/>
          <w:b/>
          <w:bCs/>
          <w:sz w:val="24"/>
          <w:szCs w:val="24"/>
        </w:rPr>
      </w:pPr>
      <w:r>
        <w:rPr>
          <w:rFonts w:hint="eastAsia" w:ascii="宋体" w:hAnsi="宋体"/>
          <w:b/>
          <w:bCs/>
          <w:sz w:val="24"/>
          <w:szCs w:val="24"/>
        </w:rPr>
        <w:t>项目限价：</w:t>
      </w:r>
    </w:p>
    <w:p>
      <w:pPr>
        <w:pStyle w:val="4"/>
        <w:keepNext w:val="0"/>
        <w:keepLines w:val="0"/>
        <w:kinsoku w:val="0"/>
        <w:overflowPunct w:val="0"/>
        <w:autoSpaceDE w:val="0"/>
        <w:autoSpaceDN w:val="0"/>
        <w:adjustRightInd/>
        <w:spacing w:line="400" w:lineRule="atLeast"/>
        <w:ind w:firstLine="522" w:firstLineChars="200"/>
        <w:jc w:val="both"/>
        <w:textAlignment w:val="auto"/>
        <w:rPr>
          <w:rFonts w:ascii="宋体" w:hAnsi="宋体" w:eastAsia="宋体"/>
          <w:bCs/>
          <w:sz w:val="24"/>
          <w:szCs w:val="24"/>
        </w:rPr>
      </w:pPr>
      <w:bookmarkStart w:id="6" w:name="_Toc6408_WPSOffice_Level2"/>
      <w:bookmarkStart w:id="7" w:name="_Toc21862_WPSOffice_Level2"/>
      <w:bookmarkStart w:id="8" w:name="_Toc12744_WPSOffice_Level2"/>
      <w:bookmarkStart w:id="9" w:name="_Toc11729_WPSOffice_Level2"/>
      <w:r>
        <w:rPr>
          <w:rFonts w:hint="eastAsia" w:ascii="宋体" w:hAnsi="宋体" w:eastAsia="宋体"/>
          <w:bCs/>
          <w:sz w:val="24"/>
          <w:szCs w:val="24"/>
        </w:rPr>
        <w:t>本项目设最高限价人民币20万元（含税），报价方所报总价不得超过本项目的最高限价。</w:t>
      </w:r>
    </w:p>
    <w:bookmarkEnd w:id="6"/>
    <w:bookmarkEnd w:id="7"/>
    <w:bookmarkEnd w:id="8"/>
    <w:bookmarkEnd w:id="9"/>
    <w:p>
      <w:pPr>
        <w:numPr>
          <w:ilvl w:val="0"/>
          <w:numId w:val="2"/>
        </w:numPr>
        <w:autoSpaceDE/>
        <w:autoSpaceDN/>
        <w:snapToGrid w:val="0"/>
        <w:spacing w:line="400" w:lineRule="atLeast"/>
        <w:ind w:right="105" w:rightChars="50"/>
        <w:jc w:val="left"/>
        <w:textAlignment w:val="auto"/>
        <w:rPr>
          <w:rFonts w:ascii="宋体" w:hAnsi="宋体"/>
          <w:b/>
          <w:bCs/>
          <w:sz w:val="24"/>
          <w:szCs w:val="24"/>
        </w:rPr>
      </w:pPr>
      <w:bookmarkStart w:id="10" w:name="_Toc4523_WPSOffice_Level2"/>
      <w:bookmarkStart w:id="11" w:name="_Toc29634_WPSOffice_Level2"/>
      <w:bookmarkStart w:id="12" w:name="_Toc21778_WPSOffice_Level2"/>
      <w:bookmarkStart w:id="13" w:name="_Toc7789_WPSOffice_Level2"/>
      <w:r>
        <w:rPr>
          <w:rFonts w:hint="eastAsia" w:ascii="宋体" w:hAnsi="宋体"/>
          <w:b/>
          <w:bCs/>
          <w:sz w:val="24"/>
          <w:szCs w:val="24"/>
        </w:rPr>
        <w:t>谈判规则</w:t>
      </w:r>
    </w:p>
    <w:p>
      <w:pPr>
        <w:snapToGrid w:val="0"/>
        <w:spacing w:line="400" w:lineRule="atLeast"/>
        <w:ind w:right="105"/>
        <w:jc w:val="left"/>
        <w:rPr>
          <w:rFonts w:ascii="宋体" w:hAnsi="宋体"/>
          <w:sz w:val="24"/>
          <w:szCs w:val="24"/>
        </w:rPr>
      </w:pPr>
      <w:r>
        <w:rPr>
          <w:rFonts w:hint="eastAsia" w:ascii="宋体" w:hAnsi="宋体"/>
          <w:sz w:val="24"/>
          <w:szCs w:val="24"/>
        </w:rPr>
        <w:t>6.1、谈判小组对报价方进行资格性和符合性审查，报价方不符合资格性及符合性条款和“*”条款要求，视为无效响应报价文件；</w:t>
      </w:r>
    </w:p>
    <w:p>
      <w:pPr>
        <w:snapToGrid w:val="0"/>
        <w:spacing w:line="400" w:lineRule="atLeast"/>
        <w:ind w:right="105"/>
        <w:jc w:val="left"/>
        <w:rPr>
          <w:rFonts w:ascii="宋体" w:hAnsi="宋体"/>
          <w:sz w:val="24"/>
          <w:szCs w:val="24"/>
        </w:rPr>
      </w:pPr>
      <w:r>
        <w:rPr>
          <w:rFonts w:hint="eastAsia" w:ascii="宋体" w:hAnsi="宋体"/>
          <w:sz w:val="24"/>
          <w:szCs w:val="24"/>
        </w:rPr>
        <w:t>6</w:t>
      </w:r>
      <w:r>
        <w:rPr>
          <w:rFonts w:ascii="宋体" w:hAnsi="宋体"/>
          <w:sz w:val="24"/>
          <w:szCs w:val="24"/>
        </w:rPr>
        <w:t>.</w:t>
      </w:r>
      <w:r>
        <w:rPr>
          <w:rFonts w:hint="eastAsia" w:ascii="宋体" w:hAnsi="宋体"/>
          <w:sz w:val="24"/>
          <w:szCs w:val="24"/>
        </w:rPr>
        <w:t>2、谈判小组在对报价文件的有效性、完整性和响应程度进行审查时，可以要求报价方对报价文件中含义不明确、同类问题表述不一致或者有明显文字和计算错误的内容等作出必要的澄清、说明或者更正。报价方需作出澄清、说明或者更正。符合实质性响应要求的报价方进入谈判程序。</w:t>
      </w:r>
    </w:p>
    <w:p>
      <w:pPr>
        <w:snapToGrid w:val="0"/>
        <w:spacing w:line="400" w:lineRule="atLeast"/>
        <w:ind w:right="105"/>
        <w:jc w:val="left"/>
        <w:rPr>
          <w:rFonts w:ascii="宋体" w:hAnsi="宋体"/>
          <w:sz w:val="24"/>
          <w:szCs w:val="24"/>
        </w:rPr>
      </w:pPr>
      <w:r>
        <w:rPr>
          <w:rFonts w:hint="eastAsia" w:ascii="宋体" w:hAnsi="宋体"/>
          <w:sz w:val="24"/>
          <w:szCs w:val="24"/>
        </w:rPr>
        <w:t>6</w:t>
      </w:r>
      <w:r>
        <w:rPr>
          <w:rFonts w:ascii="宋体" w:hAnsi="宋体"/>
          <w:sz w:val="24"/>
          <w:szCs w:val="24"/>
        </w:rPr>
        <w:t>.3</w:t>
      </w:r>
      <w:r>
        <w:rPr>
          <w:rFonts w:hint="eastAsia" w:ascii="宋体" w:hAnsi="宋体"/>
          <w:sz w:val="24"/>
          <w:szCs w:val="24"/>
        </w:rPr>
        <w:t>、谈判小组从和通过资格和符合性审查且报价最低的前三位报价方进行谈判。谈判小组所有成员应当集中与单一报价方分别进行谈判，谈判顺序采用随机抽取的方法确认。</w:t>
      </w:r>
    </w:p>
    <w:p>
      <w:pPr>
        <w:snapToGrid w:val="0"/>
        <w:spacing w:line="400" w:lineRule="atLeast"/>
        <w:ind w:right="105"/>
        <w:jc w:val="left"/>
        <w:rPr>
          <w:rFonts w:ascii="宋体" w:hAnsi="宋体"/>
          <w:sz w:val="24"/>
          <w:szCs w:val="24"/>
        </w:rPr>
      </w:pPr>
      <w:r>
        <w:rPr>
          <w:rFonts w:hint="eastAsia" w:ascii="宋体" w:hAnsi="宋体"/>
          <w:sz w:val="24"/>
          <w:szCs w:val="24"/>
        </w:rPr>
        <w:t>6</w:t>
      </w:r>
      <w:r>
        <w:rPr>
          <w:rFonts w:ascii="宋体" w:hAnsi="宋体"/>
          <w:sz w:val="24"/>
          <w:szCs w:val="24"/>
        </w:rPr>
        <w:t>.</w:t>
      </w:r>
      <w:r>
        <w:rPr>
          <w:rFonts w:hint="eastAsia" w:ascii="宋体" w:hAnsi="宋体"/>
          <w:sz w:val="24"/>
          <w:szCs w:val="24"/>
        </w:rPr>
        <w:t>4、谈判小组对采购文件和报价文件提出重点的谈判内容，根据采购文件及有关规定，与已递送报价文件的各报价方进行一轮谈判。报价方未到现场，视为维持谈判文件和报价价格不变。</w:t>
      </w:r>
    </w:p>
    <w:p>
      <w:pPr>
        <w:snapToGrid w:val="0"/>
        <w:spacing w:line="400" w:lineRule="atLeast"/>
        <w:ind w:right="105"/>
        <w:jc w:val="left"/>
        <w:rPr>
          <w:rFonts w:ascii="宋体" w:hAnsi="宋体"/>
          <w:sz w:val="24"/>
          <w:szCs w:val="24"/>
        </w:rPr>
      </w:pPr>
      <w:r>
        <w:rPr>
          <w:rFonts w:hint="eastAsia" w:ascii="宋体" w:hAnsi="宋体"/>
          <w:sz w:val="24"/>
          <w:szCs w:val="24"/>
        </w:rPr>
        <w:t>6</w:t>
      </w:r>
      <w:r>
        <w:rPr>
          <w:rFonts w:ascii="宋体" w:hAnsi="宋体"/>
          <w:sz w:val="24"/>
          <w:szCs w:val="24"/>
        </w:rPr>
        <w:t>.</w:t>
      </w:r>
      <w:r>
        <w:rPr>
          <w:rFonts w:hint="eastAsia" w:ascii="宋体" w:hAnsi="宋体"/>
          <w:sz w:val="24"/>
          <w:szCs w:val="24"/>
        </w:rPr>
        <w:t>5、除非采购文件中的技术、服务要求以及合同草案条款有实质性变动的，否则后一次的报价不得高于前一次的报价，若有出现该情况的，则后一次的报价无效，以前一次的报价为准。</w:t>
      </w:r>
    </w:p>
    <w:p>
      <w:pPr>
        <w:snapToGrid w:val="0"/>
        <w:spacing w:line="400" w:lineRule="atLeast"/>
        <w:ind w:right="105"/>
        <w:jc w:val="left"/>
        <w:rPr>
          <w:rFonts w:ascii="宋体" w:hAnsi="宋体"/>
          <w:sz w:val="24"/>
          <w:szCs w:val="24"/>
        </w:rPr>
      </w:pPr>
      <w:r>
        <w:rPr>
          <w:rFonts w:hint="eastAsia" w:ascii="宋体" w:hAnsi="宋体"/>
          <w:sz w:val="24"/>
          <w:szCs w:val="24"/>
        </w:rPr>
        <w:t>6</w:t>
      </w:r>
      <w:r>
        <w:rPr>
          <w:rFonts w:ascii="宋体" w:hAnsi="宋体"/>
          <w:sz w:val="24"/>
          <w:szCs w:val="24"/>
        </w:rPr>
        <w:t>.</w:t>
      </w:r>
      <w:r>
        <w:rPr>
          <w:rFonts w:hint="eastAsia" w:ascii="宋体" w:hAnsi="宋体"/>
          <w:sz w:val="24"/>
          <w:szCs w:val="24"/>
        </w:rPr>
        <w:t>6、响应报价方代表参加谈判并签署报价文件，谈判时应出示身份证原件。</w:t>
      </w:r>
    </w:p>
    <w:p>
      <w:pPr>
        <w:snapToGrid w:val="0"/>
        <w:spacing w:line="400" w:lineRule="atLeast"/>
        <w:ind w:right="105"/>
        <w:jc w:val="left"/>
        <w:rPr>
          <w:rFonts w:ascii="宋体" w:hAnsi="宋体"/>
          <w:sz w:val="24"/>
          <w:szCs w:val="24"/>
        </w:rPr>
      </w:pPr>
      <w:r>
        <w:rPr>
          <w:rFonts w:hint="eastAsia" w:ascii="宋体" w:hAnsi="宋体"/>
          <w:sz w:val="24"/>
          <w:szCs w:val="24"/>
        </w:rPr>
        <w:t>6</w:t>
      </w:r>
      <w:r>
        <w:rPr>
          <w:rFonts w:ascii="宋体" w:hAnsi="宋体"/>
          <w:sz w:val="24"/>
          <w:szCs w:val="24"/>
        </w:rPr>
        <w:t>.</w:t>
      </w:r>
      <w:r>
        <w:rPr>
          <w:rFonts w:hint="eastAsia" w:ascii="宋体" w:hAnsi="宋体"/>
          <w:sz w:val="24"/>
          <w:szCs w:val="24"/>
        </w:rPr>
        <w:t>7、在谈判活动中，有关人员不得透露与谈判有关的一切技术资料、价格和其它信息给其他报价方。</w:t>
      </w:r>
    </w:p>
    <w:p>
      <w:pPr>
        <w:autoSpaceDE/>
        <w:autoSpaceDN/>
        <w:snapToGrid w:val="0"/>
        <w:spacing w:line="400" w:lineRule="atLeast"/>
        <w:ind w:right="105" w:rightChars="50"/>
        <w:jc w:val="left"/>
        <w:textAlignment w:val="auto"/>
        <w:rPr>
          <w:rFonts w:ascii="宋体" w:hAnsi="宋体" w:cs="宋体"/>
          <w:bCs/>
          <w:sz w:val="24"/>
          <w:szCs w:val="24"/>
        </w:rPr>
      </w:pPr>
      <w:r>
        <w:rPr>
          <w:rFonts w:hint="eastAsia" w:ascii="宋体" w:hAnsi="宋体"/>
          <w:sz w:val="24"/>
          <w:szCs w:val="24"/>
        </w:rPr>
        <w:t>6</w:t>
      </w:r>
      <w:r>
        <w:rPr>
          <w:rFonts w:ascii="宋体" w:hAnsi="宋体"/>
          <w:sz w:val="24"/>
          <w:szCs w:val="24"/>
        </w:rPr>
        <w:t>.</w:t>
      </w:r>
      <w:r>
        <w:rPr>
          <w:rFonts w:hint="eastAsia" w:ascii="宋体" w:hAnsi="宋体"/>
          <w:sz w:val="24"/>
          <w:szCs w:val="24"/>
        </w:rPr>
        <w:t>8、通过资格和符合性审查且报价未超过项目限高价的响应报价方在3家及以上的，则按照“成交原则”确定成交候选单位；通过资格和符合性审查且报价未超过项目限高价的响应报价方不足3家但在1家及以上的，如本项目已经过再次公告或邀请，则按照“</w:t>
      </w:r>
      <w:r>
        <w:rPr>
          <w:rFonts w:hint="eastAsia" w:ascii="宋体" w:hAnsi="宋体"/>
          <w:color w:val="FF0000"/>
          <w:sz w:val="24"/>
          <w:szCs w:val="24"/>
        </w:rPr>
        <w:t>成交</w:t>
      </w:r>
      <w:r>
        <w:rPr>
          <w:rFonts w:hint="eastAsia" w:ascii="宋体" w:hAnsi="宋体"/>
          <w:sz w:val="24"/>
          <w:szCs w:val="24"/>
        </w:rPr>
        <w:t>原则”确定成交候选单位，否则本次采购活动终止，采购方将重新发布采购公告。</w:t>
      </w:r>
    </w:p>
    <w:p>
      <w:pPr>
        <w:numPr>
          <w:ilvl w:val="0"/>
          <w:numId w:val="2"/>
        </w:numPr>
        <w:autoSpaceDE/>
        <w:autoSpaceDN/>
        <w:snapToGrid w:val="0"/>
        <w:spacing w:line="400" w:lineRule="atLeast"/>
        <w:ind w:right="105" w:rightChars="50"/>
        <w:jc w:val="left"/>
        <w:textAlignment w:val="auto"/>
        <w:rPr>
          <w:rFonts w:ascii="宋体" w:hAnsi="宋体"/>
          <w:b/>
          <w:bCs/>
          <w:sz w:val="24"/>
          <w:szCs w:val="24"/>
        </w:rPr>
      </w:pPr>
      <w:r>
        <w:rPr>
          <w:rFonts w:hint="eastAsia" w:ascii="宋体" w:hAnsi="宋体"/>
          <w:b/>
          <w:bCs/>
          <w:sz w:val="24"/>
          <w:szCs w:val="24"/>
        </w:rPr>
        <w:t>谈判保证金</w:t>
      </w:r>
    </w:p>
    <w:p>
      <w:pPr>
        <w:autoSpaceDE/>
        <w:autoSpaceDN/>
        <w:snapToGrid w:val="0"/>
        <w:spacing w:line="400" w:lineRule="atLeast"/>
        <w:ind w:right="105" w:rightChars="50"/>
        <w:jc w:val="left"/>
        <w:textAlignment w:val="auto"/>
        <w:rPr>
          <w:rFonts w:ascii="宋体" w:hAnsi="宋体"/>
          <w:b/>
          <w:bCs/>
          <w:sz w:val="24"/>
          <w:szCs w:val="24"/>
        </w:rPr>
      </w:pPr>
      <w:r>
        <w:rPr>
          <w:rFonts w:hint="eastAsia" w:ascii="宋体" w:hAnsi="宋体" w:cs="宋体"/>
          <w:b/>
          <w:bCs/>
          <w:sz w:val="24"/>
          <w:szCs w:val="24"/>
        </w:rPr>
        <w:t xml:space="preserve">*7.1 报价方应在报价截止时间2023年 </w:t>
      </w:r>
      <w:r>
        <w:rPr>
          <w:rFonts w:hint="eastAsia" w:ascii="宋体" w:hAnsi="宋体" w:cs="宋体"/>
          <w:b/>
          <w:bCs/>
          <w:sz w:val="24"/>
          <w:szCs w:val="24"/>
          <w:lang w:val="en-US" w:eastAsia="zh-CN"/>
        </w:rPr>
        <w:t>12</w:t>
      </w:r>
      <w:r>
        <w:rPr>
          <w:rFonts w:hint="eastAsia" w:ascii="宋体" w:hAnsi="宋体" w:cs="宋体"/>
          <w:b/>
          <w:bCs/>
          <w:sz w:val="24"/>
          <w:szCs w:val="24"/>
        </w:rPr>
        <w:t xml:space="preserve"> 月 </w:t>
      </w:r>
      <w:r>
        <w:rPr>
          <w:rFonts w:hint="eastAsia" w:ascii="宋体" w:hAnsi="宋体" w:cs="宋体"/>
          <w:b/>
          <w:bCs/>
          <w:sz w:val="24"/>
          <w:szCs w:val="24"/>
          <w:lang w:val="en-US" w:eastAsia="zh-CN"/>
        </w:rPr>
        <w:t>21</w:t>
      </w:r>
      <w:r>
        <w:rPr>
          <w:rFonts w:hint="eastAsia" w:ascii="宋体" w:hAnsi="宋体" w:cs="宋体"/>
          <w:b/>
          <w:bCs/>
          <w:sz w:val="24"/>
          <w:szCs w:val="24"/>
        </w:rPr>
        <w:t xml:space="preserve"> 日</w:t>
      </w:r>
      <w:r>
        <w:rPr>
          <w:rFonts w:hint="eastAsia" w:ascii="宋体" w:hAnsi="宋体" w:cs="宋体"/>
          <w:b/>
          <w:bCs/>
          <w:sz w:val="24"/>
          <w:szCs w:val="24"/>
          <w:lang w:val="en-US" w:eastAsia="zh-CN"/>
        </w:rPr>
        <w:t>上</w:t>
      </w:r>
      <w:r>
        <w:rPr>
          <w:rFonts w:hint="eastAsia" w:ascii="宋体" w:hAnsi="宋体" w:cs="宋体"/>
          <w:b/>
          <w:bCs/>
          <w:sz w:val="24"/>
          <w:szCs w:val="24"/>
        </w:rPr>
        <w:t>午</w:t>
      </w:r>
      <w:r>
        <w:rPr>
          <w:rFonts w:hint="eastAsia" w:ascii="宋体" w:hAnsi="宋体" w:cs="宋体"/>
          <w:b/>
          <w:bCs/>
          <w:sz w:val="24"/>
          <w:szCs w:val="24"/>
          <w:lang w:val="en-US" w:eastAsia="zh-CN"/>
        </w:rPr>
        <w:t>10</w:t>
      </w:r>
      <w:r>
        <w:rPr>
          <w:rFonts w:hint="eastAsia" w:ascii="宋体" w:hAnsi="宋体" w:cs="宋体"/>
          <w:b/>
          <w:bCs/>
          <w:sz w:val="24"/>
          <w:szCs w:val="24"/>
        </w:rPr>
        <w:t>:00前须缴足谈判保证金人民币肆仟元整（¥</w:t>
      </w:r>
      <w:r>
        <w:rPr>
          <w:rFonts w:hint="eastAsia" w:ascii="宋体" w:hAnsi="宋体" w:cs="宋体"/>
          <w:b/>
          <w:bCs/>
          <w:sz w:val="24"/>
          <w:szCs w:val="24"/>
          <w:lang w:val="en-US" w:eastAsia="zh-CN"/>
        </w:rPr>
        <w:t>4</w:t>
      </w:r>
      <w:r>
        <w:rPr>
          <w:rFonts w:hint="eastAsia" w:ascii="宋体" w:hAnsi="宋体" w:cs="宋体"/>
          <w:b/>
          <w:bCs/>
          <w:sz w:val="24"/>
          <w:szCs w:val="24"/>
        </w:rPr>
        <w:t>000.00），未按规定缴足谈判保证金，属无效报价文件</w:t>
      </w:r>
      <w:r>
        <w:rPr>
          <w:rFonts w:hint="eastAsia" w:ascii="宋体" w:hAnsi="宋体" w:cs="宋体"/>
          <w:sz w:val="24"/>
          <w:szCs w:val="24"/>
        </w:rPr>
        <w:t>。</w:t>
      </w:r>
    </w:p>
    <w:p>
      <w:pPr>
        <w:pStyle w:val="4"/>
        <w:keepNext w:val="0"/>
        <w:keepLines w:val="0"/>
        <w:tabs>
          <w:tab w:val="left" w:pos="0"/>
        </w:tabs>
        <w:kinsoku w:val="0"/>
        <w:overflowPunct w:val="0"/>
        <w:autoSpaceDE w:val="0"/>
        <w:autoSpaceDN w:val="0"/>
        <w:snapToGrid w:val="0"/>
        <w:spacing w:line="400" w:lineRule="atLeast"/>
        <w:jc w:val="both"/>
        <w:textAlignment w:val="auto"/>
        <w:rPr>
          <w:rFonts w:ascii="宋体" w:hAnsi="宋体" w:eastAsia="宋体" w:cs="宋体"/>
          <w:b w:val="0"/>
          <w:bCs/>
          <w:sz w:val="24"/>
          <w:szCs w:val="24"/>
        </w:rPr>
      </w:pPr>
      <w:r>
        <w:rPr>
          <w:rFonts w:hint="eastAsia" w:ascii="宋体" w:hAnsi="宋体" w:eastAsia="宋体" w:cs="宋体"/>
          <w:b w:val="0"/>
          <w:bCs/>
          <w:sz w:val="24"/>
          <w:szCs w:val="24"/>
        </w:rPr>
        <w:t>7.2 谈判保证金提交的时间及方式：报价方应于报价截止时间前从供应商基本账户以电汇或银行转账的方式汇达采购方指定的保证金账户。</w:t>
      </w:r>
    </w:p>
    <w:p>
      <w:pPr>
        <w:pStyle w:val="4"/>
        <w:keepNext w:val="0"/>
        <w:keepLines w:val="0"/>
        <w:tabs>
          <w:tab w:val="left" w:pos="0"/>
        </w:tabs>
        <w:kinsoku w:val="0"/>
        <w:overflowPunct w:val="0"/>
        <w:autoSpaceDE w:val="0"/>
        <w:autoSpaceDN w:val="0"/>
        <w:snapToGrid w:val="0"/>
        <w:spacing w:line="400" w:lineRule="atLeast"/>
        <w:jc w:val="both"/>
        <w:textAlignment w:val="auto"/>
        <w:rPr>
          <w:rFonts w:ascii="宋体" w:hAnsi="宋体" w:eastAsia="宋体" w:cs="宋体"/>
          <w:b w:val="0"/>
          <w:bCs/>
          <w:sz w:val="24"/>
          <w:szCs w:val="24"/>
        </w:rPr>
      </w:pPr>
      <w:r>
        <w:rPr>
          <w:rFonts w:hint="eastAsia" w:ascii="宋体" w:hAnsi="宋体" w:eastAsia="宋体" w:cs="宋体"/>
          <w:b w:val="0"/>
          <w:bCs/>
          <w:sz w:val="24"/>
          <w:szCs w:val="24"/>
        </w:rPr>
        <w:t>7.3 原则上不接受以个人账户缴交保证金，确需以个人账户为报价方缴交保证金的，经我司同意后，需报价方提供书面说明，并加盖公章。</w:t>
      </w:r>
    </w:p>
    <w:p>
      <w:pPr>
        <w:pStyle w:val="4"/>
        <w:keepNext w:val="0"/>
        <w:keepLines w:val="0"/>
        <w:tabs>
          <w:tab w:val="left" w:pos="0"/>
        </w:tabs>
        <w:kinsoku w:val="0"/>
        <w:overflowPunct w:val="0"/>
        <w:autoSpaceDE w:val="0"/>
        <w:autoSpaceDN w:val="0"/>
        <w:snapToGrid w:val="0"/>
        <w:spacing w:line="400" w:lineRule="atLeast"/>
        <w:jc w:val="both"/>
        <w:textAlignment w:val="auto"/>
        <w:rPr>
          <w:rFonts w:ascii="宋体" w:hAnsi="宋体" w:eastAsia="宋体" w:cs="宋体"/>
          <w:b w:val="0"/>
          <w:bCs/>
          <w:sz w:val="24"/>
          <w:szCs w:val="24"/>
        </w:rPr>
      </w:pPr>
      <w:r>
        <w:rPr>
          <w:rFonts w:hint="eastAsia" w:ascii="宋体" w:hAnsi="宋体" w:eastAsia="宋体" w:cs="宋体"/>
          <w:b w:val="0"/>
          <w:bCs/>
          <w:sz w:val="24"/>
          <w:szCs w:val="24"/>
        </w:rPr>
        <w:t>7.4 谈判保证金汇款凭证上用途栏应注明“</w:t>
      </w:r>
      <w:r>
        <w:rPr>
          <w:rFonts w:hint="eastAsia" w:ascii="宋体" w:hAnsi="宋体" w:cs="宋体"/>
          <w:kern w:val="2"/>
          <w:sz w:val="24"/>
          <w:szCs w:val="24"/>
          <w:u w:val="single"/>
        </w:rPr>
        <w:t>2024年-2025年环保自行监测项目</w:t>
      </w:r>
      <w:r>
        <w:rPr>
          <w:rFonts w:hint="eastAsia" w:ascii="宋体" w:hAnsi="宋体" w:eastAsia="宋体" w:cs="宋体"/>
          <w:b w:val="0"/>
          <w:bCs/>
          <w:sz w:val="24"/>
          <w:szCs w:val="24"/>
        </w:rPr>
        <w:t>”。在汇款凭证单背面注明退还谈判保证金时报价方收款的银行账号和开户行。</w:t>
      </w:r>
    </w:p>
    <w:p>
      <w:pPr>
        <w:pStyle w:val="4"/>
        <w:keepNext w:val="0"/>
        <w:keepLines w:val="0"/>
        <w:tabs>
          <w:tab w:val="left" w:pos="0"/>
        </w:tabs>
        <w:kinsoku w:val="0"/>
        <w:overflowPunct w:val="0"/>
        <w:autoSpaceDE w:val="0"/>
        <w:autoSpaceDN w:val="0"/>
        <w:snapToGrid w:val="0"/>
        <w:spacing w:line="400" w:lineRule="atLeast"/>
        <w:jc w:val="both"/>
        <w:textAlignment w:val="auto"/>
        <w:rPr>
          <w:rFonts w:ascii="宋体" w:hAnsi="宋体" w:eastAsia="宋体" w:cs="宋体"/>
          <w:b w:val="0"/>
          <w:bCs/>
          <w:sz w:val="24"/>
          <w:szCs w:val="24"/>
        </w:rPr>
      </w:pPr>
      <w:r>
        <w:rPr>
          <w:rFonts w:hint="eastAsia" w:ascii="宋体" w:hAnsi="宋体" w:eastAsia="宋体" w:cs="宋体"/>
          <w:b w:val="0"/>
          <w:bCs/>
          <w:sz w:val="24"/>
          <w:szCs w:val="24"/>
        </w:rPr>
        <w:t>7.5 第一成交候选供应商谈判保证金将自动转为合同履约金，项目验收合格后退回合同履约金；若第一成交候选供应商拒不履行签订合同，我司将不予退还该保证金并顺延第二成交供应商签订合同。除出现不予退还谈判保证金情形及成交供应商外的报价方谈判保证金，我司将在项目成交公告后10个工作日内无息退还该保证金。</w:t>
      </w:r>
    </w:p>
    <w:p>
      <w:pPr>
        <w:pStyle w:val="4"/>
        <w:keepNext w:val="0"/>
        <w:keepLines w:val="0"/>
        <w:tabs>
          <w:tab w:val="left" w:pos="0"/>
        </w:tabs>
        <w:kinsoku w:val="0"/>
        <w:overflowPunct w:val="0"/>
        <w:autoSpaceDE w:val="0"/>
        <w:autoSpaceDN w:val="0"/>
        <w:snapToGrid w:val="0"/>
        <w:spacing w:line="400" w:lineRule="atLeast"/>
        <w:jc w:val="both"/>
        <w:textAlignment w:val="auto"/>
        <w:rPr>
          <w:rFonts w:ascii="宋体" w:hAnsi="宋体" w:eastAsia="宋体" w:cs="宋体"/>
          <w:b w:val="0"/>
          <w:bCs/>
          <w:sz w:val="24"/>
          <w:szCs w:val="24"/>
        </w:rPr>
      </w:pPr>
      <w:r>
        <w:rPr>
          <w:rFonts w:hint="eastAsia" w:ascii="宋体" w:hAnsi="宋体" w:eastAsia="宋体" w:cs="宋体"/>
          <w:b w:val="0"/>
          <w:bCs/>
          <w:sz w:val="24"/>
          <w:szCs w:val="24"/>
        </w:rPr>
        <w:t>7.6 谈判保证金账户，谈判保证金均须存入或转入以下账号，其它收款单位均视为无效。</w:t>
      </w:r>
    </w:p>
    <w:p>
      <w:pPr>
        <w:pStyle w:val="4"/>
        <w:keepNext w:val="0"/>
        <w:keepLines w:val="0"/>
        <w:tabs>
          <w:tab w:val="left" w:pos="0"/>
        </w:tabs>
        <w:kinsoku w:val="0"/>
        <w:overflowPunct w:val="0"/>
        <w:autoSpaceDE w:val="0"/>
        <w:autoSpaceDN w:val="0"/>
        <w:snapToGrid w:val="0"/>
        <w:spacing w:line="400" w:lineRule="atLeast"/>
        <w:ind w:firstLine="520" w:firstLineChars="200"/>
        <w:jc w:val="both"/>
        <w:textAlignment w:val="auto"/>
        <w:rPr>
          <w:rFonts w:ascii="宋体" w:hAnsi="宋体" w:eastAsia="宋体" w:cs="宋体"/>
          <w:b w:val="0"/>
          <w:bCs/>
          <w:sz w:val="24"/>
          <w:szCs w:val="24"/>
        </w:rPr>
      </w:pPr>
      <w:r>
        <w:rPr>
          <w:rFonts w:hint="eastAsia" w:ascii="宋体" w:hAnsi="宋体" w:eastAsia="宋体" w:cs="宋体"/>
          <w:b w:val="0"/>
          <w:bCs/>
          <w:sz w:val="24"/>
          <w:szCs w:val="24"/>
        </w:rPr>
        <w:t>收款单位：厦门同集热电有限公司</w:t>
      </w:r>
    </w:p>
    <w:p>
      <w:pPr>
        <w:pStyle w:val="4"/>
        <w:keepNext w:val="0"/>
        <w:keepLines w:val="0"/>
        <w:tabs>
          <w:tab w:val="left" w:pos="0"/>
        </w:tabs>
        <w:kinsoku w:val="0"/>
        <w:overflowPunct w:val="0"/>
        <w:autoSpaceDE w:val="0"/>
        <w:autoSpaceDN w:val="0"/>
        <w:snapToGrid w:val="0"/>
        <w:spacing w:line="400" w:lineRule="atLeast"/>
        <w:ind w:firstLine="520" w:firstLineChars="200"/>
        <w:jc w:val="both"/>
        <w:textAlignment w:val="auto"/>
        <w:rPr>
          <w:rFonts w:ascii="宋体" w:hAnsi="宋体" w:eastAsia="宋体" w:cs="宋体"/>
          <w:b w:val="0"/>
          <w:bCs/>
          <w:sz w:val="24"/>
          <w:szCs w:val="24"/>
        </w:rPr>
      </w:pPr>
      <w:r>
        <w:rPr>
          <w:rFonts w:hint="eastAsia" w:ascii="宋体" w:hAnsi="宋体" w:eastAsia="宋体" w:cs="宋体"/>
          <w:b w:val="0"/>
          <w:bCs/>
          <w:sz w:val="24"/>
          <w:szCs w:val="24"/>
        </w:rPr>
        <w:t>账    号：</w:t>
      </w:r>
      <w:r>
        <w:rPr>
          <w:rFonts w:ascii="宋体" w:hAnsi="宋体" w:cs="宋体"/>
          <w:bCs/>
          <w:sz w:val="24"/>
          <w:szCs w:val="24"/>
        </w:rPr>
        <w:t>351015</w:t>
      </w:r>
      <w:r>
        <w:rPr>
          <w:rFonts w:hint="eastAsia" w:ascii="宋体" w:hAnsi="宋体" w:cs="宋体"/>
          <w:bCs/>
          <w:sz w:val="24"/>
          <w:szCs w:val="24"/>
        </w:rPr>
        <w:t>56001050000117</w:t>
      </w:r>
      <w:r>
        <w:rPr>
          <w:rFonts w:hint="eastAsia" w:ascii="宋体" w:hAnsi="宋体" w:eastAsia="宋体" w:cs="宋体"/>
          <w:b w:val="0"/>
          <w:bCs/>
          <w:sz w:val="24"/>
          <w:szCs w:val="24"/>
        </w:rPr>
        <w:t>   </w:t>
      </w:r>
    </w:p>
    <w:p>
      <w:pPr>
        <w:pStyle w:val="4"/>
        <w:keepNext w:val="0"/>
        <w:keepLines w:val="0"/>
        <w:tabs>
          <w:tab w:val="left" w:pos="0"/>
        </w:tabs>
        <w:kinsoku w:val="0"/>
        <w:overflowPunct w:val="0"/>
        <w:autoSpaceDE w:val="0"/>
        <w:autoSpaceDN w:val="0"/>
        <w:snapToGrid w:val="0"/>
        <w:spacing w:line="400" w:lineRule="atLeast"/>
        <w:ind w:firstLine="520" w:firstLineChars="200"/>
        <w:jc w:val="both"/>
        <w:textAlignment w:val="auto"/>
      </w:pPr>
      <w:r>
        <w:rPr>
          <w:rFonts w:hint="eastAsia" w:ascii="宋体" w:hAnsi="宋体" w:eastAsia="宋体" w:cs="宋体"/>
          <w:b w:val="0"/>
          <w:bCs/>
          <w:sz w:val="24"/>
          <w:szCs w:val="24"/>
        </w:rPr>
        <w:t>开 户 行：建设银行厦门分行集美支行</w:t>
      </w:r>
    </w:p>
    <w:p>
      <w:pPr>
        <w:numPr>
          <w:ilvl w:val="0"/>
          <w:numId w:val="2"/>
        </w:numPr>
        <w:autoSpaceDE/>
        <w:autoSpaceDN/>
        <w:snapToGrid w:val="0"/>
        <w:spacing w:line="400" w:lineRule="atLeast"/>
        <w:ind w:right="105" w:rightChars="50"/>
        <w:jc w:val="left"/>
        <w:textAlignment w:val="auto"/>
        <w:rPr>
          <w:rFonts w:ascii="宋体" w:hAnsi="宋体"/>
          <w:b/>
          <w:bCs/>
          <w:sz w:val="24"/>
          <w:szCs w:val="24"/>
        </w:rPr>
      </w:pPr>
      <w:r>
        <w:rPr>
          <w:rFonts w:hint="eastAsia" w:ascii="宋体" w:hAnsi="宋体"/>
          <w:b/>
          <w:bCs/>
          <w:sz w:val="24"/>
          <w:szCs w:val="24"/>
        </w:rPr>
        <w:t>成交原则</w:t>
      </w:r>
    </w:p>
    <w:p>
      <w:pPr>
        <w:autoSpaceDE/>
        <w:autoSpaceDN/>
        <w:snapToGrid w:val="0"/>
        <w:spacing w:line="360" w:lineRule="auto"/>
        <w:ind w:right="105" w:rightChars="50"/>
        <w:jc w:val="left"/>
        <w:textAlignment w:val="auto"/>
        <w:rPr>
          <w:rFonts w:ascii="宋体" w:hAnsi="宋体"/>
          <w:color w:val="000000" w:themeColor="text1"/>
          <w:sz w:val="24"/>
          <w:szCs w:val="24"/>
        </w:rPr>
      </w:pPr>
      <w:r>
        <w:rPr>
          <w:rFonts w:hint="eastAsia" w:ascii="宋体" w:hAnsi="宋体"/>
          <w:color w:val="000000" w:themeColor="text1"/>
          <w:sz w:val="24"/>
          <w:szCs w:val="24"/>
        </w:rPr>
        <w:t>8.1、本次谈判采用经评审合格且最低价成交法。评审小组从通过资格和符合性审查且报价最低的前三位报价方进行谈判。谈判过程中如报价方代表未到现场，视为谈判报价维持采购文件报价价格不变，谈判报价最低者确定为成交供应商。</w:t>
      </w:r>
    </w:p>
    <w:p>
      <w:pPr>
        <w:autoSpaceDE/>
        <w:autoSpaceDN/>
        <w:snapToGrid w:val="0"/>
        <w:spacing w:line="360" w:lineRule="auto"/>
        <w:ind w:right="105" w:rightChars="50"/>
        <w:jc w:val="left"/>
        <w:textAlignment w:val="auto"/>
        <w:rPr>
          <w:rFonts w:ascii="宋体" w:hAnsi="宋体"/>
          <w:color w:val="000000" w:themeColor="text1"/>
          <w:sz w:val="24"/>
          <w:szCs w:val="24"/>
        </w:rPr>
      </w:pPr>
      <w:r>
        <w:rPr>
          <w:rFonts w:hint="eastAsia" w:ascii="宋体" w:hAnsi="宋体"/>
          <w:color w:val="000000" w:themeColor="text1"/>
          <w:sz w:val="24"/>
          <w:szCs w:val="24"/>
        </w:rPr>
        <w:t>8.2、报价最低的前三位如出现2家及以上价格相等，且报价人未到现场，由评标小组抽签确定成交供应商。</w:t>
      </w:r>
    </w:p>
    <w:p>
      <w:pPr>
        <w:pStyle w:val="12"/>
        <w:ind w:left="0" w:leftChars="0" w:firstLine="0" w:firstLineChars="0"/>
      </w:pPr>
      <w:r>
        <w:rPr>
          <w:rFonts w:hint="eastAsia" w:ascii="宋体" w:hAnsi="宋体"/>
          <w:color w:val="000000" w:themeColor="text1"/>
          <w:sz w:val="24"/>
          <w:szCs w:val="24"/>
        </w:rPr>
        <w:t>8.3、如果各报价单位税率不一致，则按不含税价进行比价。</w:t>
      </w:r>
    </w:p>
    <w:p>
      <w:pPr>
        <w:numPr>
          <w:ilvl w:val="0"/>
          <w:numId w:val="2"/>
        </w:numPr>
        <w:autoSpaceDE/>
        <w:autoSpaceDN/>
        <w:snapToGrid w:val="0"/>
        <w:spacing w:line="400" w:lineRule="atLeast"/>
        <w:ind w:right="105" w:rightChars="50"/>
        <w:jc w:val="left"/>
        <w:textAlignment w:val="auto"/>
        <w:rPr>
          <w:rFonts w:ascii="宋体" w:hAnsi="宋体"/>
          <w:b/>
          <w:bCs/>
          <w:sz w:val="24"/>
          <w:szCs w:val="24"/>
        </w:rPr>
      </w:pPr>
      <w:r>
        <w:rPr>
          <w:rFonts w:hint="eastAsia" w:ascii="宋体" w:hAnsi="宋体"/>
          <w:b/>
          <w:bCs/>
          <w:sz w:val="24"/>
          <w:szCs w:val="24"/>
        </w:rPr>
        <w:t>联系人</w:t>
      </w:r>
      <w:bookmarkEnd w:id="10"/>
      <w:bookmarkEnd w:id="11"/>
      <w:bookmarkEnd w:id="12"/>
    </w:p>
    <w:p>
      <w:pPr>
        <w:pStyle w:val="4"/>
        <w:adjustRightInd/>
        <w:spacing w:line="400" w:lineRule="atLeast"/>
        <w:ind w:firstLine="520" w:firstLineChars="200"/>
        <w:jc w:val="both"/>
        <w:textAlignment w:val="auto"/>
        <w:rPr>
          <w:rFonts w:ascii="宋体" w:hAnsi="宋体" w:eastAsia="宋体"/>
          <w:b w:val="0"/>
          <w:sz w:val="24"/>
          <w:szCs w:val="24"/>
        </w:rPr>
      </w:pPr>
      <w:r>
        <w:rPr>
          <w:rFonts w:hint="eastAsia" w:ascii="宋体" w:hAnsi="宋体" w:eastAsia="宋体"/>
          <w:b w:val="0"/>
          <w:sz w:val="24"/>
          <w:szCs w:val="24"/>
        </w:rPr>
        <w:t>李凤雄（联系电话：0592-7396289）</w:t>
      </w:r>
      <w:bookmarkEnd w:id="13"/>
    </w:p>
    <w:p>
      <w:pPr>
        <w:numPr>
          <w:ilvl w:val="0"/>
          <w:numId w:val="2"/>
        </w:numPr>
        <w:autoSpaceDE/>
        <w:autoSpaceDN/>
        <w:snapToGrid w:val="0"/>
        <w:spacing w:line="400" w:lineRule="atLeast"/>
        <w:ind w:right="105" w:rightChars="50"/>
        <w:jc w:val="left"/>
        <w:textAlignment w:val="auto"/>
        <w:rPr>
          <w:rFonts w:ascii="宋体" w:hAnsi="宋体"/>
          <w:b/>
          <w:bCs/>
          <w:sz w:val="24"/>
          <w:szCs w:val="24"/>
        </w:rPr>
      </w:pPr>
      <w:bookmarkStart w:id="14" w:name="_Toc30837_WPSOffice_Level2"/>
      <w:bookmarkStart w:id="15" w:name="_Toc2851_WPSOffice_Level2"/>
      <w:bookmarkStart w:id="16" w:name="_Toc18891_WPSOffice_Level2"/>
      <w:bookmarkStart w:id="17" w:name="_Toc15902_WPSOffice_Level2"/>
      <w:r>
        <w:rPr>
          <w:rFonts w:hint="eastAsia" w:ascii="宋体" w:hAnsi="宋体"/>
          <w:b/>
          <w:bCs/>
          <w:sz w:val="24"/>
          <w:szCs w:val="24"/>
        </w:rPr>
        <w:t>监督电话</w:t>
      </w:r>
      <w:bookmarkEnd w:id="14"/>
      <w:bookmarkEnd w:id="15"/>
      <w:bookmarkEnd w:id="16"/>
    </w:p>
    <w:bookmarkEnd w:id="17"/>
    <w:p>
      <w:pPr>
        <w:ind w:firstLine="480" w:firstLineChars="200"/>
        <w:rPr>
          <w:rFonts w:ascii="宋体" w:hAnsi="宋体"/>
          <w:sz w:val="24"/>
          <w:szCs w:val="24"/>
        </w:rPr>
      </w:pPr>
    </w:p>
    <w:p>
      <w:pPr>
        <w:ind w:firstLine="480" w:firstLineChars="200"/>
        <w:rPr>
          <w:rFonts w:ascii="宋体" w:hAnsi="宋体"/>
          <w:sz w:val="24"/>
          <w:szCs w:val="24"/>
        </w:rPr>
      </w:pPr>
      <w:r>
        <w:rPr>
          <w:rFonts w:hint="eastAsia" w:ascii="宋体" w:hAnsi="宋体"/>
          <w:sz w:val="24"/>
          <w:szCs w:val="24"/>
        </w:rPr>
        <w:t xml:space="preserve">海发集团纪检监察室：0592-6800131    </w:t>
      </w:r>
    </w:p>
    <w:p>
      <w:pPr>
        <w:rPr>
          <w:rFonts w:ascii="宋体" w:hAnsi="宋体"/>
          <w:sz w:val="24"/>
          <w:szCs w:val="24"/>
        </w:rPr>
      </w:pPr>
    </w:p>
    <w:p>
      <w:pPr>
        <w:ind w:firstLine="240" w:firstLineChars="100"/>
        <w:rPr>
          <w:sz w:val="24"/>
          <w:szCs w:val="24"/>
        </w:rPr>
      </w:pPr>
      <w:r>
        <w:rPr>
          <w:rFonts w:hint="eastAsia" w:ascii="宋体" w:hAnsi="宋体"/>
          <w:sz w:val="24"/>
          <w:szCs w:val="24"/>
        </w:rPr>
        <w:t xml:space="preserve">  环保能源公司纪检小组：0592-6807581</w:t>
      </w:r>
    </w:p>
    <w:p>
      <w:pPr>
        <w:widowControl/>
        <w:shd w:val="clear" w:color="auto" w:fill="FFFFFF"/>
        <w:snapToGrid w:val="0"/>
        <w:spacing w:line="400" w:lineRule="atLeast"/>
        <w:ind w:left="-210" w:leftChars="-100" w:right="-210" w:firstLine="5716" w:firstLineChars="2382"/>
        <w:jc w:val="left"/>
        <w:rPr>
          <w:rFonts w:ascii="宋体" w:hAnsi="宋体"/>
          <w:sz w:val="24"/>
          <w:szCs w:val="24"/>
        </w:rPr>
      </w:pPr>
    </w:p>
    <w:p>
      <w:pPr>
        <w:widowControl/>
        <w:shd w:val="clear" w:color="auto" w:fill="FFFFFF"/>
        <w:snapToGrid w:val="0"/>
        <w:spacing w:line="400" w:lineRule="atLeast"/>
        <w:ind w:left="-210" w:leftChars="-100" w:right="-210" w:firstLine="5836" w:firstLineChars="2432"/>
        <w:jc w:val="left"/>
        <w:rPr>
          <w:rFonts w:ascii="宋体" w:hAnsi="宋体"/>
          <w:sz w:val="24"/>
          <w:szCs w:val="24"/>
        </w:rPr>
      </w:pPr>
      <w:r>
        <w:rPr>
          <w:rFonts w:hint="eastAsia" w:ascii="宋体" w:hAnsi="宋体"/>
          <w:sz w:val="24"/>
          <w:szCs w:val="24"/>
        </w:rPr>
        <w:t>厦门同集热电有限公司</w:t>
      </w:r>
    </w:p>
    <w:p>
      <w:pPr>
        <w:widowControl/>
        <w:shd w:val="clear" w:color="auto" w:fill="FFFFFF"/>
        <w:snapToGrid w:val="0"/>
        <w:spacing w:line="400" w:lineRule="atLeast"/>
        <w:ind w:firstLine="6076" w:firstLineChars="2532"/>
        <w:jc w:val="left"/>
        <w:rPr>
          <w:rFonts w:ascii="宋体" w:hAnsi="宋体"/>
          <w:sz w:val="24"/>
          <w:szCs w:val="24"/>
        </w:rPr>
      </w:pPr>
      <w:r>
        <w:rPr>
          <w:rFonts w:hint="eastAsia" w:ascii="宋体" w:hAnsi="宋体"/>
          <w:sz w:val="24"/>
          <w:szCs w:val="24"/>
        </w:rPr>
        <w:t>2023年</w:t>
      </w:r>
      <w:r>
        <w:rPr>
          <w:rFonts w:hint="eastAsia" w:ascii="宋体" w:hAnsi="宋体"/>
          <w:sz w:val="24"/>
          <w:szCs w:val="24"/>
          <w:lang w:val="en-US" w:eastAsia="zh-CN"/>
        </w:rPr>
        <w:t>12</w:t>
      </w:r>
      <w:r>
        <w:rPr>
          <w:rFonts w:hint="eastAsia" w:ascii="宋体" w:hAnsi="宋体"/>
          <w:sz w:val="24"/>
          <w:szCs w:val="24"/>
        </w:rPr>
        <w:t xml:space="preserve"> 月  日</w:t>
      </w:r>
    </w:p>
    <w:p>
      <w:pPr>
        <w:pStyle w:val="4"/>
        <w:snapToGrid w:val="0"/>
        <w:spacing w:line="400" w:lineRule="atLeast"/>
        <w:ind w:firstLine="602" w:firstLineChars="200"/>
        <w:jc w:val="center"/>
        <w:textAlignment w:val="auto"/>
        <w:rPr>
          <w:rFonts w:ascii="宋体" w:hAnsi="宋体" w:eastAsia="宋体"/>
          <w:bCs/>
          <w:sz w:val="28"/>
          <w:szCs w:val="28"/>
        </w:rPr>
      </w:pPr>
      <w:bookmarkStart w:id="18" w:name="_Toc9417_WPSOffice_Level1"/>
      <w:bookmarkStart w:id="19" w:name="_Toc28980_WPSOffice_Level1"/>
      <w:bookmarkStart w:id="20" w:name="_Toc7186_WPSOffice_Level1"/>
    </w:p>
    <w:p>
      <w:pPr>
        <w:pStyle w:val="4"/>
        <w:snapToGrid w:val="0"/>
        <w:spacing w:line="400" w:lineRule="atLeast"/>
        <w:ind w:firstLine="602" w:firstLineChars="200"/>
        <w:jc w:val="center"/>
        <w:textAlignment w:val="auto"/>
        <w:rPr>
          <w:rFonts w:ascii="宋体" w:hAnsi="宋体" w:eastAsia="宋体"/>
          <w:bCs/>
          <w:sz w:val="28"/>
          <w:szCs w:val="28"/>
        </w:rPr>
      </w:pPr>
    </w:p>
    <w:p>
      <w:pPr>
        <w:pStyle w:val="4"/>
        <w:snapToGrid w:val="0"/>
        <w:spacing w:line="400" w:lineRule="atLeast"/>
        <w:ind w:firstLine="602" w:firstLineChars="200"/>
        <w:jc w:val="center"/>
        <w:textAlignment w:val="auto"/>
        <w:rPr>
          <w:rFonts w:ascii="宋体" w:hAnsi="宋体" w:eastAsia="宋体"/>
          <w:bCs/>
          <w:sz w:val="28"/>
          <w:szCs w:val="28"/>
        </w:rPr>
      </w:pPr>
    </w:p>
    <w:p>
      <w:pPr>
        <w:pStyle w:val="4"/>
        <w:snapToGrid w:val="0"/>
        <w:spacing w:line="400" w:lineRule="atLeast"/>
        <w:ind w:firstLine="602" w:firstLineChars="200"/>
        <w:jc w:val="center"/>
        <w:textAlignment w:val="auto"/>
        <w:rPr>
          <w:rFonts w:ascii="宋体" w:hAnsi="宋体" w:eastAsia="宋体"/>
          <w:bCs/>
          <w:sz w:val="28"/>
          <w:szCs w:val="28"/>
        </w:rPr>
      </w:pPr>
    </w:p>
    <w:p>
      <w:pPr>
        <w:pStyle w:val="5"/>
        <w:rPr>
          <w:rFonts w:ascii="宋体" w:hAnsi="宋体" w:eastAsia="宋体"/>
          <w:bCs/>
          <w:sz w:val="28"/>
          <w:szCs w:val="28"/>
        </w:rPr>
      </w:pPr>
    </w:p>
    <w:p>
      <w:pPr>
        <w:pStyle w:val="5"/>
        <w:rPr>
          <w:rFonts w:ascii="宋体" w:hAnsi="宋体" w:eastAsia="宋体"/>
          <w:bCs/>
          <w:sz w:val="28"/>
          <w:szCs w:val="28"/>
        </w:rPr>
      </w:pPr>
    </w:p>
    <w:p>
      <w:pPr>
        <w:pStyle w:val="4"/>
        <w:snapToGrid w:val="0"/>
        <w:spacing w:line="400" w:lineRule="atLeast"/>
        <w:ind w:firstLine="602" w:firstLineChars="200"/>
        <w:jc w:val="center"/>
        <w:textAlignment w:val="auto"/>
        <w:rPr>
          <w:rFonts w:ascii="宋体" w:hAnsi="宋体" w:eastAsia="宋体"/>
          <w:bCs/>
          <w:sz w:val="28"/>
          <w:szCs w:val="28"/>
        </w:rPr>
      </w:pPr>
    </w:p>
    <w:p>
      <w:pPr>
        <w:shd w:val="clear" w:color="auto" w:fill="FFFFFF"/>
        <w:kinsoku w:val="0"/>
        <w:overflowPunct w:val="0"/>
        <w:adjustRightInd/>
        <w:spacing w:line="400" w:lineRule="atLeast"/>
        <w:jc w:val="left"/>
        <w:rPr>
          <w:rFonts w:ascii="宋体" w:hAnsi="宋体"/>
          <w:sz w:val="24"/>
          <w:szCs w:val="24"/>
        </w:rPr>
      </w:pPr>
      <w:bookmarkStart w:id="21" w:name="_Toc32729_WPSOffice_Level1"/>
      <w:bookmarkStart w:id="22" w:name="_Toc11260_WPSOffice_Level1"/>
      <w:bookmarkStart w:id="23" w:name="_Toc28625_WPSOffice_Level1"/>
    </w:p>
    <w:p>
      <w:pPr>
        <w:shd w:val="clear" w:color="auto" w:fill="FFFFFF"/>
        <w:kinsoku w:val="0"/>
        <w:overflowPunct w:val="0"/>
        <w:adjustRightInd/>
        <w:spacing w:line="400" w:lineRule="atLeast"/>
        <w:ind w:firstLine="6076" w:firstLineChars="2532"/>
        <w:jc w:val="left"/>
        <w:rPr>
          <w:rFonts w:ascii="宋体" w:hAnsi="宋体"/>
          <w:sz w:val="24"/>
          <w:szCs w:val="24"/>
        </w:rPr>
      </w:pPr>
    </w:p>
    <w:p>
      <w:pPr>
        <w:shd w:val="clear" w:color="auto" w:fill="FFFFFF"/>
        <w:kinsoku w:val="0"/>
        <w:overflowPunct w:val="0"/>
        <w:adjustRightInd/>
        <w:spacing w:line="400" w:lineRule="atLeast"/>
        <w:ind w:firstLine="6076" w:firstLineChars="2532"/>
        <w:jc w:val="left"/>
        <w:rPr>
          <w:rFonts w:ascii="宋体" w:hAnsi="宋体"/>
          <w:sz w:val="24"/>
          <w:szCs w:val="24"/>
        </w:rPr>
      </w:pPr>
    </w:p>
    <w:p>
      <w:pPr>
        <w:pStyle w:val="4"/>
        <w:keepNext w:val="0"/>
        <w:keepLines w:val="0"/>
        <w:kinsoku w:val="0"/>
        <w:overflowPunct w:val="0"/>
        <w:autoSpaceDE w:val="0"/>
        <w:autoSpaceDN w:val="0"/>
        <w:adjustRightInd/>
        <w:spacing w:line="400" w:lineRule="atLeast"/>
        <w:ind w:firstLine="522" w:firstLineChars="200"/>
        <w:jc w:val="center"/>
        <w:textAlignment w:val="auto"/>
        <w:rPr>
          <w:rFonts w:ascii="宋体" w:hAnsi="宋体" w:eastAsia="宋体"/>
          <w:bCs/>
          <w:sz w:val="24"/>
          <w:szCs w:val="24"/>
        </w:rPr>
      </w:pPr>
      <w:r>
        <w:rPr>
          <w:rFonts w:hint="eastAsia" w:ascii="宋体" w:hAnsi="宋体" w:eastAsia="宋体"/>
          <w:bCs/>
          <w:sz w:val="24"/>
          <w:szCs w:val="24"/>
        </w:rPr>
        <w:t>第二部分 谈判须知</w:t>
      </w:r>
    </w:p>
    <w:p>
      <w:pPr>
        <w:pStyle w:val="4"/>
        <w:keepNext w:val="0"/>
        <w:keepLines w:val="0"/>
        <w:kinsoku w:val="0"/>
        <w:overflowPunct w:val="0"/>
        <w:autoSpaceDE w:val="0"/>
        <w:autoSpaceDN w:val="0"/>
        <w:adjustRightInd/>
        <w:spacing w:line="400" w:lineRule="atLeast"/>
        <w:jc w:val="both"/>
        <w:textAlignment w:val="auto"/>
        <w:rPr>
          <w:rFonts w:ascii="宋体" w:hAnsi="宋体" w:eastAsia="宋体"/>
          <w:bCs/>
          <w:sz w:val="24"/>
          <w:szCs w:val="24"/>
        </w:rPr>
      </w:pPr>
      <w:bookmarkStart w:id="24" w:name="_Toc5871_WPSOffice_Level2"/>
      <w:r>
        <w:rPr>
          <w:rFonts w:hint="eastAsia" w:ascii="宋体" w:hAnsi="宋体" w:eastAsia="宋体"/>
          <w:bCs/>
          <w:sz w:val="24"/>
          <w:szCs w:val="24"/>
        </w:rPr>
        <w:t>备注：</w:t>
      </w:r>
      <w:bookmarkEnd w:id="24"/>
    </w:p>
    <w:p>
      <w:pPr>
        <w:pStyle w:val="4"/>
        <w:keepNext w:val="0"/>
        <w:keepLines w:val="0"/>
        <w:numPr>
          <w:ilvl w:val="0"/>
          <w:numId w:val="7"/>
        </w:numPr>
        <w:kinsoku w:val="0"/>
        <w:overflowPunct w:val="0"/>
        <w:autoSpaceDE w:val="0"/>
        <w:autoSpaceDN w:val="0"/>
        <w:adjustRightInd/>
        <w:spacing w:line="400" w:lineRule="atLeast"/>
        <w:jc w:val="both"/>
        <w:textAlignment w:val="auto"/>
        <w:rPr>
          <w:rFonts w:ascii="宋体" w:hAnsi="宋体" w:eastAsia="宋体"/>
          <w:bCs/>
          <w:sz w:val="24"/>
          <w:szCs w:val="24"/>
        </w:rPr>
      </w:pPr>
      <w:r>
        <w:rPr>
          <w:rFonts w:hint="eastAsia" w:ascii="宋体" w:hAnsi="宋体" w:eastAsia="宋体"/>
          <w:bCs/>
          <w:sz w:val="24"/>
          <w:szCs w:val="24"/>
        </w:rPr>
        <w:t>全文中带有“*”的条款为关键性条款，如报价方对这些关键性条款存在任何负偏离或不满足将导致报价无效。</w:t>
      </w:r>
    </w:p>
    <w:p>
      <w:pPr>
        <w:pStyle w:val="4"/>
        <w:keepNext w:val="0"/>
        <w:keepLines w:val="0"/>
        <w:numPr>
          <w:ilvl w:val="0"/>
          <w:numId w:val="7"/>
        </w:numPr>
        <w:kinsoku w:val="0"/>
        <w:overflowPunct w:val="0"/>
        <w:autoSpaceDE w:val="0"/>
        <w:autoSpaceDN w:val="0"/>
        <w:adjustRightInd/>
        <w:spacing w:line="400" w:lineRule="atLeast"/>
        <w:jc w:val="both"/>
        <w:textAlignment w:val="auto"/>
        <w:rPr>
          <w:rFonts w:ascii="宋体" w:hAnsi="宋体" w:eastAsia="宋体"/>
          <w:bCs/>
          <w:sz w:val="24"/>
          <w:szCs w:val="24"/>
        </w:rPr>
      </w:pPr>
      <w:r>
        <w:rPr>
          <w:rFonts w:hint="eastAsia" w:ascii="宋体" w:hAnsi="宋体" w:eastAsia="宋体"/>
          <w:bCs/>
          <w:sz w:val="24"/>
          <w:szCs w:val="24"/>
        </w:rPr>
        <w:t>谈判文件中所述技术要求，应视为保证实现本项目施工所需要的最低要求，如有遗漏，报价方应予以补充，否则，一旦成交将认为报价方认同遗漏部分并免费提供。</w:t>
      </w:r>
    </w:p>
    <w:p>
      <w:pPr>
        <w:pStyle w:val="4"/>
        <w:keepNext w:val="0"/>
        <w:keepLines w:val="0"/>
        <w:kinsoku w:val="0"/>
        <w:overflowPunct w:val="0"/>
        <w:autoSpaceDE w:val="0"/>
        <w:autoSpaceDN w:val="0"/>
        <w:adjustRightInd/>
        <w:spacing w:line="400" w:lineRule="atLeast"/>
        <w:ind w:firstLine="520" w:firstLineChars="200"/>
        <w:jc w:val="both"/>
        <w:textAlignment w:val="auto"/>
        <w:rPr>
          <w:rFonts w:ascii="宋体" w:hAnsi="宋体" w:eastAsia="宋体"/>
          <w:b w:val="0"/>
          <w:sz w:val="24"/>
          <w:szCs w:val="24"/>
        </w:rPr>
      </w:pPr>
      <w:r>
        <w:rPr>
          <w:rFonts w:hint="eastAsia" w:ascii="宋体" w:hAnsi="宋体" w:eastAsia="宋体"/>
          <w:b w:val="0"/>
          <w:sz w:val="24"/>
          <w:szCs w:val="24"/>
        </w:rPr>
        <w:t>本项</w:t>
      </w:r>
      <w:r>
        <w:rPr>
          <w:rFonts w:hint="eastAsia" w:ascii="宋体" w:hAnsi="宋体" w:eastAsia="宋体"/>
          <w:b w:val="0"/>
          <w:bCs/>
          <w:sz w:val="24"/>
          <w:szCs w:val="24"/>
        </w:rPr>
        <w:t>目为</w:t>
      </w:r>
      <w:r>
        <w:rPr>
          <w:rFonts w:hint="eastAsia" w:ascii="宋体" w:hAnsi="宋体" w:eastAsia="宋体"/>
          <w:b w:val="0"/>
          <w:sz w:val="24"/>
          <w:szCs w:val="24"/>
        </w:rPr>
        <w:t>2024年-2025年环保自行监测项目竞争性谈判采购，采购</w:t>
      </w:r>
      <w:r>
        <w:rPr>
          <w:rFonts w:hint="eastAsia" w:ascii="宋体" w:hAnsi="宋体" w:eastAsia="宋体"/>
          <w:b w:val="0"/>
          <w:bCs/>
          <w:sz w:val="24"/>
          <w:szCs w:val="24"/>
        </w:rPr>
        <w:t>方为厦门同集热电有限公司。请各</w:t>
      </w:r>
      <w:r>
        <w:rPr>
          <w:rFonts w:hint="eastAsia" w:ascii="宋体" w:hAnsi="宋体" w:eastAsia="宋体"/>
          <w:b w:val="0"/>
          <w:sz w:val="24"/>
          <w:szCs w:val="24"/>
        </w:rPr>
        <w:t>报价方仔细阅读本谈判文件的内容以保证提交完整有效的响应文件参加谈判活动。</w:t>
      </w:r>
    </w:p>
    <w:p>
      <w:pPr>
        <w:pStyle w:val="3"/>
        <w:spacing w:line="240" w:lineRule="auto"/>
        <w:jc w:val="center"/>
        <w:rPr>
          <w:rFonts w:ascii="宋体" w:hAnsi="宋体"/>
          <w:sz w:val="24"/>
          <w:szCs w:val="24"/>
        </w:rPr>
      </w:pPr>
      <w:r>
        <w:rPr>
          <w:rFonts w:hint="eastAsia" w:ascii="宋体" w:hAnsi="宋体"/>
          <w:sz w:val="24"/>
          <w:szCs w:val="24"/>
        </w:rPr>
        <w:t>前  附  表</w:t>
      </w:r>
    </w:p>
    <w:tbl>
      <w:tblPr>
        <w:tblStyle w:val="1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
        <w:gridCol w:w="8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89"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宋体"/>
                <w:b/>
                <w:sz w:val="24"/>
                <w:szCs w:val="24"/>
              </w:rPr>
            </w:pPr>
            <w:r>
              <w:rPr>
                <w:rFonts w:hint="eastAsia" w:ascii="宋体" w:hAnsi="宋体" w:cs="宋体"/>
                <w:b/>
                <w:sz w:val="24"/>
                <w:szCs w:val="24"/>
              </w:rPr>
              <w:t>项目</w:t>
            </w:r>
          </w:p>
        </w:tc>
        <w:tc>
          <w:tcPr>
            <w:tcW w:w="4510" w:type="pc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宋体"/>
                <w:b/>
                <w:sz w:val="24"/>
                <w:szCs w:val="24"/>
              </w:rPr>
            </w:pPr>
            <w:r>
              <w:rPr>
                <w:rFonts w:hint="eastAsia" w:ascii="宋体" w:hAnsi="宋体" w:cs="宋体"/>
                <w:b/>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489" w:type="pct"/>
            <w:tcBorders>
              <w:top w:val="single" w:color="auto" w:sz="4" w:space="0"/>
            </w:tcBorders>
            <w:noWrap/>
            <w:vAlign w:val="center"/>
          </w:tcPr>
          <w:p>
            <w:pPr>
              <w:spacing w:line="400" w:lineRule="exact"/>
              <w:jc w:val="center"/>
              <w:rPr>
                <w:rFonts w:ascii="宋体" w:hAnsi="宋体" w:cs="宋体"/>
                <w:sz w:val="24"/>
                <w:szCs w:val="24"/>
              </w:rPr>
            </w:pPr>
            <w:r>
              <w:rPr>
                <w:rFonts w:hint="eastAsia" w:ascii="宋体" w:hAnsi="宋体" w:cs="宋体"/>
                <w:sz w:val="24"/>
                <w:szCs w:val="24"/>
              </w:rPr>
              <w:t>1</w:t>
            </w:r>
          </w:p>
        </w:tc>
        <w:tc>
          <w:tcPr>
            <w:tcW w:w="4510" w:type="pct"/>
            <w:tcBorders>
              <w:top w:val="single" w:color="auto" w:sz="4" w:space="0"/>
            </w:tcBorders>
            <w:noWrap/>
            <w:vAlign w:val="center"/>
          </w:tcPr>
          <w:p>
            <w:pPr>
              <w:spacing w:line="380" w:lineRule="exact"/>
              <w:rPr>
                <w:rFonts w:ascii="宋体" w:hAnsi="宋体" w:cs="宋体"/>
                <w:b/>
                <w:sz w:val="24"/>
                <w:szCs w:val="24"/>
              </w:rPr>
            </w:pPr>
            <w:r>
              <w:rPr>
                <w:rFonts w:hint="eastAsia" w:ascii="宋体" w:hAnsi="宋体" w:cs="宋体"/>
                <w:b/>
                <w:sz w:val="24"/>
                <w:szCs w:val="24"/>
              </w:rPr>
              <w:t>项目概况</w:t>
            </w:r>
          </w:p>
          <w:p>
            <w:pPr>
              <w:numPr>
                <w:ilvl w:val="0"/>
                <w:numId w:val="8"/>
              </w:numPr>
              <w:spacing w:line="380" w:lineRule="exact"/>
              <w:rPr>
                <w:rFonts w:ascii="宋体" w:hAnsi="宋体" w:cs="宋体"/>
                <w:bCs/>
                <w:kern w:val="2"/>
                <w:sz w:val="24"/>
                <w:szCs w:val="24"/>
              </w:rPr>
            </w:pPr>
            <w:r>
              <w:rPr>
                <w:rFonts w:hint="eastAsia" w:ascii="宋体" w:hAnsi="宋体" w:cs="宋体"/>
                <w:bCs/>
                <w:sz w:val="24"/>
                <w:szCs w:val="24"/>
              </w:rPr>
              <w:t>项目名称：</w:t>
            </w:r>
            <w:r>
              <w:rPr>
                <w:rFonts w:hint="eastAsia" w:ascii="宋体" w:hAnsi="宋体"/>
                <w:sz w:val="24"/>
                <w:szCs w:val="24"/>
              </w:rPr>
              <w:t>2024年-2025年环保自行监测项目</w:t>
            </w:r>
          </w:p>
          <w:p>
            <w:pPr>
              <w:numPr>
                <w:ilvl w:val="0"/>
                <w:numId w:val="8"/>
              </w:numPr>
              <w:spacing w:line="380" w:lineRule="exact"/>
              <w:rPr>
                <w:rFonts w:ascii="宋体" w:hAnsi="宋体" w:cs="宋体"/>
                <w:bCs/>
                <w:kern w:val="2"/>
                <w:sz w:val="24"/>
                <w:szCs w:val="24"/>
              </w:rPr>
            </w:pPr>
            <w:r>
              <w:rPr>
                <w:rFonts w:hint="eastAsia" w:ascii="宋体" w:hAnsi="宋体" w:cs="宋体"/>
                <w:bCs/>
                <w:kern w:val="2"/>
                <w:sz w:val="24"/>
                <w:szCs w:val="24"/>
              </w:rPr>
              <w:t>采 购 人：</w:t>
            </w:r>
            <w:r>
              <w:rPr>
                <w:rFonts w:hint="eastAsia" w:ascii="宋体" w:hAnsi="宋体"/>
                <w:bCs/>
                <w:sz w:val="24"/>
                <w:szCs w:val="24"/>
              </w:rPr>
              <w:t>厦门同集热电有限公司</w:t>
            </w:r>
          </w:p>
          <w:p>
            <w:pPr>
              <w:numPr>
                <w:ilvl w:val="0"/>
                <w:numId w:val="8"/>
              </w:numPr>
              <w:spacing w:line="380" w:lineRule="exact"/>
              <w:rPr>
                <w:rFonts w:ascii="宋体" w:hAnsi="宋体" w:cs="宋体"/>
                <w:bCs/>
                <w:kern w:val="2"/>
                <w:sz w:val="24"/>
                <w:szCs w:val="24"/>
              </w:rPr>
            </w:pPr>
            <w:r>
              <w:rPr>
                <w:rFonts w:hint="eastAsia" w:ascii="宋体" w:hAnsi="宋体" w:cs="宋体"/>
                <w:bCs/>
                <w:kern w:val="2"/>
                <w:sz w:val="24"/>
                <w:szCs w:val="24"/>
              </w:rPr>
              <w:t>采购方式：公开竞争性谈判</w:t>
            </w:r>
          </w:p>
          <w:p>
            <w:pPr>
              <w:numPr>
                <w:ilvl w:val="0"/>
                <w:numId w:val="8"/>
              </w:numPr>
              <w:spacing w:line="380" w:lineRule="exact"/>
              <w:rPr>
                <w:rFonts w:ascii="宋体" w:hAnsi="宋体" w:cs="宋体"/>
                <w:bCs/>
                <w:kern w:val="2"/>
                <w:sz w:val="24"/>
                <w:szCs w:val="24"/>
              </w:rPr>
            </w:pPr>
            <w:r>
              <w:rPr>
                <w:rFonts w:hint="eastAsia" w:ascii="宋体" w:hAnsi="宋体" w:cs="宋体"/>
                <w:bCs/>
                <w:kern w:val="2"/>
                <w:sz w:val="24"/>
                <w:szCs w:val="24"/>
              </w:rPr>
              <w:t>资金来源：国有企业自筹资金</w:t>
            </w:r>
          </w:p>
          <w:p>
            <w:pPr>
              <w:numPr>
                <w:ilvl w:val="0"/>
                <w:numId w:val="8"/>
              </w:numPr>
              <w:spacing w:line="380" w:lineRule="exact"/>
              <w:rPr>
                <w:rFonts w:ascii="宋体" w:hAnsi="宋体" w:cs="宋体"/>
                <w:bCs/>
                <w:kern w:val="2"/>
                <w:sz w:val="24"/>
                <w:szCs w:val="24"/>
              </w:rPr>
            </w:pPr>
            <w:r>
              <w:rPr>
                <w:rFonts w:hint="eastAsia" w:ascii="宋体" w:hAnsi="宋体" w:cs="宋体"/>
                <w:bCs/>
                <w:kern w:val="2"/>
                <w:sz w:val="24"/>
                <w:szCs w:val="24"/>
              </w:rPr>
              <w:t>项目编号：承揽140[2023]010</w:t>
            </w:r>
          </w:p>
          <w:p>
            <w:pPr>
              <w:numPr>
                <w:ilvl w:val="0"/>
                <w:numId w:val="8"/>
              </w:numPr>
              <w:spacing w:line="380" w:lineRule="exact"/>
              <w:rPr>
                <w:rFonts w:ascii="宋体" w:hAnsi="宋体" w:cs="宋体"/>
                <w:bCs/>
                <w:kern w:val="2"/>
                <w:sz w:val="24"/>
                <w:szCs w:val="24"/>
              </w:rPr>
            </w:pPr>
            <w:r>
              <w:rPr>
                <w:rFonts w:hint="eastAsia" w:ascii="宋体" w:hAnsi="宋体" w:cs="宋体"/>
                <w:bCs/>
                <w:kern w:val="2"/>
                <w:sz w:val="24"/>
                <w:szCs w:val="24"/>
              </w:rPr>
              <w:t>质量要求：检测符合国家相关标准要求</w:t>
            </w:r>
          </w:p>
          <w:p>
            <w:pPr>
              <w:numPr>
                <w:ilvl w:val="0"/>
                <w:numId w:val="8"/>
              </w:numPr>
              <w:spacing w:line="380" w:lineRule="exact"/>
              <w:rPr>
                <w:rFonts w:ascii="宋体" w:hAnsi="宋体" w:cs="宋体"/>
                <w:bCs/>
                <w:kern w:val="2"/>
                <w:sz w:val="24"/>
                <w:szCs w:val="24"/>
              </w:rPr>
            </w:pPr>
            <w:r>
              <w:rPr>
                <w:rFonts w:hint="eastAsia" w:ascii="宋体" w:hAnsi="宋体" w:cs="宋体"/>
                <w:bCs/>
                <w:kern w:val="2"/>
                <w:sz w:val="24"/>
                <w:szCs w:val="24"/>
              </w:rPr>
              <w:t>服务周期</w:t>
            </w:r>
            <w:r>
              <w:rPr>
                <w:rFonts w:hint="eastAsia" w:ascii="宋体" w:hAnsi="宋体" w:cs="宋体"/>
                <w:sz w:val="24"/>
                <w:szCs w:val="24"/>
              </w:rPr>
              <w:t>：</w:t>
            </w:r>
            <w:r>
              <w:rPr>
                <w:rFonts w:hint="eastAsia" w:ascii="宋体" w:hAnsi="宋体"/>
                <w:bCs/>
                <w:sz w:val="24"/>
                <w:szCs w:val="24"/>
              </w:rPr>
              <w:t>2024年1月1日起至2025年12月31日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489" w:type="pct"/>
            <w:noWrap/>
            <w:vAlign w:val="center"/>
          </w:tcPr>
          <w:p>
            <w:pPr>
              <w:spacing w:line="360" w:lineRule="auto"/>
              <w:jc w:val="center"/>
              <w:rPr>
                <w:rFonts w:ascii="宋体" w:hAnsi="宋体" w:cs="宋体"/>
                <w:bCs/>
                <w:kern w:val="2"/>
                <w:sz w:val="24"/>
                <w:szCs w:val="24"/>
              </w:rPr>
            </w:pPr>
            <w:r>
              <w:rPr>
                <w:rFonts w:hint="eastAsia" w:ascii="宋体" w:hAnsi="宋体" w:cs="宋体"/>
                <w:bCs/>
                <w:kern w:val="2"/>
                <w:sz w:val="24"/>
                <w:szCs w:val="24"/>
              </w:rPr>
              <w:t>2</w:t>
            </w:r>
          </w:p>
        </w:tc>
        <w:tc>
          <w:tcPr>
            <w:tcW w:w="4510" w:type="pct"/>
            <w:noWrap/>
            <w:vAlign w:val="center"/>
          </w:tcPr>
          <w:p>
            <w:pPr>
              <w:snapToGrid w:val="0"/>
              <w:spacing w:line="400" w:lineRule="exact"/>
              <w:ind w:left="843" w:hanging="843" w:hangingChars="350"/>
              <w:rPr>
                <w:rFonts w:ascii="宋体" w:hAnsi="宋体" w:cs="宋体"/>
                <w:bCs/>
                <w:kern w:val="2"/>
                <w:sz w:val="24"/>
                <w:szCs w:val="24"/>
              </w:rPr>
            </w:pPr>
            <w:r>
              <w:rPr>
                <w:rFonts w:hint="eastAsia" w:ascii="宋体" w:hAnsi="宋体" w:cs="宋体"/>
                <w:b/>
                <w:bCs/>
                <w:sz w:val="24"/>
                <w:szCs w:val="24"/>
              </w:rPr>
              <w:t>响应人资格要求</w:t>
            </w:r>
          </w:p>
          <w:p>
            <w:pPr>
              <w:pStyle w:val="4"/>
              <w:keepNext w:val="0"/>
              <w:keepLines w:val="0"/>
              <w:kinsoku w:val="0"/>
              <w:overflowPunct w:val="0"/>
              <w:autoSpaceDE w:val="0"/>
              <w:autoSpaceDN w:val="0"/>
              <w:adjustRightInd/>
              <w:spacing w:line="400" w:lineRule="atLeast"/>
              <w:jc w:val="both"/>
              <w:textAlignment w:val="auto"/>
              <w:rPr>
                <w:rFonts w:ascii="宋体" w:hAnsi="宋体" w:eastAsia="宋体"/>
                <w:b w:val="0"/>
                <w:bCs/>
                <w:spacing w:val="0"/>
                <w:sz w:val="24"/>
                <w:szCs w:val="24"/>
              </w:rPr>
            </w:pPr>
            <w:r>
              <w:rPr>
                <w:rFonts w:hint="eastAsia" w:ascii="宋体" w:hAnsi="宋体" w:eastAsia="宋体"/>
                <w:b w:val="0"/>
                <w:bCs/>
                <w:spacing w:val="0"/>
                <w:sz w:val="24"/>
                <w:szCs w:val="24"/>
              </w:rPr>
              <w:t>1、响应谈判文件、参加报价竞争的中华人民共和国境内的企业法人，且具有独立订立合同的权力，提供营业执照和资质证书复印件并加盖公章。</w:t>
            </w:r>
          </w:p>
          <w:p>
            <w:pPr>
              <w:pStyle w:val="4"/>
              <w:keepNext w:val="0"/>
              <w:keepLines w:val="0"/>
              <w:kinsoku w:val="0"/>
              <w:overflowPunct w:val="0"/>
              <w:autoSpaceDE w:val="0"/>
              <w:autoSpaceDN w:val="0"/>
              <w:adjustRightInd/>
              <w:spacing w:line="400" w:lineRule="atLeast"/>
              <w:jc w:val="both"/>
              <w:textAlignment w:val="auto"/>
              <w:rPr>
                <w:rFonts w:ascii="宋体" w:hAnsi="宋体" w:eastAsia="宋体"/>
                <w:b w:val="0"/>
                <w:bCs/>
                <w:spacing w:val="0"/>
                <w:sz w:val="24"/>
                <w:szCs w:val="24"/>
              </w:rPr>
            </w:pPr>
            <w:r>
              <w:rPr>
                <w:rFonts w:hint="eastAsia" w:ascii="宋体" w:hAnsi="宋体" w:eastAsia="宋体"/>
                <w:b w:val="0"/>
                <w:bCs/>
                <w:spacing w:val="0"/>
                <w:sz w:val="24"/>
                <w:szCs w:val="24"/>
              </w:rPr>
              <w:t>2、</w:t>
            </w:r>
            <w:r>
              <w:rPr>
                <w:rFonts w:hint="eastAsia" w:ascii="宋体" w:hAnsi="宋体" w:eastAsia="宋体"/>
                <w:b w:val="0"/>
                <w:sz w:val="24"/>
                <w:szCs w:val="24"/>
              </w:rPr>
              <w:t>具备“CMA”认证资质。资质范围需涵盖我司本招标所有的污染物指标监测。</w:t>
            </w:r>
          </w:p>
          <w:p>
            <w:pPr>
              <w:pStyle w:val="4"/>
              <w:keepNext w:val="0"/>
              <w:keepLines w:val="0"/>
              <w:kinsoku w:val="0"/>
              <w:overflowPunct w:val="0"/>
              <w:autoSpaceDE w:val="0"/>
              <w:autoSpaceDN w:val="0"/>
              <w:adjustRightInd/>
              <w:spacing w:line="400" w:lineRule="atLeast"/>
              <w:jc w:val="both"/>
              <w:textAlignment w:val="auto"/>
              <w:rPr>
                <w:rFonts w:ascii="宋体" w:hAnsi="宋体" w:eastAsia="宋体"/>
                <w:b w:val="0"/>
                <w:bCs/>
                <w:spacing w:val="0"/>
                <w:sz w:val="24"/>
                <w:szCs w:val="24"/>
              </w:rPr>
            </w:pPr>
            <w:r>
              <w:rPr>
                <w:rFonts w:hint="eastAsia" w:ascii="宋体" w:hAnsi="宋体" w:eastAsia="宋体"/>
                <w:b w:val="0"/>
                <w:bCs/>
                <w:spacing w:val="0"/>
                <w:sz w:val="24"/>
                <w:szCs w:val="24"/>
              </w:rPr>
              <w:t>3、自2021年1月1日起具有至少2项类似的监测服务业绩，提供业绩合同复印件</w:t>
            </w:r>
            <w:r>
              <w:rPr>
                <w:rFonts w:hint="eastAsia" w:ascii="宋体" w:hAnsi="宋体" w:eastAsia="宋体"/>
                <w:b w:val="0"/>
                <w:sz w:val="24"/>
                <w:szCs w:val="24"/>
              </w:rPr>
              <w:t>并加盖公章</w:t>
            </w:r>
            <w:r>
              <w:rPr>
                <w:rFonts w:hint="eastAsia" w:ascii="宋体" w:hAnsi="宋体" w:eastAsia="宋体"/>
                <w:b w:val="0"/>
                <w:bCs/>
                <w:spacing w:val="0"/>
                <w:sz w:val="24"/>
                <w:szCs w:val="24"/>
              </w:rPr>
              <w:t>。</w:t>
            </w:r>
          </w:p>
          <w:p>
            <w:pPr>
              <w:pStyle w:val="4"/>
              <w:keepNext w:val="0"/>
              <w:keepLines w:val="0"/>
              <w:kinsoku w:val="0"/>
              <w:overflowPunct w:val="0"/>
              <w:autoSpaceDE w:val="0"/>
              <w:autoSpaceDN w:val="0"/>
              <w:adjustRightInd/>
              <w:spacing w:line="400" w:lineRule="atLeast"/>
              <w:jc w:val="both"/>
              <w:textAlignment w:val="auto"/>
              <w:rPr>
                <w:rFonts w:ascii="宋体" w:hAnsi="宋体" w:eastAsia="宋体"/>
                <w:b w:val="0"/>
                <w:bCs/>
                <w:spacing w:val="0"/>
                <w:sz w:val="24"/>
                <w:szCs w:val="24"/>
              </w:rPr>
            </w:pPr>
            <w:r>
              <w:rPr>
                <w:rFonts w:hint="eastAsia" w:ascii="宋体" w:hAnsi="宋体" w:eastAsia="宋体"/>
                <w:b w:val="0"/>
                <w:bCs/>
                <w:spacing w:val="0"/>
                <w:sz w:val="24"/>
                <w:szCs w:val="24"/>
              </w:rPr>
              <w:t>4、报价方法定代表人证明书或法人授权委托书。</w:t>
            </w:r>
          </w:p>
          <w:p>
            <w:pPr>
              <w:spacing w:line="360" w:lineRule="auto"/>
              <w:rPr>
                <w:rFonts w:ascii="宋体" w:hAnsi="宋体" w:cs="宋体"/>
                <w:bCs/>
                <w:kern w:val="2"/>
                <w:sz w:val="24"/>
                <w:szCs w:val="24"/>
              </w:rPr>
            </w:pPr>
            <w:r>
              <w:rPr>
                <w:rFonts w:hint="eastAsia" w:ascii="宋体" w:hAnsi="宋体" w:cs="宋体"/>
                <w:bCs/>
                <w:kern w:val="2"/>
                <w:sz w:val="24"/>
                <w:szCs w:val="24"/>
              </w:rPr>
              <w:t>5、本项目不接受联合体投标。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89" w:type="pct"/>
            <w:noWrap/>
            <w:vAlign w:val="center"/>
          </w:tcPr>
          <w:p>
            <w:pPr>
              <w:spacing w:line="400" w:lineRule="exact"/>
              <w:jc w:val="center"/>
              <w:rPr>
                <w:rFonts w:ascii="宋体" w:hAnsi="宋体" w:cs="宋体"/>
                <w:sz w:val="24"/>
                <w:szCs w:val="24"/>
              </w:rPr>
            </w:pPr>
            <w:r>
              <w:rPr>
                <w:rFonts w:hint="eastAsia" w:ascii="宋体" w:hAnsi="宋体" w:cs="宋体"/>
                <w:sz w:val="24"/>
                <w:szCs w:val="24"/>
              </w:rPr>
              <w:t>3</w:t>
            </w:r>
          </w:p>
        </w:tc>
        <w:tc>
          <w:tcPr>
            <w:tcW w:w="4510" w:type="pct"/>
            <w:noWrap/>
            <w:vAlign w:val="center"/>
          </w:tcPr>
          <w:p>
            <w:pPr>
              <w:snapToGrid w:val="0"/>
              <w:spacing w:line="400" w:lineRule="exact"/>
              <w:ind w:left="843" w:hanging="843" w:hangingChars="350"/>
              <w:rPr>
                <w:rFonts w:ascii="宋体" w:hAnsi="宋体" w:cs="宋体"/>
                <w:sz w:val="24"/>
                <w:szCs w:val="24"/>
              </w:rPr>
            </w:pPr>
            <w:r>
              <w:rPr>
                <w:rFonts w:hint="eastAsia" w:ascii="宋体" w:hAnsi="宋体" w:cs="宋体"/>
                <w:b/>
                <w:bCs/>
                <w:sz w:val="24"/>
                <w:szCs w:val="24"/>
              </w:rPr>
              <w:t>踏勘现场：</w:t>
            </w:r>
            <w:r>
              <w:rPr>
                <w:rFonts w:hint="eastAsia" w:ascii="宋体" w:hAnsi="宋体" w:cs="宋体"/>
                <w:bCs/>
                <w:sz w:val="24"/>
                <w:szCs w:val="24"/>
              </w:rPr>
              <w:t>自行组织</w:t>
            </w:r>
          </w:p>
          <w:p>
            <w:pPr>
              <w:spacing w:line="400" w:lineRule="exact"/>
              <w:jc w:val="left"/>
              <w:rPr>
                <w:rFonts w:ascii="宋体" w:hAnsi="宋体" w:cs="宋体"/>
                <w:b/>
                <w:bCs/>
                <w:sz w:val="24"/>
                <w:szCs w:val="24"/>
              </w:rPr>
            </w:pPr>
            <w:r>
              <w:rPr>
                <w:rFonts w:hint="eastAsia" w:ascii="宋体" w:hAnsi="宋体" w:cs="宋体"/>
                <w:b/>
                <w:bCs/>
                <w:sz w:val="24"/>
                <w:szCs w:val="24"/>
              </w:rPr>
              <w:t>答疑形式：</w:t>
            </w:r>
            <w:r>
              <w:rPr>
                <w:rFonts w:hint="eastAsia" w:ascii="宋体" w:hAnsi="宋体" w:cs="宋体"/>
                <w:bCs/>
                <w:sz w:val="24"/>
                <w:szCs w:val="24"/>
              </w:rPr>
              <w:t>本项目不举行答疑会，如有问题可与采购人联系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89" w:type="pct"/>
            <w:noWrap/>
            <w:vAlign w:val="center"/>
          </w:tcPr>
          <w:p>
            <w:pPr>
              <w:spacing w:line="400" w:lineRule="exact"/>
              <w:jc w:val="center"/>
              <w:rPr>
                <w:rFonts w:ascii="宋体" w:hAnsi="宋体" w:cs="宋体"/>
                <w:sz w:val="24"/>
                <w:szCs w:val="24"/>
              </w:rPr>
            </w:pPr>
            <w:r>
              <w:rPr>
                <w:rFonts w:hint="eastAsia" w:ascii="宋体" w:hAnsi="宋体" w:cs="宋体"/>
                <w:sz w:val="24"/>
                <w:szCs w:val="24"/>
              </w:rPr>
              <w:t>4</w:t>
            </w:r>
          </w:p>
        </w:tc>
        <w:tc>
          <w:tcPr>
            <w:tcW w:w="4510" w:type="pct"/>
            <w:noWrap/>
            <w:vAlign w:val="center"/>
          </w:tcPr>
          <w:p>
            <w:pPr>
              <w:spacing w:line="400" w:lineRule="exact"/>
              <w:jc w:val="left"/>
              <w:rPr>
                <w:rFonts w:ascii="宋体" w:hAnsi="宋体" w:cs="宋体"/>
                <w:sz w:val="24"/>
                <w:szCs w:val="24"/>
              </w:rPr>
            </w:pPr>
            <w:r>
              <w:rPr>
                <w:rFonts w:hint="eastAsia" w:ascii="宋体" w:hAnsi="宋体" w:cs="宋体"/>
                <w:b/>
                <w:sz w:val="24"/>
                <w:szCs w:val="24"/>
              </w:rPr>
              <w:t>响应报价文件有效期：</w:t>
            </w:r>
            <w:r>
              <w:rPr>
                <w:rFonts w:hint="eastAsia" w:ascii="宋体" w:hAnsi="宋体" w:cs="宋体"/>
                <w:sz w:val="24"/>
                <w:szCs w:val="24"/>
              </w:rPr>
              <w:t>自谈判截止日起60天（日历天）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489" w:type="pct"/>
            <w:noWrap/>
            <w:vAlign w:val="center"/>
          </w:tcPr>
          <w:p>
            <w:pPr>
              <w:spacing w:line="400" w:lineRule="exact"/>
              <w:jc w:val="center"/>
              <w:rPr>
                <w:rFonts w:ascii="宋体" w:hAnsi="宋体" w:cs="宋体"/>
                <w:sz w:val="24"/>
                <w:szCs w:val="24"/>
              </w:rPr>
            </w:pPr>
            <w:r>
              <w:rPr>
                <w:rFonts w:hint="eastAsia" w:ascii="宋体" w:hAnsi="宋体" w:cs="宋体"/>
                <w:sz w:val="24"/>
                <w:szCs w:val="24"/>
              </w:rPr>
              <w:t>5</w:t>
            </w:r>
          </w:p>
        </w:tc>
        <w:tc>
          <w:tcPr>
            <w:tcW w:w="4510" w:type="pct"/>
            <w:noWrap/>
            <w:vAlign w:val="center"/>
          </w:tcPr>
          <w:p>
            <w:pPr>
              <w:spacing w:line="400" w:lineRule="exact"/>
              <w:jc w:val="left"/>
              <w:rPr>
                <w:rFonts w:ascii="宋体" w:hAnsi="宋体" w:cs="宋体"/>
                <w:sz w:val="24"/>
                <w:szCs w:val="24"/>
              </w:rPr>
            </w:pPr>
            <w:r>
              <w:rPr>
                <w:rFonts w:hint="eastAsia" w:ascii="宋体" w:hAnsi="宋体" w:cs="宋体"/>
                <w:b/>
                <w:bCs/>
                <w:sz w:val="24"/>
                <w:szCs w:val="24"/>
              </w:rPr>
              <w:t>响应报价文件装订要求</w:t>
            </w:r>
            <w:r>
              <w:rPr>
                <w:rFonts w:hint="eastAsia" w:ascii="宋体" w:hAnsi="宋体" w:cs="宋体"/>
                <w:sz w:val="24"/>
                <w:szCs w:val="24"/>
              </w:rPr>
              <w:t>：响应报价文件应装订成册，装订采用左侧装订。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489" w:type="pct"/>
            <w:noWrap/>
            <w:vAlign w:val="center"/>
          </w:tcPr>
          <w:p>
            <w:pPr>
              <w:spacing w:line="400" w:lineRule="exact"/>
              <w:jc w:val="center"/>
              <w:rPr>
                <w:rFonts w:ascii="宋体" w:hAnsi="宋体" w:cs="宋体"/>
                <w:sz w:val="24"/>
                <w:szCs w:val="24"/>
              </w:rPr>
            </w:pPr>
            <w:r>
              <w:rPr>
                <w:rFonts w:hint="eastAsia" w:ascii="宋体" w:hAnsi="宋体" w:cs="宋体"/>
                <w:sz w:val="24"/>
                <w:szCs w:val="24"/>
              </w:rPr>
              <w:t>6</w:t>
            </w:r>
          </w:p>
        </w:tc>
        <w:tc>
          <w:tcPr>
            <w:tcW w:w="4510" w:type="pct"/>
            <w:noWrap/>
            <w:vAlign w:val="center"/>
          </w:tcPr>
          <w:p>
            <w:pPr>
              <w:spacing w:line="400" w:lineRule="exact"/>
              <w:jc w:val="left"/>
              <w:rPr>
                <w:rFonts w:ascii="宋体" w:hAnsi="宋体" w:cs="宋体"/>
                <w:sz w:val="24"/>
                <w:szCs w:val="24"/>
              </w:rPr>
            </w:pPr>
            <w:r>
              <w:rPr>
                <w:rFonts w:hint="eastAsia" w:ascii="宋体" w:hAnsi="宋体" w:cs="宋体"/>
                <w:b/>
                <w:bCs/>
                <w:sz w:val="24"/>
                <w:szCs w:val="24"/>
              </w:rPr>
              <w:t>响应报价文件递交截止日期</w:t>
            </w:r>
            <w:r>
              <w:rPr>
                <w:rFonts w:hint="eastAsia" w:ascii="宋体" w:hAnsi="宋体" w:cs="宋体"/>
                <w:sz w:val="24"/>
                <w:szCs w:val="24"/>
              </w:rPr>
              <w:t>：2023年</w:t>
            </w:r>
            <w:r>
              <w:rPr>
                <w:rFonts w:hint="eastAsia" w:ascii="宋体" w:hAnsi="宋体" w:cs="宋体"/>
                <w:sz w:val="24"/>
                <w:szCs w:val="24"/>
                <w:lang w:val="en-US" w:eastAsia="zh-CN"/>
              </w:rPr>
              <w:t>12</w:t>
            </w:r>
            <w:r>
              <w:rPr>
                <w:rFonts w:hint="eastAsia" w:ascii="宋体" w:hAnsi="宋体" w:cs="宋体"/>
                <w:sz w:val="24"/>
                <w:szCs w:val="24"/>
              </w:rPr>
              <w:t xml:space="preserve"> 月</w:t>
            </w:r>
            <w:r>
              <w:rPr>
                <w:rFonts w:hint="eastAsia" w:ascii="宋体" w:hAnsi="宋体" w:cs="宋体"/>
                <w:sz w:val="24"/>
                <w:szCs w:val="24"/>
                <w:lang w:val="en-US" w:eastAsia="zh-CN"/>
              </w:rPr>
              <w:t>21</w:t>
            </w:r>
            <w:r>
              <w:rPr>
                <w:rFonts w:hint="eastAsia" w:ascii="宋体" w:hAnsi="宋体" w:cs="宋体"/>
                <w:sz w:val="24"/>
                <w:szCs w:val="24"/>
              </w:rPr>
              <w:t xml:space="preserve"> 日</w:t>
            </w:r>
            <w:r>
              <w:rPr>
                <w:rFonts w:hint="eastAsia" w:ascii="宋体" w:hAnsi="宋体" w:cs="宋体"/>
                <w:sz w:val="24"/>
                <w:szCs w:val="24"/>
                <w:lang w:val="en-US" w:eastAsia="zh-CN"/>
              </w:rPr>
              <w:t>10</w:t>
            </w:r>
            <w:r>
              <w:rPr>
                <w:rFonts w:hint="eastAsia" w:ascii="宋体" w:hAnsi="宋体" w:cs="宋体"/>
                <w:sz w:val="24"/>
                <w:szCs w:val="24"/>
              </w:rPr>
              <w:t xml:space="preserve"> 时</w:t>
            </w:r>
            <w:r>
              <w:rPr>
                <w:rFonts w:hint="eastAsia" w:ascii="宋体" w:hAnsi="宋体" w:cs="宋体"/>
                <w:sz w:val="24"/>
                <w:szCs w:val="24"/>
                <w:lang w:val="en-US" w:eastAsia="zh-CN"/>
              </w:rPr>
              <w:t>0</w:t>
            </w:r>
            <w:r>
              <w:rPr>
                <w:rFonts w:hint="eastAsia" w:ascii="宋体" w:hAnsi="宋体" w:cs="宋体"/>
                <w:sz w:val="24"/>
                <w:szCs w:val="24"/>
              </w:rPr>
              <w:t xml:space="preserve"> 分</w:t>
            </w:r>
          </w:p>
          <w:p>
            <w:pPr>
              <w:spacing w:line="400" w:lineRule="exact"/>
              <w:jc w:val="left"/>
              <w:rPr>
                <w:rFonts w:ascii="宋体" w:hAnsi="宋体" w:cs="宋体"/>
                <w:sz w:val="24"/>
                <w:szCs w:val="24"/>
              </w:rPr>
            </w:pPr>
            <w:r>
              <w:rPr>
                <w:rFonts w:hint="eastAsia" w:ascii="宋体" w:hAnsi="宋体" w:cs="宋体"/>
                <w:b/>
                <w:bCs/>
                <w:sz w:val="24"/>
                <w:szCs w:val="24"/>
              </w:rPr>
              <w:t>响应报价文件递交至</w:t>
            </w:r>
            <w:r>
              <w:rPr>
                <w:rFonts w:hint="eastAsia" w:ascii="宋体" w:hAnsi="宋体" w:cs="宋体"/>
                <w:sz w:val="24"/>
                <w:szCs w:val="24"/>
              </w:rPr>
              <w:t>：厦门同集热电有限公司2楼安保部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489" w:type="pct"/>
            <w:noWrap/>
            <w:vAlign w:val="center"/>
          </w:tcPr>
          <w:p>
            <w:pPr>
              <w:spacing w:line="400" w:lineRule="exact"/>
              <w:jc w:val="center"/>
              <w:rPr>
                <w:rFonts w:ascii="宋体" w:hAnsi="宋体" w:cs="宋体"/>
                <w:sz w:val="24"/>
                <w:szCs w:val="24"/>
              </w:rPr>
            </w:pPr>
            <w:r>
              <w:rPr>
                <w:rFonts w:hint="eastAsia" w:ascii="宋体" w:hAnsi="宋体" w:cs="宋体"/>
                <w:sz w:val="24"/>
                <w:szCs w:val="24"/>
              </w:rPr>
              <w:t>7</w:t>
            </w:r>
          </w:p>
        </w:tc>
        <w:tc>
          <w:tcPr>
            <w:tcW w:w="4510" w:type="pct"/>
            <w:noWrap/>
            <w:vAlign w:val="center"/>
          </w:tcPr>
          <w:p>
            <w:pPr>
              <w:spacing w:line="400" w:lineRule="exact"/>
              <w:jc w:val="left"/>
              <w:rPr>
                <w:rFonts w:ascii="宋体" w:hAnsi="宋体" w:cs="宋体"/>
                <w:sz w:val="24"/>
                <w:szCs w:val="24"/>
              </w:rPr>
            </w:pPr>
            <w:r>
              <w:rPr>
                <w:rFonts w:hint="eastAsia" w:ascii="宋体" w:hAnsi="宋体" w:cs="宋体"/>
                <w:b/>
                <w:bCs/>
                <w:sz w:val="24"/>
                <w:szCs w:val="24"/>
              </w:rPr>
              <w:t>谈判时间</w:t>
            </w:r>
            <w:r>
              <w:rPr>
                <w:rFonts w:hint="eastAsia" w:ascii="宋体" w:hAnsi="宋体" w:cs="宋体"/>
                <w:sz w:val="24"/>
                <w:szCs w:val="24"/>
              </w:rPr>
              <w:t>：2023年</w:t>
            </w:r>
            <w:r>
              <w:rPr>
                <w:rFonts w:hint="eastAsia" w:ascii="宋体" w:hAnsi="宋体" w:cs="宋体"/>
                <w:sz w:val="24"/>
                <w:szCs w:val="24"/>
                <w:lang w:val="en-US" w:eastAsia="zh-CN"/>
              </w:rPr>
              <w:t>12</w:t>
            </w:r>
            <w:r>
              <w:rPr>
                <w:rFonts w:hint="eastAsia" w:ascii="宋体" w:hAnsi="宋体" w:cs="宋体"/>
                <w:sz w:val="24"/>
                <w:szCs w:val="24"/>
              </w:rPr>
              <w:t xml:space="preserve"> 月</w:t>
            </w:r>
            <w:r>
              <w:rPr>
                <w:rFonts w:hint="eastAsia" w:ascii="宋体" w:hAnsi="宋体" w:cs="宋体"/>
                <w:sz w:val="24"/>
                <w:szCs w:val="24"/>
                <w:lang w:val="en-US" w:eastAsia="zh-CN"/>
              </w:rPr>
              <w:t>21</w:t>
            </w:r>
            <w:r>
              <w:rPr>
                <w:rFonts w:hint="eastAsia" w:ascii="宋体" w:hAnsi="宋体" w:cs="宋体"/>
                <w:sz w:val="24"/>
                <w:szCs w:val="24"/>
              </w:rPr>
              <w:t xml:space="preserve"> 日</w:t>
            </w:r>
            <w:r>
              <w:rPr>
                <w:rFonts w:hint="eastAsia" w:ascii="宋体" w:hAnsi="宋体" w:cs="宋体"/>
                <w:sz w:val="24"/>
                <w:szCs w:val="24"/>
                <w:lang w:val="en-US" w:eastAsia="zh-CN"/>
              </w:rPr>
              <w:t>10</w:t>
            </w:r>
            <w:r>
              <w:rPr>
                <w:rFonts w:hint="eastAsia" w:ascii="宋体" w:hAnsi="宋体" w:cs="宋体"/>
                <w:sz w:val="24"/>
                <w:szCs w:val="24"/>
              </w:rPr>
              <w:t xml:space="preserve"> 时</w:t>
            </w:r>
            <w:r>
              <w:rPr>
                <w:rFonts w:hint="eastAsia" w:ascii="宋体" w:hAnsi="宋体" w:cs="宋体"/>
                <w:sz w:val="24"/>
                <w:szCs w:val="24"/>
                <w:lang w:val="en-US" w:eastAsia="zh-CN"/>
              </w:rPr>
              <w:t>0</w:t>
            </w:r>
            <w:r>
              <w:rPr>
                <w:rFonts w:hint="eastAsia" w:ascii="宋体" w:hAnsi="宋体" w:cs="宋体"/>
                <w:sz w:val="24"/>
                <w:szCs w:val="24"/>
              </w:rPr>
              <w:t xml:space="preserve"> 分</w:t>
            </w:r>
          </w:p>
          <w:p>
            <w:pPr>
              <w:spacing w:line="400" w:lineRule="exact"/>
              <w:jc w:val="left"/>
              <w:rPr>
                <w:rFonts w:ascii="宋体" w:hAnsi="宋体" w:cs="宋体"/>
                <w:sz w:val="24"/>
                <w:szCs w:val="24"/>
              </w:rPr>
            </w:pPr>
            <w:r>
              <w:rPr>
                <w:rFonts w:hint="eastAsia" w:ascii="宋体" w:hAnsi="宋体" w:cs="宋体"/>
                <w:b/>
                <w:bCs/>
                <w:sz w:val="24"/>
                <w:szCs w:val="24"/>
              </w:rPr>
              <w:t>谈判地点</w:t>
            </w:r>
            <w:r>
              <w:rPr>
                <w:rFonts w:hint="eastAsia" w:ascii="宋体" w:hAnsi="宋体" w:cs="宋体"/>
                <w:sz w:val="24"/>
                <w:szCs w:val="24"/>
              </w:rPr>
              <w:t xml:space="preserve">：厦门同集热电有限公司一楼会议室谈判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489" w:type="pct"/>
            <w:noWrap/>
            <w:vAlign w:val="center"/>
          </w:tcPr>
          <w:p>
            <w:pPr>
              <w:spacing w:line="400" w:lineRule="exact"/>
              <w:jc w:val="center"/>
              <w:rPr>
                <w:rFonts w:ascii="宋体" w:hAnsi="宋体" w:cs="宋体"/>
                <w:sz w:val="24"/>
                <w:szCs w:val="24"/>
              </w:rPr>
            </w:pPr>
            <w:r>
              <w:rPr>
                <w:rFonts w:hint="eastAsia" w:ascii="宋体" w:hAnsi="宋体" w:cs="宋体"/>
                <w:sz w:val="24"/>
                <w:szCs w:val="24"/>
              </w:rPr>
              <w:t>8</w:t>
            </w:r>
          </w:p>
        </w:tc>
        <w:tc>
          <w:tcPr>
            <w:tcW w:w="4510" w:type="pct"/>
            <w:noWrap/>
            <w:vAlign w:val="center"/>
          </w:tcPr>
          <w:p>
            <w:pPr>
              <w:spacing w:line="400" w:lineRule="exact"/>
              <w:jc w:val="left"/>
              <w:rPr>
                <w:rFonts w:ascii="宋体" w:hAnsi="宋体" w:cs="宋体"/>
                <w:b/>
                <w:bCs/>
                <w:sz w:val="24"/>
                <w:szCs w:val="24"/>
              </w:rPr>
            </w:pPr>
            <w:r>
              <w:rPr>
                <w:rFonts w:hint="eastAsia" w:ascii="宋体" w:hAnsi="宋体" w:cs="宋体"/>
                <w:b/>
                <w:bCs/>
                <w:sz w:val="24"/>
                <w:szCs w:val="24"/>
              </w:rPr>
              <w:t>谈判规则：</w:t>
            </w:r>
          </w:p>
          <w:p>
            <w:pPr>
              <w:numPr>
                <w:ilvl w:val="0"/>
                <w:numId w:val="9"/>
              </w:numPr>
              <w:spacing w:line="400" w:lineRule="exact"/>
              <w:jc w:val="left"/>
              <w:rPr>
                <w:rFonts w:ascii="宋体" w:hAnsi="宋体"/>
                <w:sz w:val="24"/>
                <w:szCs w:val="24"/>
              </w:rPr>
            </w:pPr>
            <w:r>
              <w:rPr>
                <w:rFonts w:hint="eastAsia" w:ascii="宋体" w:hAnsi="宋体"/>
                <w:sz w:val="24"/>
                <w:szCs w:val="24"/>
              </w:rPr>
              <w:t>谈判小组对报价方进行资格性和符合性审查，报价方不符合资格性及符合性条款和“*”条款要求，视为无效响应报价文件；</w:t>
            </w:r>
          </w:p>
          <w:p>
            <w:pPr>
              <w:numPr>
                <w:ilvl w:val="0"/>
                <w:numId w:val="9"/>
              </w:numPr>
              <w:spacing w:line="400" w:lineRule="exact"/>
              <w:jc w:val="left"/>
              <w:rPr>
                <w:rFonts w:ascii="宋体" w:hAnsi="宋体"/>
                <w:sz w:val="24"/>
                <w:szCs w:val="24"/>
              </w:rPr>
            </w:pPr>
            <w:r>
              <w:rPr>
                <w:rFonts w:hint="eastAsia" w:ascii="宋体" w:hAnsi="宋体"/>
                <w:sz w:val="24"/>
                <w:szCs w:val="24"/>
              </w:rPr>
              <w:t>谈判小组在对报价文件的有效性、完整性和响应程度进行审查时，可以要求报价方对报价文件中含义不明确、同类问题表述不一致或者有明显文字和计算错误的内容等作出必要的澄清、说明或者更正。报价方需作出澄清、说明或者更正。符合实质性响应要求的报价方进入谈判程序。</w:t>
            </w:r>
          </w:p>
          <w:p>
            <w:pPr>
              <w:numPr>
                <w:ilvl w:val="0"/>
                <w:numId w:val="9"/>
              </w:numPr>
              <w:spacing w:line="400" w:lineRule="exact"/>
              <w:jc w:val="left"/>
              <w:rPr>
                <w:rFonts w:ascii="宋体" w:hAnsi="宋体"/>
                <w:sz w:val="24"/>
                <w:szCs w:val="24"/>
              </w:rPr>
            </w:pPr>
            <w:r>
              <w:rPr>
                <w:rFonts w:hint="eastAsia" w:ascii="宋体" w:hAnsi="宋体"/>
                <w:sz w:val="24"/>
                <w:szCs w:val="24"/>
              </w:rPr>
              <w:t>谈判小组与通过资格和符合性审查且报价最低的前三位报价方进行谈判判。谈判小组所有成员应当集中与单一报价方分别进行谈判，谈判顺序采用随机抽取的方法确认。</w:t>
            </w:r>
          </w:p>
          <w:p>
            <w:pPr>
              <w:numPr>
                <w:ilvl w:val="0"/>
                <w:numId w:val="9"/>
              </w:numPr>
              <w:spacing w:line="400" w:lineRule="exact"/>
              <w:jc w:val="left"/>
              <w:rPr>
                <w:rFonts w:ascii="宋体" w:hAnsi="宋体"/>
                <w:sz w:val="24"/>
                <w:szCs w:val="24"/>
              </w:rPr>
            </w:pPr>
            <w:r>
              <w:rPr>
                <w:rFonts w:hint="eastAsia" w:ascii="宋体" w:hAnsi="宋体"/>
                <w:sz w:val="24"/>
                <w:szCs w:val="24"/>
              </w:rPr>
              <w:t>谈判小组对采购文件和报价文件提出重点的谈判内容，根据采购文件及有关规定，与已递送报价文件的各报价方进行一轮谈判。投标报价方未到现场，视为维持谈判文件和报价价格不变。</w:t>
            </w:r>
          </w:p>
          <w:p>
            <w:pPr>
              <w:numPr>
                <w:ilvl w:val="0"/>
                <w:numId w:val="9"/>
              </w:numPr>
              <w:spacing w:line="400" w:lineRule="exact"/>
              <w:jc w:val="left"/>
              <w:rPr>
                <w:rFonts w:ascii="宋体" w:hAnsi="宋体"/>
                <w:sz w:val="24"/>
                <w:szCs w:val="24"/>
              </w:rPr>
            </w:pPr>
            <w:r>
              <w:rPr>
                <w:rFonts w:hint="eastAsia" w:ascii="宋体" w:hAnsi="宋体"/>
                <w:sz w:val="24"/>
                <w:szCs w:val="24"/>
              </w:rPr>
              <w:t>除非采购文件中的技术、服务要求以及合同草案条款有实质性变动的，否则后一次的报价不得高于前一次的报价，若有出现该情况的，则后一次的报价无效，以前一次的报价为准。</w:t>
            </w:r>
          </w:p>
          <w:p>
            <w:pPr>
              <w:numPr>
                <w:ilvl w:val="0"/>
                <w:numId w:val="9"/>
              </w:numPr>
              <w:spacing w:line="400" w:lineRule="exact"/>
              <w:jc w:val="left"/>
              <w:rPr>
                <w:rFonts w:ascii="宋体" w:hAnsi="宋体"/>
                <w:b/>
                <w:bCs/>
                <w:sz w:val="24"/>
                <w:szCs w:val="24"/>
              </w:rPr>
            </w:pPr>
            <w:r>
              <w:rPr>
                <w:rFonts w:hint="eastAsia" w:ascii="宋体" w:hAnsi="宋体"/>
                <w:b/>
                <w:bCs/>
                <w:sz w:val="24"/>
                <w:szCs w:val="24"/>
              </w:rPr>
              <w:t>响应报价方代表参加谈判并签署报价文件，谈判时应出示身份证原件。</w:t>
            </w:r>
          </w:p>
          <w:p>
            <w:pPr>
              <w:numPr>
                <w:ilvl w:val="0"/>
                <w:numId w:val="9"/>
              </w:numPr>
              <w:spacing w:line="400" w:lineRule="exact"/>
              <w:jc w:val="left"/>
              <w:rPr>
                <w:rFonts w:ascii="宋体" w:hAnsi="宋体"/>
                <w:sz w:val="24"/>
                <w:szCs w:val="24"/>
              </w:rPr>
            </w:pPr>
            <w:r>
              <w:rPr>
                <w:rFonts w:hint="eastAsia" w:ascii="宋体" w:hAnsi="宋体"/>
                <w:sz w:val="24"/>
                <w:szCs w:val="24"/>
              </w:rPr>
              <w:t>在谈判活动中，有关人员不得透露与谈判有关的一切技术资料、价格和其它信息给其他报价方。</w:t>
            </w:r>
          </w:p>
          <w:p>
            <w:pPr>
              <w:numPr>
                <w:ilvl w:val="0"/>
                <w:numId w:val="9"/>
              </w:numPr>
              <w:spacing w:line="400" w:lineRule="exact"/>
              <w:jc w:val="left"/>
              <w:rPr>
                <w:rFonts w:ascii="宋体" w:hAnsi="宋体"/>
                <w:sz w:val="24"/>
                <w:szCs w:val="24"/>
              </w:rPr>
            </w:pPr>
            <w:r>
              <w:rPr>
                <w:rFonts w:hint="eastAsia" w:ascii="宋体" w:hAnsi="宋体"/>
                <w:sz w:val="24"/>
                <w:szCs w:val="24"/>
              </w:rPr>
              <w:t>通过资格和符合性审查且报价未超过项目限高价的响应报价方在3家及以上的，则按照“</w:t>
            </w:r>
            <w:r>
              <w:rPr>
                <w:rFonts w:hint="eastAsia" w:ascii="宋体" w:hAnsi="宋体"/>
                <w:sz w:val="24"/>
                <w:szCs w:val="24"/>
                <w:lang w:val="en-US" w:eastAsia="zh-CN"/>
              </w:rPr>
              <w:t>成交</w:t>
            </w:r>
            <w:r>
              <w:rPr>
                <w:rFonts w:hint="eastAsia" w:ascii="宋体" w:hAnsi="宋体"/>
                <w:sz w:val="24"/>
                <w:szCs w:val="24"/>
              </w:rPr>
              <w:t>原则”确定成交候选单位；通过资格和符合性审查且报价未超过项目限高价的响应报价方不足3家但在1家及以上的，如本项目已经过再次公告或邀请，则按照“</w:t>
            </w:r>
            <w:r>
              <w:rPr>
                <w:rFonts w:hint="eastAsia" w:ascii="宋体" w:hAnsi="宋体"/>
                <w:sz w:val="24"/>
                <w:szCs w:val="24"/>
                <w:lang w:val="en-US" w:eastAsia="zh-CN"/>
              </w:rPr>
              <w:t>成交</w:t>
            </w:r>
            <w:r>
              <w:rPr>
                <w:rFonts w:hint="eastAsia" w:ascii="宋体" w:hAnsi="宋体"/>
                <w:sz w:val="24"/>
                <w:szCs w:val="24"/>
              </w:rPr>
              <w:t>原则”确定成交候选单位，否则本次采购活动终止，采购方将重新发布采购公告。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489" w:type="pct"/>
            <w:noWrap/>
            <w:vAlign w:val="center"/>
          </w:tcPr>
          <w:p>
            <w:pPr>
              <w:spacing w:line="400" w:lineRule="exact"/>
              <w:jc w:val="center"/>
              <w:rPr>
                <w:rFonts w:ascii="宋体" w:hAnsi="宋体" w:cs="宋体"/>
                <w:sz w:val="24"/>
                <w:szCs w:val="24"/>
              </w:rPr>
            </w:pPr>
            <w:r>
              <w:rPr>
                <w:rFonts w:hint="eastAsia" w:ascii="宋体" w:hAnsi="宋体" w:cs="宋体"/>
                <w:sz w:val="24"/>
                <w:szCs w:val="24"/>
              </w:rPr>
              <w:t>9</w:t>
            </w:r>
          </w:p>
        </w:tc>
        <w:tc>
          <w:tcPr>
            <w:tcW w:w="4510" w:type="pct"/>
            <w:noWrap/>
            <w:vAlign w:val="center"/>
          </w:tcPr>
          <w:p>
            <w:pPr>
              <w:spacing w:line="400" w:lineRule="exact"/>
              <w:jc w:val="left"/>
              <w:rPr>
                <w:rFonts w:ascii="宋体" w:hAnsi="宋体"/>
                <w:b/>
                <w:bCs/>
                <w:sz w:val="24"/>
                <w:szCs w:val="24"/>
              </w:rPr>
            </w:pPr>
            <w:r>
              <w:rPr>
                <w:rFonts w:hint="eastAsia" w:ascii="宋体" w:hAnsi="宋体"/>
                <w:b/>
                <w:bCs/>
                <w:sz w:val="24"/>
                <w:szCs w:val="24"/>
              </w:rPr>
              <w:t>谈判评审标准：</w:t>
            </w:r>
          </w:p>
          <w:p>
            <w:pPr>
              <w:numPr>
                <w:ilvl w:val="0"/>
                <w:numId w:val="10"/>
              </w:numPr>
              <w:snapToGrid w:val="0"/>
              <w:spacing w:line="380" w:lineRule="exact"/>
              <w:rPr>
                <w:rFonts w:ascii="宋体" w:hAnsi="宋体"/>
                <w:sz w:val="24"/>
                <w:szCs w:val="24"/>
              </w:rPr>
            </w:pPr>
            <w:r>
              <w:rPr>
                <w:rFonts w:hint="eastAsia" w:ascii="宋体" w:hAnsi="宋体"/>
                <w:sz w:val="24"/>
                <w:szCs w:val="24"/>
              </w:rPr>
              <w:t>实质性响应采购文件要求的报价方即满足采购需求、质量和服务相等的报价方，拟推荐为成交候选单位。谈判小组根据报价由低至高的顺序对成交候选单位进行排序，确定报价最低的成交候选单位为成交供应商。</w:t>
            </w:r>
          </w:p>
          <w:p>
            <w:pPr>
              <w:numPr>
                <w:ilvl w:val="0"/>
                <w:numId w:val="10"/>
              </w:numPr>
              <w:snapToGrid w:val="0"/>
              <w:spacing w:line="380" w:lineRule="exact"/>
              <w:rPr>
                <w:rFonts w:ascii="宋体" w:hAnsi="宋体"/>
                <w:sz w:val="24"/>
                <w:szCs w:val="24"/>
              </w:rPr>
            </w:pPr>
            <w:r>
              <w:rPr>
                <w:rFonts w:ascii="宋体" w:hAnsi="宋体"/>
                <w:sz w:val="24"/>
                <w:szCs w:val="24"/>
              </w:rPr>
              <w:t>成交</w:t>
            </w:r>
            <w:r>
              <w:rPr>
                <w:rFonts w:hint="eastAsia" w:ascii="宋体" w:hAnsi="宋体"/>
                <w:sz w:val="24"/>
                <w:szCs w:val="24"/>
              </w:rPr>
              <w:t>供应商</w:t>
            </w:r>
            <w:r>
              <w:rPr>
                <w:rFonts w:ascii="宋体" w:hAnsi="宋体"/>
                <w:sz w:val="24"/>
                <w:szCs w:val="24"/>
              </w:rPr>
              <w:t>未在规定时间内与采购人签订合同的、或者被确定为成交</w:t>
            </w:r>
            <w:r>
              <w:rPr>
                <w:rFonts w:hint="eastAsia" w:ascii="宋体" w:hAnsi="宋体"/>
                <w:sz w:val="24"/>
                <w:szCs w:val="24"/>
              </w:rPr>
              <w:t>供应商</w:t>
            </w:r>
            <w:r>
              <w:rPr>
                <w:rFonts w:ascii="宋体" w:hAnsi="宋体"/>
                <w:sz w:val="24"/>
                <w:szCs w:val="24"/>
              </w:rPr>
              <w:t>后明确表示放弃成交的，采购人将按照成交候选</w:t>
            </w:r>
            <w:r>
              <w:rPr>
                <w:rFonts w:hint="eastAsia" w:ascii="宋体" w:hAnsi="宋体"/>
                <w:sz w:val="24"/>
                <w:szCs w:val="24"/>
              </w:rPr>
              <w:t>竞价人</w:t>
            </w:r>
            <w:r>
              <w:rPr>
                <w:rFonts w:ascii="宋体" w:hAnsi="宋体"/>
                <w:sz w:val="24"/>
                <w:szCs w:val="24"/>
              </w:rPr>
              <w:t>的排序重新确定成交</w:t>
            </w:r>
            <w:r>
              <w:rPr>
                <w:rFonts w:hint="eastAsia" w:ascii="宋体" w:hAnsi="宋体"/>
                <w:sz w:val="24"/>
                <w:szCs w:val="24"/>
              </w:rPr>
              <w:t>供应商。</w:t>
            </w:r>
          </w:p>
        </w:tc>
      </w:tr>
    </w:tbl>
    <w:p>
      <w:pPr>
        <w:numPr>
          <w:ilvl w:val="0"/>
          <w:numId w:val="11"/>
        </w:numPr>
        <w:kinsoku w:val="0"/>
        <w:overflowPunct w:val="0"/>
        <w:adjustRightInd/>
        <w:spacing w:line="400" w:lineRule="atLeast"/>
        <w:jc w:val="left"/>
        <w:textAlignment w:val="auto"/>
        <w:rPr>
          <w:rFonts w:ascii="宋体" w:hAnsi="宋体"/>
          <w:b/>
          <w:bCs/>
          <w:sz w:val="24"/>
          <w:szCs w:val="24"/>
        </w:rPr>
      </w:pPr>
      <w:bookmarkStart w:id="25" w:name="_Toc7295_WPSOffice_Level2"/>
      <w:bookmarkStart w:id="26" w:name="_Toc28521_WPSOffice_Level1"/>
      <w:bookmarkStart w:id="27" w:name="_Toc16774_WPSOffice_Level1"/>
      <w:bookmarkStart w:id="28" w:name="_Toc2812_WPSOffice_Level1"/>
      <w:bookmarkStart w:id="29" w:name="_Toc14892_WPSOffice_Level1"/>
      <w:bookmarkStart w:id="30" w:name="_Toc23224_WPSOffice_Level1"/>
      <w:r>
        <w:rPr>
          <w:rFonts w:hint="eastAsia" w:ascii="宋体" w:hAnsi="宋体"/>
          <w:b/>
          <w:bCs/>
          <w:sz w:val="24"/>
          <w:szCs w:val="24"/>
        </w:rPr>
        <w:t>谈判文件</w:t>
      </w:r>
      <w:bookmarkEnd w:id="25"/>
    </w:p>
    <w:p>
      <w:pPr>
        <w:numPr>
          <w:ilvl w:val="0"/>
          <w:numId w:val="12"/>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谈判邀请书</w:t>
      </w:r>
    </w:p>
    <w:p>
      <w:pPr>
        <w:numPr>
          <w:ilvl w:val="0"/>
          <w:numId w:val="12"/>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谈判须知</w:t>
      </w:r>
    </w:p>
    <w:p>
      <w:pPr>
        <w:numPr>
          <w:ilvl w:val="0"/>
          <w:numId w:val="12"/>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技术规格及要求</w:t>
      </w:r>
    </w:p>
    <w:p>
      <w:pPr>
        <w:numPr>
          <w:ilvl w:val="0"/>
          <w:numId w:val="12"/>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合同主要条款</w:t>
      </w:r>
    </w:p>
    <w:p>
      <w:pPr>
        <w:numPr>
          <w:ilvl w:val="0"/>
          <w:numId w:val="12"/>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响应文件格式</w:t>
      </w:r>
    </w:p>
    <w:p>
      <w:pPr>
        <w:numPr>
          <w:ilvl w:val="0"/>
          <w:numId w:val="11"/>
        </w:numPr>
        <w:kinsoku w:val="0"/>
        <w:overflowPunct w:val="0"/>
        <w:adjustRightInd/>
        <w:spacing w:line="400" w:lineRule="atLeast"/>
        <w:jc w:val="left"/>
        <w:textAlignment w:val="auto"/>
        <w:rPr>
          <w:rFonts w:ascii="宋体" w:hAnsi="宋体"/>
          <w:b/>
          <w:bCs/>
          <w:sz w:val="24"/>
          <w:szCs w:val="24"/>
        </w:rPr>
      </w:pPr>
      <w:r>
        <w:rPr>
          <w:rFonts w:hint="eastAsia" w:ascii="宋体" w:hAnsi="宋体"/>
          <w:b/>
          <w:bCs/>
          <w:sz w:val="24"/>
          <w:szCs w:val="24"/>
        </w:rPr>
        <w:t>谈判文件的澄清和修改</w:t>
      </w:r>
    </w:p>
    <w:p>
      <w:pPr>
        <w:numPr>
          <w:ilvl w:val="0"/>
          <w:numId w:val="13"/>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谈判文件的澄清</w:t>
      </w:r>
    </w:p>
    <w:p>
      <w:pPr>
        <w:pStyle w:val="4"/>
        <w:keepNext w:val="0"/>
        <w:keepLines w:val="0"/>
        <w:kinsoku w:val="0"/>
        <w:overflowPunct w:val="0"/>
        <w:autoSpaceDE w:val="0"/>
        <w:autoSpaceDN w:val="0"/>
        <w:adjustRightInd/>
        <w:spacing w:line="400" w:lineRule="atLeast"/>
        <w:ind w:firstLine="520" w:firstLineChars="200"/>
        <w:jc w:val="both"/>
        <w:textAlignment w:val="auto"/>
        <w:rPr>
          <w:rFonts w:ascii="宋体" w:hAnsi="宋体" w:eastAsia="宋体"/>
          <w:b w:val="0"/>
          <w:spacing w:val="0"/>
          <w:sz w:val="24"/>
          <w:szCs w:val="24"/>
        </w:rPr>
      </w:pPr>
      <w:r>
        <w:rPr>
          <w:rFonts w:hint="eastAsia" w:ascii="宋体" w:hAnsi="宋体" w:eastAsia="宋体"/>
          <w:b w:val="0"/>
          <w:sz w:val="24"/>
          <w:szCs w:val="24"/>
        </w:rPr>
        <w:t>报价单位对谈判文件如有疑问，可要求澄清，并以书面形式（邮件、传真等）通知到采购方。采购方根据情况采用适当的方式予以澄清，并在其必要时将不标明问题来源的书面（邮件、传真等）答复发给已知的每个报价方（答复中不包括问题的来源）。报价方在收到上述答复后，应立即向采购方回函（邮件、传真等）确认。该答</w:t>
      </w:r>
      <w:r>
        <w:rPr>
          <w:rFonts w:hint="eastAsia" w:ascii="宋体" w:hAnsi="宋体" w:eastAsia="宋体"/>
          <w:b w:val="0"/>
          <w:spacing w:val="0"/>
          <w:sz w:val="24"/>
          <w:szCs w:val="24"/>
        </w:rPr>
        <w:t>复作为谈判文件的一部分，对报价方有约束力。</w:t>
      </w:r>
    </w:p>
    <w:p>
      <w:pPr>
        <w:numPr>
          <w:ilvl w:val="0"/>
          <w:numId w:val="13"/>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谈判文件的修改</w:t>
      </w:r>
    </w:p>
    <w:p>
      <w:pPr>
        <w:pStyle w:val="4"/>
        <w:keepNext w:val="0"/>
        <w:keepLines w:val="0"/>
        <w:kinsoku w:val="0"/>
        <w:overflowPunct w:val="0"/>
        <w:autoSpaceDE w:val="0"/>
        <w:autoSpaceDN w:val="0"/>
        <w:adjustRightInd/>
        <w:spacing w:line="400" w:lineRule="atLeast"/>
        <w:ind w:firstLine="520" w:firstLineChars="200"/>
        <w:jc w:val="both"/>
        <w:textAlignment w:val="auto"/>
        <w:rPr>
          <w:rFonts w:ascii="宋体" w:hAnsi="宋体" w:eastAsia="宋体"/>
          <w:b w:val="0"/>
          <w:sz w:val="24"/>
          <w:szCs w:val="24"/>
        </w:rPr>
      </w:pPr>
      <w:r>
        <w:rPr>
          <w:rFonts w:hint="eastAsia" w:ascii="宋体" w:hAnsi="宋体" w:eastAsia="宋体"/>
          <w:b w:val="0"/>
          <w:sz w:val="24"/>
          <w:szCs w:val="24"/>
        </w:rPr>
        <w:t>采购方可以在报价文件投递截止时间之前的任何时候对谈判文件进行修改。由于谈判文件的修改可适当延长报价文件投递截止时间。报价文件的修改将以书面形式（邮件、传真等方式）发给所有已知报价方，该修改书将构成谈判文件的一部分，对报价方有约束力。报价方在收到通知后应立即以书面形式（邮件、传真等方式）予以确认。</w:t>
      </w:r>
    </w:p>
    <w:p>
      <w:pPr>
        <w:numPr>
          <w:ilvl w:val="0"/>
          <w:numId w:val="11"/>
        </w:numPr>
        <w:kinsoku w:val="0"/>
        <w:overflowPunct w:val="0"/>
        <w:adjustRightInd/>
        <w:spacing w:line="400" w:lineRule="atLeast"/>
        <w:jc w:val="left"/>
        <w:textAlignment w:val="auto"/>
        <w:rPr>
          <w:rFonts w:ascii="宋体" w:hAnsi="宋体"/>
          <w:b/>
          <w:bCs/>
          <w:sz w:val="24"/>
          <w:szCs w:val="24"/>
        </w:rPr>
      </w:pPr>
      <w:r>
        <w:rPr>
          <w:rFonts w:hint="eastAsia" w:ascii="宋体" w:hAnsi="宋体"/>
          <w:b/>
          <w:bCs/>
          <w:sz w:val="24"/>
          <w:szCs w:val="24"/>
        </w:rPr>
        <w:t>响应文件的编制</w:t>
      </w:r>
    </w:p>
    <w:p>
      <w:pPr>
        <w:numPr>
          <w:ilvl w:val="0"/>
          <w:numId w:val="14"/>
        </w:numPr>
        <w:snapToGrid w:val="0"/>
        <w:spacing w:line="400" w:lineRule="atLeast"/>
        <w:jc w:val="left"/>
        <w:textAlignment w:val="auto"/>
        <w:rPr>
          <w:rFonts w:ascii="宋体" w:hAnsi="宋体"/>
          <w:sz w:val="24"/>
          <w:szCs w:val="24"/>
        </w:rPr>
      </w:pPr>
      <w:bookmarkStart w:id="31" w:name="_Toc260230612"/>
      <w:bookmarkStart w:id="32" w:name="_Toc28706_WPSOffice_Level2"/>
      <w:bookmarkStart w:id="33" w:name="_Toc17624_WPSOffice_Level2"/>
      <w:bookmarkStart w:id="34" w:name="_Toc1802_WPSOffice_Level2"/>
      <w:bookmarkStart w:id="35" w:name="_Toc33340838"/>
      <w:bookmarkStart w:id="36" w:name="_Toc293413480"/>
      <w:bookmarkStart w:id="37" w:name="_Toc12004_WPSOffice_Level2"/>
      <w:bookmarkStart w:id="38" w:name="_Toc24083813"/>
      <w:bookmarkStart w:id="39" w:name="_Toc260238416"/>
      <w:bookmarkStart w:id="40" w:name="_Toc24455233"/>
      <w:bookmarkStart w:id="41" w:name="_Toc229281571"/>
      <w:r>
        <w:rPr>
          <w:rFonts w:hint="eastAsia" w:ascii="宋体" w:hAnsi="宋体"/>
          <w:sz w:val="24"/>
          <w:szCs w:val="24"/>
        </w:rPr>
        <w:t>响应函；</w:t>
      </w:r>
    </w:p>
    <w:p>
      <w:pPr>
        <w:numPr>
          <w:ilvl w:val="0"/>
          <w:numId w:val="14"/>
        </w:numPr>
        <w:snapToGrid w:val="0"/>
        <w:spacing w:line="400" w:lineRule="atLeast"/>
        <w:jc w:val="left"/>
        <w:textAlignment w:val="auto"/>
        <w:rPr>
          <w:rFonts w:ascii="宋体" w:hAnsi="宋体"/>
          <w:sz w:val="24"/>
          <w:szCs w:val="24"/>
        </w:rPr>
      </w:pPr>
      <w:r>
        <w:rPr>
          <w:rFonts w:hint="eastAsia" w:ascii="宋体" w:hAnsi="宋体"/>
          <w:sz w:val="24"/>
          <w:szCs w:val="24"/>
        </w:rPr>
        <w:t>报价表；</w:t>
      </w:r>
    </w:p>
    <w:p>
      <w:pPr>
        <w:numPr>
          <w:ilvl w:val="0"/>
          <w:numId w:val="14"/>
        </w:numPr>
        <w:snapToGrid w:val="0"/>
        <w:spacing w:line="400" w:lineRule="atLeast"/>
        <w:jc w:val="left"/>
        <w:textAlignment w:val="auto"/>
        <w:rPr>
          <w:rFonts w:ascii="宋体" w:hAnsi="宋体"/>
          <w:sz w:val="24"/>
          <w:szCs w:val="24"/>
        </w:rPr>
      </w:pPr>
      <w:r>
        <w:rPr>
          <w:rFonts w:hint="eastAsia" w:ascii="宋体" w:hAnsi="宋体"/>
          <w:sz w:val="24"/>
          <w:szCs w:val="24"/>
        </w:rPr>
        <w:t>法定代表人身份证明书；</w:t>
      </w:r>
    </w:p>
    <w:p>
      <w:pPr>
        <w:numPr>
          <w:ilvl w:val="0"/>
          <w:numId w:val="14"/>
        </w:numPr>
        <w:snapToGrid w:val="0"/>
        <w:spacing w:line="400" w:lineRule="atLeast"/>
        <w:jc w:val="left"/>
        <w:textAlignment w:val="auto"/>
        <w:rPr>
          <w:rFonts w:ascii="宋体" w:hAnsi="宋体"/>
          <w:sz w:val="24"/>
          <w:szCs w:val="24"/>
        </w:rPr>
      </w:pPr>
      <w:r>
        <w:rPr>
          <w:rFonts w:hint="eastAsia" w:ascii="宋体" w:hAnsi="宋体"/>
          <w:sz w:val="24"/>
          <w:szCs w:val="24"/>
        </w:rPr>
        <w:t>法人授权委托书（报价签字非法定代表人签署需出具）；</w:t>
      </w:r>
    </w:p>
    <w:p>
      <w:pPr>
        <w:numPr>
          <w:ilvl w:val="0"/>
          <w:numId w:val="14"/>
        </w:numPr>
        <w:snapToGrid w:val="0"/>
        <w:spacing w:line="400" w:lineRule="atLeast"/>
        <w:jc w:val="left"/>
        <w:textAlignment w:val="auto"/>
        <w:rPr>
          <w:rFonts w:ascii="宋体" w:hAnsi="宋体"/>
          <w:sz w:val="24"/>
          <w:szCs w:val="24"/>
        </w:rPr>
      </w:pPr>
      <w:r>
        <w:rPr>
          <w:rFonts w:hint="eastAsia" w:ascii="宋体" w:hAnsi="宋体"/>
          <w:sz w:val="24"/>
          <w:szCs w:val="24"/>
        </w:rPr>
        <w:t>关于资格的声明函；</w:t>
      </w:r>
    </w:p>
    <w:p>
      <w:pPr>
        <w:numPr>
          <w:ilvl w:val="0"/>
          <w:numId w:val="14"/>
        </w:numPr>
        <w:snapToGrid w:val="0"/>
        <w:spacing w:line="400" w:lineRule="atLeast"/>
        <w:jc w:val="left"/>
        <w:textAlignment w:val="auto"/>
        <w:rPr>
          <w:rFonts w:ascii="宋体" w:hAnsi="宋体"/>
          <w:sz w:val="24"/>
          <w:szCs w:val="24"/>
        </w:rPr>
      </w:pPr>
      <w:r>
        <w:rPr>
          <w:rFonts w:hint="eastAsia" w:ascii="宋体" w:hAnsi="宋体"/>
          <w:sz w:val="24"/>
          <w:szCs w:val="24"/>
        </w:rPr>
        <w:t>报价方廉洁承诺书；</w:t>
      </w:r>
    </w:p>
    <w:p>
      <w:pPr>
        <w:numPr>
          <w:ilvl w:val="0"/>
          <w:numId w:val="14"/>
        </w:numPr>
        <w:snapToGrid w:val="0"/>
        <w:spacing w:line="400" w:lineRule="atLeast"/>
        <w:jc w:val="left"/>
        <w:textAlignment w:val="auto"/>
        <w:rPr>
          <w:rFonts w:ascii="宋体" w:hAnsi="宋体"/>
          <w:sz w:val="24"/>
          <w:szCs w:val="24"/>
        </w:rPr>
      </w:pPr>
      <w:r>
        <w:rPr>
          <w:rFonts w:hint="eastAsia" w:ascii="宋体" w:hAnsi="宋体"/>
          <w:sz w:val="24"/>
          <w:szCs w:val="24"/>
        </w:rPr>
        <w:t>企业能有效识别二维码且加盖报价单位公章的营业执照复印件；</w:t>
      </w:r>
    </w:p>
    <w:p>
      <w:pPr>
        <w:numPr>
          <w:ilvl w:val="0"/>
          <w:numId w:val="14"/>
        </w:numPr>
        <w:snapToGrid w:val="0"/>
        <w:spacing w:line="400" w:lineRule="atLeast"/>
        <w:jc w:val="left"/>
        <w:textAlignment w:val="auto"/>
        <w:rPr>
          <w:rFonts w:ascii="宋体" w:hAnsi="宋体"/>
          <w:sz w:val="24"/>
          <w:szCs w:val="24"/>
        </w:rPr>
      </w:pPr>
      <w:r>
        <w:rPr>
          <w:rFonts w:hint="eastAsia" w:ascii="宋体" w:hAnsi="宋体"/>
          <w:sz w:val="24"/>
          <w:szCs w:val="24"/>
        </w:rPr>
        <w:t>企业加盖报价单位公章的相关资质证明文件；</w:t>
      </w:r>
    </w:p>
    <w:p>
      <w:pPr>
        <w:numPr>
          <w:ilvl w:val="0"/>
          <w:numId w:val="14"/>
        </w:numPr>
        <w:snapToGrid w:val="0"/>
        <w:spacing w:line="400" w:lineRule="atLeast"/>
        <w:jc w:val="left"/>
        <w:textAlignment w:val="auto"/>
        <w:rPr>
          <w:rFonts w:ascii="宋体" w:hAnsi="宋体"/>
          <w:sz w:val="24"/>
          <w:szCs w:val="24"/>
        </w:rPr>
      </w:pPr>
      <w:r>
        <w:rPr>
          <w:rFonts w:hint="eastAsia" w:ascii="宋体" w:hAnsi="宋体"/>
          <w:b/>
          <w:sz w:val="24"/>
          <w:szCs w:val="24"/>
        </w:rPr>
        <w:t>相关业绩证明，提供合同复印件</w:t>
      </w:r>
      <w:r>
        <w:rPr>
          <w:rFonts w:hint="eastAsia" w:ascii="宋体" w:hAnsi="宋体"/>
          <w:sz w:val="24"/>
          <w:szCs w:val="24"/>
        </w:rPr>
        <w:t>。</w:t>
      </w:r>
    </w:p>
    <w:p>
      <w:pPr>
        <w:numPr>
          <w:ilvl w:val="0"/>
          <w:numId w:val="14"/>
        </w:numPr>
        <w:snapToGrid w:val="0"/>
        <w:spacing w:line="400" w:lineRule="atLeast"/>
        <w:jc w:val="left"/>
        <w:textAlignment w:val="auto"/>
        <w:rPr>
          <w:rFonts w:ascii="宋体" w:hAnsi="宋体"/>
          <w:bCs/>
          <w:sz w:val="24"/>
          <w:szCs w:val="24"/>
        </w:rPr>
      </w:pPr>
      <w:r>
        <w:rPr>
          <w:rFonts w:hint="eastAsia" w:ascii="宋体" w:hAnsi="宋体"/>
          <w:bCs/>
          <w:sz w:val="24"/>
          <w:szCs w:val="24"/>
        </w:rPr>
        <w:t>报价方认为需要提供的其他资料。</w:t>
      </w:r>
    </w:p>
    <w:bookmarkEnd w:id="31"/>
    <w:bookmarkEnd w:id="32"/>
    <w:bookmarkEnd w:id="33"/>
    <w:bookmarkEnd w:id="34"/>
    <w:bookmarkEnd w:id="35"/>
    <w:bookmarkEnd w:id="36"/>
    <w:bookmarkEnd w:id="37"/>
    <w:bookmarkEnd w:id="38"/>
    <w:bookmarkEnd w:id="39"/>
    <w:bookmarkEnd w:id="40"/>
    <w:bookmarkEnd w:id="41"/>
    <w:p>
      <w:pPr>
        <w:numPr>
          <w:ilvl w:val="0"/>
          <w:numId w:val="11"/>
        </w:numPr>
        <w:kinsoku w:val="0"/>
        <w:overflowPunct w:val="0"/>
        <w:adjustRightInd/>
        <w:spacing w:line="400" w:lineRule="atLeast"/>
        <w:jc w:val="left"/>
        <w:textAlignment w:val="auto"/>
        <w:rPr>
          <w:rFonts w:ascii="宋体" w:hAnsi="宋体"/>
          <w:b/>
          <w:bCs/>
          <w:sz w:val="24"/>
          <w:szCs w:val="24"/>
        </w:rPr>
      </w:pPr>
      <w:r>
        <w:rPr>
          <w:rFonts w:hint="eastAsia" w:ascii="宋体" w:hAnsi="宋体"/>
          <w:b/>
          <w:bCs/>
          <w:sz w:val="24"/>
          <w:szCs w:val="24"/>
        </w:rPr>
        <w:t>报价文件的递交</w:t>
      </w:r>
    </w:p>
    <w:p>
      <w:pPr>
        <w:numPr>
          <w:ilvl w:val="0"/>
          <w:numId w:val="15"/>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报价文件的递交。报价方必须按公告的要求在规定的时间内将报价文件送达规定的地点。</w:t>
      </w:r>
    </w:p>
    <w:p>
      <w:pPr>
        <w:numPr>
          <w:ilvl w:val="0"/>
          <w:numId w:val="15"/>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迟到的报价文件。采购方对于迟到的报价文件有权拒绝接收。</w:t>
      </w:r>
    </w:p>
    <w:p>
      <w:pPr>
        <w:numPr>
          <w:ilvl w:val="0"/>
          <w:numId w:val="15"/>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报价文件的修改与撤回。报价方在递交报价文件以后，在规定的报价截止时间之前，可以书面形式向采购方递交请求修改其报价文件的通知。但在报价截止以后，不能修改报价文件。修改后的谈判文件应按要求密封等，并在报价截止时间前送达采购方。</w:t>
      </w:r>
    </w:p>
    <w:p>
      <w:pPr>
        <w:numPr>
          <w:ilvl w:val="0"/>
          <w:numId w:val="11"/>
        </w:numPr>
        <w:kinsoku w:val="0"/>
        <w:overflowPunct w:val="0"/>
        <w:adjustRightInd/>
        <w:spacing w:line="400" w:lineRule="atLeast"/>
        <w:jc w:val="left"/>
        <w:textAlignment w:val="auto"/>
        <w:rPr>
          <w:rFonts w:ascii="宋体" w:hAnsi="宋体"/>
          <w:b/>
          <w:bCs/>
          <w:sz w:val="24"/>
          <w:szCs w:val="24"/>
        </w:rPr>
      </w:pPr>
      <w:bookmarkStart w:id="42" w:name="_Toc22570_WPSOffice_Level2"/>
      <w:bookmarkStart w:id="43" w:name="_Toc33340839"/>
      <w:bookmarkStart w:id="44" w:name="_Toc260230613"/>
      <w:bookmarkStart w:id="45" w:name="_Toc7288_WPSOffice_Level2"/>
      <w:bookmarkStart w:id="46" w:name="_Toc260238417"/>
      <w:bookmarkStart w:id="47" w:name="_Toc293413481"/>
      <w:bookmarkStart w:id="48" w:name="_Toc24455234"/>
      <w:bookmarkStart w:id="49" w:name="_Toc24083814"/>
      <w:bookmarkStart w:id="50" w:name="_Toc14599_WPSOffice_Level2"/>
      <w:bookmarkStart w:id="51" w:name="_Toc19491_WPSOffice_Level2"/>
      <w:bookmarkStart w:id="52" w:name="_Toc229281572"/>
      <w:r>
        <w:rPr>
          <w:rFonts w:hint="eastAsia" w:ascii="宋体" w:hAnsi="宋体"/>
          <w:b/>
          <w:bCs/>
          <w:sz w:val="24"/>
          <w:szCs w:val="24"/>
        </w:rPr>
        <w:t>谈判与评</w:t>
      </w:r>
      <w:bookmarkEnd w:id="42"/>
      <w:bookmarkEnd w:id="43"/>
      <w:bookmarkEnd w:id="44"/>
      <w:bookmarkEnd w:id="45"/>
      <w:bookmarkEnd w:id="46"/>
      <w:bookmarkEnd w:id="47"/>
      <w:bookmarkEnd w:id="48"/>
      <w:bookmarkEnd w:id="49"/>
      <w:bookmarkEnd w:id="50"/>
      <w:bookmarkEnd w:id="51"/>
      <w:bookmarkEnd w:id="52"/>
      <w:r>
        <w:rPr>
          <w:rFonts w:hint="eastAsia" w:ascii="宋体" w:hAnsi="宋体"/>
          <w:b/>
          <w:bCs/>
          <w:sz w:val="24"/>
          <w:szCs w:val="24"/>
        </w:rPr>
        <w:t>审</w:t>
      </w:r>
    </w:p>
    <w:p>
      <w:pPr>
        <w:numPr>
          <w:ilvl w:val="0"/>
          <w:numId w:val="16"/>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谈判</w:t>
      </w:r>
    </w:p>
    <w:p>
      <w:pPr>
        <w:numPr>
          <w:ilvl w:val="0"/>
          <w:numId w:val="17"/>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采购方将按照采购公告中规定的时间，在厦门市同安区美禾三路399号厦门同集热电有限公司一楼会议室谈判。</w:t>
      </w:r>
    </w:p>
    <w:p>
      <w:pPr>
        <w:numPr>
          <w:ilvl w:val="0"/>
          <w:numId w:val="17"/>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谈判时欢迎所有报价方参加谈判会议，报价方代表应签名以证明其出席谈判会议，报价方因故不能派代表出席谈判会议的，视为维持谈判文件和报价价格不变。</w:t>
      </w:r>
    </w:p>
    <w:p>
      <w:pPr>
        <w:numPr>
          <w:ilvl w:val="0"/>
          <w:numId w:val="17"/>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报价方代表可监督检查报价文件的密封情况。</w:t>
      </w:r>
    </w:p>
    <w:p>
      <w:pPr>
        <w:numPr>
          <w:ilvl w:val="0"/>
          <w:numId w:val="17"/>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谈判时，报价文件有下列情况之一者将被视为废标。</w:t>
      </w:r>
    </w:p>
    <w:p>
      <w:pPr>
        <w:numPr>
          <w:ilvl w:val="0"/>
          <w:numId w:val="18"/>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报价文件未标识和密封；</w:t>
      </w:r>
    </w:p>
    <w:p>
      <w:pPr>
        <w:numPr>
          <w:ilvl w:val="0"/>
          <w:numId w:val="18"/>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报价文件密封处未加盖报价方公章；</w:t>
      </w:r>
    </w:p>
    <w:p>
      <w:pPr>
        <w:numPr>
          <w:ilvl w:val="0"/>
          <w:numId w:val="18"/>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报价截止时间以后送达的报价文件。</w:t>
      </w:r>
    </w:p>
    <w:p>
      <w:pPr>
        <w:numPr>
          <w:ilvl w:val="0"/>
          <w:numId w:val="17"/>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本项目若属于首次进行竞争性谈判采购的，在采购过程中出现下列情况的，本次谈判失败。</w:t>
      </w:r>
    </w:p>
    <w:p>
      <w:pPr>
        <w:numPr>
          <w:ilvl w:val="0"/>
          <w:numId w:val="19"/>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在规定谈判截止时间前递交响应文件的供应商不足三家的；</w:t>
      </w:r>
    </w:p>
    <w:p>
      <w:pPr>
        <w:numPr>
          <w:ilvl w:val="0"/>
          <w:numId w:val="19"/>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能满足采购文件实质性要求的有效供应商不足三家的；</w:t>
      </w:r>
    </w:p>
    <w:p>
      <w:pPr>
        <w:numPr>
          <w:ilvl w:val="0"/>
          <w:numId w:val="19"/>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首次报价或最终报价未超过采购最高限价的有效供应商不足三家的。</w:t>
      </w:r>
    </w:p>
    <w:p>
      <w:pPr>
        <w:numPr>
          <w:ilvl w:val="0"/>
          <w:numId w:val="17"/>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p>
    <w:p>
      <w:pPr>
        <w:numPr>
          <w:ilvl w:val="0"/>
          <w:numId w:val="16"/>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评审原则</w:t>
      </w:r>
    </w:p>
    <w:p>
      <w:pPr>
        <w:numPr>
          <w:ilvl w:val="0"/>
          <w:numId w:val="20"/>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评审谈判小组对具备实质性的报价文件进行评估和比较。评审谈判小组成员由采购方相关人员组成，评审谈判小组将严格按照谈判文件的要求和条件对所有报价文件进行评审。</w:t>
      </w:r>
    </w:p>
    <w:p>
      <w:pPr>
        <w:numPr>
          <w:ilvl w:val="0"/>
          <w:numId w:val="20"/>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符合性审查，如发现下列情况之一，将按废标处理。</w:t>
      </w:r>
    </w:p>
    <w:p>
      <w:pPr>
        <w:numPr>
          <w:ilvl w:val="0"/>
          <w:numId w:val="21"/>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资格证明文件不全的；</w:t>
      </w:r>
    </w:p>
    <w:p>
      <w:pPr>
        <w:numPr>
          <w:ilvl w:val="0"/>
          <w:numId w:val="21"/>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报价文件未按谈判文件规定盖报价单位公章及签字；</w:t>
      </w:r>
    </w:p>
    <w:p>
      <w:pPr>
        <w:numPr>
          <w:ilvl w:val="0"/>
          <w:numId w:val="21"/>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报价文件附有采购方不能接受的条件的。</w:t>
      </w:r>
      <w:bookmarkStart w:id="53" w:name="_Toc24711813"/>
      <w:bookmarkStart w:id="54" w:name="_Toc260230614"/>
      <w:bookmarkStart w:id="55" w:name="_Toc18499_WPSOffice_Level2"/>
      <w:bookmarkStart w:id="56" w:name="_Toc293413482"/>
      <w:bookmarkStart w:id="57" w:name="_Toc260238418"/>
      <w:bookmarkStart w:id="58" w:name="_Toc24455235"/>
      <w:bookmarkStart w:id="59" w:name="_Toc24083815"/>
      <w:bookmarkStart w:id="60" w:name="_Toc18016_WPSOffice_Level2"/>
      <w:bookmarkStart w:id="61" w:name="_Toc33340840"/>
      <w:bookmarkStart w:id="62" w:name="_Toc24456368"/>
      <w:bookmarkStart w:id="63" w:name="_Toc7598_WPSOffice_Level2"/>
      <w:bookmarkStart w:id="64" w:name="_Toc26749_WPSOffice_Level2"/>
      <w:bookmarkStart w:id="65" w:name="_Toc229281573"/>
    </w:p>
    <w:p>
      <w:pPr>
        <w:numPr>
          <w:ilvl w:val="0"/>
          <w:numId w:val="20"/>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谈判小组与通过资格和符合性审查且报价最低的前三位报价方进行谈判。</w:t>
      </w:r>
    </w:p>
    <w:p>
      <w:pPr>
        <w:numPr>
          <w:ilvl w:val="0"/>
          <w:numId w:val="20"/>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谈判小组与报价方就谈判文件技术、商务、合同条款等内容进行谈判，报价方第二次报价不得高于第一次报价；报价方代表未到谈判现场，视为维持谈判文件和报价价格不变。</w:t>
      </w:r>
    </w:p>
    <w:p>
      <w:pPr>
        <w:numPr>
          <w:ilvl w:val="0"/>
          <w:numId w:val="20"/>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谈判过程中，响应供应商提交的澄清文件和最终承诺书，应由响应供应商法定代表人或授权代表签署后生效，响应供应商应受其约束。</w:t>
      </w:r>
    </w:p>
    <w:p>
      <w:pPr>
        <w:autoSpaceDE/>
        <w:autoSpaceDN/>
        <w:snapToGrid w:val="0"/>
        <w:spacing w:line="360" w:lineRule="auto"/>
        <w:ind w:right="105" w:rightChars="50"/>
        <w:jc w:val="left"/>
        <w:textAlignment w:val="auto"/>
        <w:rPr>
          <w:rFonts w:ascii="宋体" w:hAnsi="宋体"/>
          <w:b/>
          <w:bCs/>
          <w:sz w:val="24"/>
        </w:rPr>
      </w:pPr>
    </w:p>
    <w:p>
      <w:pPr>
        <w:autoSpaceDE/>
        <w:autoSpaceDN/>
        <w:snapToGrid w:val="0"/>
        <w:spacing w:line="360" w:lineRule="auto"/>
        <w:ind w:right="105" w:rightChars="50"/>
        <w:jc w:val="left"/>
        <w:textAlignment w:val="auto"/>
        <w:rPr>
          <w:rFonts w:ascii="宋体" w:hAnsi="宋体"/>
          <w:b/>
          <w:bCs/>
          <w:sz w:val="24"/>
        </w:rPr>
      </w:pPr>
      <w:r>
        <w:rPr>
          <w:rFonts w:hint="eastAsia" w:ascii="宋体" w:hAnsi="宋体"/>
          <w:b/>
          <w:bCs/>
          <w:sz w:val="24"/>
        </w:rPr>
        <w:t>5.2.6 成交原则。</w:t>
      </w:r>
    </w:p>
    <w:p>
      <w:pPr>
        <w:autoSpaceDE/>
        <w:autoSpaceDN/>
        <w:snapToGrid w:val="0"/>
        <w:spacing w:line="360" w:lineRule="auto"/>
        <w:ind w:right="105" w:rightChars="50"/>
        <w:jc w:val="left"/>
        <w:textAlignment w:val="auto"/>
        <w:rPr>
          <w:rFonts w:ascii="宋体" w:hAnsi="宋体"/>
          <w:color w:val="000000" w:themeColor="text1"/>
          <w:sz w:val="24"/>
          <w:szCs w:val="24"/>
        </w:rPr>
      </w:pPr>
      <w:r>
        <w:rPr>
          <w:rFonts w:hint="eastAsia" w:ascii="宋体" w:hAnsi="宋体"/>
          <w:b/>
          <w:bCs/>
          <w:sz w:val="24"/>
        </w:rPr>
        <w:t>5.2.6.1</w:t>
      </w:r>
      <w:r>
        <w:rPr>
          <w:rFonts w:hint="eastAsia" w:ascii="宋体" w:hAnsi="宋体"/>
          <w:color w:val="000000" w:themeColor="text1"/>
          <w:sz w:val="24"/>
          <w:szCs w:val="24"/>
        </w:rPr>
        <w:t>本次谈判采用经评审合格且最低价成交法。评审小组从通过资格和符合性审查且报价最低的前三位报价方进行谈判。谈判过程中如报价方代表未到现场，视为谈判报价维持采购文件报价价格不变，谈判报价最低者确定为成交供应商。</w:t>
      </w:r>
    </w:p>
    <w:p>
      <w:pPr>
        <w:autoSpaceDE/>
        <w:autoSpaceDN/>
        <w:snapToGrid w:val="0"/>
        <w:spacing w:line="360" w:lineRule="auto"/>
        <w:ind w:right="105" w:rightChars="50"/>
        <w:jc w:val="left"/>
        <w:textAlignment w:val="auto"/>
        <w:rPr>
          <w:rFonts w:ascii="宋体" w:hAnsi="宋体"/>
          <w:color w:val="000000" w:themeColor="text1"/>
          <w:sz w:val="24"/>
          <w:szCs w:val="24"/>
        </w:rPr>
      </w:pPr>
      <w:r>
        <w:rPr>
          <w:rFonts w:hint="eastAsia" w:ascii="宋体" w:hAnsi="宋体"/>
          <w:color w:val="000000" w:themeColor="text1"/>
          <w:sz w:val="24"/>
          <w:szCs w:val="24"/>
        </w:rPr>
        <w:t>5.2.6.2、报价最低的前三位如出现2家及以上价格相等，且报价人未到现场，由评标小组抽签确定成交供应商。</w:t>
      </w:r>
    </w:p>
    <w:p>
      <w:pPr>
        <w:pStyle w:val="12"/>
        <w:numPr>
          <w:ilvl w:val="-1"/>
          <w:numId w:val="0"/>
        </w:numPr>
        <w:kinsoku w:val="0"/>
        <w:overflowPunct w:val="0"/>
        <w:adjustRightInd/>
        <w:spacing w:line="400" w:lineRule="atLeast"/>
        <w:ind w:left="0" w:leftChars="0" w:firstLine="0" w:firstLineChars="0"/>
        <w:jc w:val="left"/>
        <w:textAlignment w:val="auto"/>
        <w:rPr>
          <w:rFonts w:ascii="宋体" w:hAnsi="宋体"/>
          <w:b/>
          <w:bCs/>
          <w:sz w:val="24"/>
          <w:szCs w:val="24"/>
        </w:rPr>
      </w:pPr>
      <w:r>
        <w:rPr>
          <w:rFonts w:hint="eastAsia" w:ascii="宋体" w:hAnsi="宋体"/>
          <w:color w:val="000000" w:themeColor="text1"/>
          <w:sz w:val="24"/>
          <w:szCs w:val="24"/>
        </w:rPr>
        <w:t>5.2.6.3、如果各报价单位税率不一致，则按不含税价进行比价。</w:t>
      </w:r>
    </w:p>
    <w:p>
      <w:pPr>
        <w:numPr>
          <w:ilvl w:val="0"/>
          <w:numId w:val="11"/>
        </w:numPr>
        <w:kinsoku w:val="0"/>
        <w:overflowPunct w:val="0"/>
        <w:adjustRightInd/>
        <w:spacing w:line="400" w:lineRule="atLeast"/>
        <w:jc w:val="left"/>
        <w:textAlignment w:val="auto"/>
        <w:rPr>
          <w:rFonts w:ascii="宋体" w:hAnsi="宋体"/>
          <w:b/>
          <w:bCs/>
          <w:sz w:val="24"/>
          <w:szCs w:val="24"/>
        </w:rPr>
      </w:pPr>
      <w:r>
        <w:rPr>
          <w:rFonts w:hint="eastAsia" w:ascii="宋体" w:hAnsi="宋体"/>
          <w:b/>
          <w:bCs/>
          <w:sz w:val="24"/>
          <w:szCs w:val="24"/>
        </w:rPr>
        <w:t>合同的授予</w:t>
      </w:r>
      <w:bookmarkEnd w:id="53"/>
      <w:bookmarkEnd w:id="54"/>
      <w:bookmarkEnd w:id="55"/>
      <w:bookmarkEnd w:id="56"/>
      <w:bookmarkEnd w:id="57"/>
      <w:bookmarkEnd w:id="58"/>
      <w:bookmarkEnd w:id="59"/>
      <w:bookmarkEnd w:id="60"/>
      <w:bookmarkEnd w:id="61"/>
      <w:bookmarkEnd w:id="62"/>
      <w:bookmarkEnd w:id="63"/>
      <w:bookmarkEnd w:id="64"/>
      <w:bookmarkEnd w:id="65"/>
    </w:p>
    <w:p>
      <w:pPr>
        <w:numPr>
          <w:ilvl w:val="0"/>
          <w:numId w:val="22"/>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合同授予的条件</w:t>
      </w:r>
    </w:p>
    <w:p>
      <w:pPr>
        <w:pStyle w:val="4"/>
        <w:keepNext w:val="0"/>
        <w:keepLines w:val="0"/>
        <w:kinsoku w:val="0"/>
        <w:overflowPunct w:val="0"/>
        <w:autoSpaceDE w:val="0"/>
        <w:autoSpaceDN w:val="0"/>
        <w:adjustRightInd/>
        <w:spacing w:line="400" w:lineRule="atLeast"/>
        <w:ind w:firstLine="520" w:firstLineChars="200"/>
        <w:jc w:val="both"/>
        <w:textAlignment w:val="auto"/>
        <w:rPr>
          <w:rFonts w:ascii="宋体" w:hAnsi="宋体" w:eastAsia="宋体"/>
          <w:b w:val="0"/>
          <w:sz w:val="24"/>
          <w:szCs w:val="24"/>
        </w:rPr>
      </w:pPr>
      <w:r>
        <w:rPr>
          <w:rFonts w:hint="eastAsia" w:ascii="宋体" w:hAnsi="宋体" w:eastAsia="宋体"/>
          <w:b w:val="0"/>
          <w:sz w:val="24"/>
          <w:szCs w:val="24"/>
        </w:rPr>
        <w:t>采购方将根据评标意见，把合同授予其报价文件在实质上响应谈判文件要求的报价方，被确定的成交供应商必须具有实施本合同的能力和资源。</w:t>
      </w:r>
    </w:p>
    <w:p>
      <w:pPr>
        <w:numPr>
          <w:ilvl w:val="0"/>
          <w:numId w:val="22"/>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成交通知书</w:t>
      </w:r>
    </w:p>
    <w:p>
      <w:pPr>
        <w:pStyle w:val="4"/>
        <w:keepNext w:val="0"/>
        <w:keepLines w:val="0"/>
        <w:kinsoku w:val="0"/>
        <w:overflowPunct w:val="0"/>
        <w:autoSpaceDE w:val="0"/>
        <w:autoSpaceDN w:val="0"/>
        <w:adjustRightInd/>
        <w:spacing w:line="400" w:lineRule="atLeast"/>
        <w:ind w:firstLine="520" w:firstLineChars="200"/>
        <w:jc w:val="both"/>
        <w:textAlignment w:val="auto"/>
        <w:rPr>
          <w:rFonts w:ascii="宋体" w:hAnsi="宋体" w:eastAsia="宋体"/>
          <w:b w:val="0"/>
          <w:sz w:val="24"/>
          <w:szCs w:val="24"/>
        </w:rPr>
      </w:pPr>
      <w:r>
        <w:rPr>
          <w:rFonts w:hint="eastAsia" w:ascii="宋体" w:hAnsi="宋体" w:eastAsia="宋体"/>
          <w:b w:val="0"/>
          <w:sz w:val="24"/>
          <w:szCs w:val="24"/>
        </w:rPr>
        <w:t>评标结束后，采购方根据评标结果，在报价文件有效期截止前向成交供应商发出《成交通知书》。《成交通知书》是合同文件的组成部分。</w:t>
      </w:r>
    </w:p>
    <w:p>
      <w:pPr>
        <w:numPr>
          <w:ilvl w:val="0"/>
          <w:numId w:val="22"/>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签订合同</w:t>
      </w:r>
    </w:p>
    <w:p>
      <w:pPr>
        <w:numPr>
          <w:ilvl w:val="0"/>
          <w:numId w:val="23"/>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成交供应商应在接到成交通知书后30天内，与采购方尽快签订合同，采购方和成交供应商不得另行订立背离合同实质性内容的其它协议。</w:t>
      </w:r>
    </w:p>
    <w:p>
      <w:pPr>
        <w:numPr>
          <w:ilvl w:val="0"/>
          <w:numId w:val="23"/>
        </w:numPr>
        <w:kinsoku w:val="0"/>
        <w:overflowPunct w:val="0"/>
        <w:adjustRightInd/>
        <w:spacing w:line="400" w:lineRule="atLeast"/>
        <w:jc w:val="left"/>
        <w:textAlignment w:val="auto"/>
        <w:rPr>
          <w:rFonts w:ascii="宋体" w:hAnsi="宋体"/>
          <w:sz w:val="24"/>
          <w:szCs w:val="24"/>
        </w:rPr>
      </w:pPr>
      <w:r>
        <w:rPr>
          <w:rFonts w:hint="eastAsia" w:ascii="宋体" w:hAnsi="宋体"/>
          <w:sz w:val="24"/>
          <w:szCs w:val="24"/>
        </w:rPr>
        <w:t>成交供应商因不可抗力或者自身原因不能履行采购合同的，采购人可以与排在成交供应商之后第一位的成交候选供应商签订采购合同，以此类推。</w:t>
      </w:r>
    </w:p>
    <w:p>
      <w:pPr>
        <w:pStyle w:val="2"/>
        <w:rPr>
          <w:rFonts w:hAnsi="宋体"/>
          <w:b/>
          <w:bCs/>
          <w:sz w:val="28"/>
          <w:szCs w:val="28"/>
        </w:rPr>
      </w:pPr>
    </w:p>
    <w:p>
      <w:pPr>
        <w:kinsoku w:val="0"/>
        <w:overflowPunct w:val="0"/>
        <w:adjustRightInd/>
        <w:spacing w:line="400" w:lineRule="atLeast"/>
        <w:rPr>
          <w:rFonts w:ascii="宋体" w:hAnsi="宋体"/>
          <w:b/>
          <w:bCs/>
          <w:sz w:val="28"/>
          <w:szCs w:val="28"/>
        </w:rPr>
      </w:pPr>
    </w:p>
    <w:p>
      <w:pPr>
        <w:kinsoku w:val="0"/>
        <w:overflowPunct w:val="0"/>
        <w:adjustRightInd/>
        <w:spacing w:line="400" w:lineRule="atLeast"/>
        <w:rPr>
          <w:rFonts w:ascii="宋体" w:hAnsi="宋体"/>
          <w:b/>
          <w:bCs/>
          <w:sz w:val="28"/>
          <w:szCs w:val="28"/>
        </w:rPr>
      </w:pPr>
    </w:p>
    <w:p>
      <w:pPr>
        <w:pStyle w:val="4"/>
        <w:keepNext w:val="0"/>
        <w:keepLines w:val="0"/>
        <w:kinsoku w:val="0"/>
        <w:overflowPunct w:val="0"/>
        <w:autoSpaceDE w:val="0"/>
        <w:autoSpaceDN w:val="0"/>
        <w:adjustRightInd/>
        <w:spacing w:line="400" w:lineRule="atLeast"/>
        <w:ind w:firstLine="522" w:firstLineChars="200"/>
        <w:jc w:val="center"/>
        <w:textAlignment w:val="auto"/>
        <w:rPr>
          <w:rFonts w:ascii="宋体" w:hAnsi="宋体" w:eastAsia="宋体"/>
          <w:bCs/>
          <w:sz w:val="24"/>
          <w:szCs w:val="24"/>
        </w:rPr>
      </w:pPr>
      <w:r>
        <w:rPr>
          <w:rFonts w:hint="eastAsia" w:ascii="宋体" w:hAnsi="宋体" w:eastAsia="宋体"/>
          <w:bCs/>
          <w:sz w:val="24"/>
          <w:szCs w:val="24"/>
        </w:rPr>
        <w:t>第三部分 服务规范与要求</w:t>
      </w:r>
      <w:bookmarkEnd w:id="26"/>
      <w:bookmarkEnd w:id="27"/>
      <w:bookmarkEnd w:id="28"/>
      <w:bookmarkEnd w:id="29"/>
      <w:bookmarkEnd w:id="30"/>
    </w:p>
    <w:p>
      <w:pPr>
        <w:numPr>
          <w:ilvl w:val="0"/>
          <w:numId w:val="24"/>
        </w:numPr>
        <w:autoSpaceDE/>
        <w:autoSpaceDN/>
        <w:snapToGrid w:val="0"/>
        <w:spacing w:line="400" w:lineRule="atLeast"/>
        <w:ind w:right="105" w:rightChars="50"/>
        <w:jc w:val="left"/>
        <w:textAlignment w:val="auto"/>
        <w:rPr>
          <w:rFonts w:ascii="宋体" w:hAnsi="宋体"/>
          <w:b/>
          <w:bCs/>
          <w:sz w:val="24"/>
          <w:szCs w:val="24"/>
        </w:rPr>
      </w:pPr>
      <w:r>
        <w:rPr>
          <w:rFonts w:hint="eastAsia" w:ascii="宋体" w:hAnsi="宋体"/>
          <w:b/>
          <w:bCs/>
          <w:sz w:val="24"/>
          <w:szCs w:val="24"/>
        </w:rPr>
        <w:t>服务内容及要求</w:t>
      </w:r>
    </w:p>
    <w:p>
      <w:pPr>
        <w:numPr>
          <w:ilvl w:val="0"/>
          <w:numId w:val="25"/>
        </w:numPr>
        <w:autoSpaceDE/>
        <w:autoSpaceDN/>
        <w:snapToGrid w:val="0"/>
        <w:spacing w:line="400" w:lineRule="atLeast"/>
        <w:ind w:right="105" w:rightChars="50"/>
        <w:jc w:val="left"/>
        <w:textAlignment w:val="auto"/>
        <w:rPr>
          <w:rFonts w:ascii="宋体" w:hAnsi="宋体"/>
          <w:sz w:val="24"/>
          <w:szCs w:val="24"/>
        </w:rPr>
      </w:pPr>
      <w:r>
        <w:rPr>
          <w:rFonts w:hint="eastAsia" w:ascii="宋体" w:hAnsi="宋体"/>
          <w:sz w:val="24"/>
          <w:szCs w:val="24"/>
        </w:rPr>
        <w:t>服务内容</w:t>
      </w:r>
    </w:p>
    <w:p>
      <w:pPr>
        <w:numPr>
          <w:ilvl w:val="0"/>
          <w:numId w:val="26"/>
        </w:numPr>
        <w:autoSpaceDE/>
        <w:autoSpaceDN/>
        <w:snapToGrid w:val="0"/>
        <w:spacing w:line="400" w:lineRule="atLeast"/>
        <w:ind w:right="105" w:rightChars="50"/>
        <w:jc w:val="left"/>
        <w:textAlignment w:val="auto"/>
        <w:rPr>
          <w:rFonts w:ascii="宋体" w:hAnsi="宋体"/>
          <w:sz w:val="24"/>
          <w:szCs w:val="24"/>
        </w:rPr>
      </w:pPr>
      <w:r>
        <w:rPr>
          <w:rFonts w:hint="eastAsia" w:ascii="宋体" w:hAnsi="宋体"/>
          <w:sz w:val="24"/>
          <w:szCs w:val="24"/>
        </w:rPr>
        <w:t>企业环保自行监测（服务周期为2024年1月1日至2025年12月31日）。</w:t>
      </w:r>
    </w:p>
    <w:p>
      <w:pPr>
        <w:tabs>
          <w:tab w:val="left" w:pos="0"/>
        </w:tabs>
        <w:autoSpaceDE/>
        <w:autoSpaceDN/>
        <w:snapToGrid w:val="0"/>
        <w:spacing w:line="400" w:lineRule="atLeast"/>
        <w:ind w:right="105" w:rightChars="50" w:firstLine="480" w:firstLineChars="200"/>
        <w:jc w:val="left"/>
        <w:textAlignment w:val="auto"/>
        <w:rPr>
          <w:rFonts w:ascii="宋体" w:hAnsi="宋体"/>
          <w:sz w:val="24"/>
          <w:szCs w:val="24"/>
        </w:rPr>
      </w:pPr>
      <w:r>
        <w:rPr>
          <w:rFonts w:hint="eastAsia" w:ascii="宋体" w:hAnsi="宋体"/>
          <w:sz w:val="24"/>
          <w:szCs w:val="24"/>
        </w:rPr>
        <w:t>每个月20日之前完成当月监测内容的采样工作，每次检测的具体时间由双方协商确定。</w:t>
      </w:r>
    </w:p>
    <w:p>
      <w:pPr>
        <w:autoSpaceDE/>
        <w:autoSpaceDN/>
        <w:snapToGrid w:val="0"/>
        <w:spacing w:line="400" w:lineRule="atLeast"/>
        <w:ind w:right="-105" w:rightChars="-50"/>
        <w:jc w:val="center"/>
        <w:textAlignment w:val="auto"/>
        <w:rPr>
          <w:rFonts w:ascii="宋体" w:hAnsi="宋体" w:cs="宋体"/>
          <w:b/>
          <w:bCs/>
          <w:sz w:val="24"/>
          <w:szCs w:val="24"/>
        </w:rPr>
      </w:pPr>
      <w:r>
        <w:rPr>
          <w:rFonts w:hint="eastAsia" w:ascii="宋体" w:hAnsi="宋体" w:cs="宋体"/>
          <w:b/>
          <w:bCs/>
          <w:sz w:val="24"/>
          <w:szCs w:val="24"/>
        </w:rPr>
        <w:t>自行监测方案</w:t>
      </w:r>
    </w:p>
    <w:tbl>
      <w:tblPr>
        <w:tblStyle w:val="13"/>
        <w:tblW w:w="0" w:type="auto"/>
        <w:jc w:val="center"/>
        <w:tblLayout w:type="fixed"/>
        <w:tblCellMar>
          <w:top w:w="15" w:type="dxa"/>
          <w:left w:w="108" w:type="dxa"/>
          <w:bottom w:w="15" w:type="dxa"/>
          <w:right w:w="108" w:type="dxa"/>
        </w:tblCellMar>
      </w:tblPr>
      <w:tblGrid>
        <w:gridCol w:w="1651"/>
        <w:gridCol w:w="2700"/>
        <w:gridCol w:w="2761"/>
        <w:gridCol w:w="2176"/>
      </w:tblGrid>
      <w:tr>
        <w:tblPrEx>
          <w:tblCellMar>
            <w:top w:w="15" w:type="dxa"/>
            <w:left w:w="108" w:type="dxa"/>
            <w:bottom w:w="15" w:type="dxa"/>
            <w:right w:w="108" w:type="dxa"/>
          </w:tblCellMar>
        </w:tblPrEx>
        <w:trPr>
          <w:trHeight w:val="543" w:hRule="atLeast"/>
          <w:jc w:val="center"/>
        </w:trPr>
        <w:tc>
          <w:tcPr>
            <w:tcW w:w="1651" w:type="dxa"/>
            <w:tcBorders>
              <w:top w:val="single" w:color="000000" w:sz="4" w:space="0"/>
              <w:left w:val="single" w:color="000000" w:sz="4" w:space="0"/>
              <w:bottom w:val="single" w:color="000000" w:sz="4" w:space="0"/>
              <w:right w:val="single" w:color="000000" w:sz="4" w:space="0"/>
            </w:tcBorders>
            <w:vAlign w:val="center"/>
          </w:tcPr>
          <w:p>
            <w:pPr>
              <w:autoSpaceDE/>
              <w:autoSpaceDN/>
              <w:snapToGrid w:val="0"/>
              <w:spacing w:line="400" w:lineRule="atLeast"/>
              <w:ind w:right="-105" w:rightChars="-50" w:firstLine="210" w:firstLineChars="100"/>
              <w:jc w:val="center"/>
              <w:textAlignment w:val="auto"/>
              <w:rPr>
                <w:rFonts w:ascii="宋体" w:hAnsi="宋体" w:cs="宋体"/>
                <w:szCs w:val="21"/>
              </w:rPr>
            </w:pPr>
            <w:r>
              <w:rPr>
                <w:rFonts w:hint="eastAsia" w:ascii="宋体" w:hAnsi="宋体" w:cs="宋体"/>
                <w:szCs w:val="21"/>
              </w:rPr>
              <w:t>污染源类别</w:t>
            </w:r>
          </w:p>
        </w:tc>
        <w:tc>
          <w:tcPr>
            <w:tcW w:w="2700" w:type="dxa"/>
            <w:tcBorders>
              <w:top w:val="single" w:color="000000" w:sz="4" w:space="0"/>
              <w:left w:val="single" w:color="000000" w:sz="4" w:space="0"/>
              <w:bottom w:val="single" w:color="000000" w:sz="4" w:space="0"/>
              <w:right w:val="single" w:color="000000" w:sz="4" w:space="0"/>
            </w:tcBorders>
            <w:vAlign w:val="center"/>
          </w:tcPr>
          <w:p>
            <w:pPr>
              <w:autoSpaceDE/>
              <w:autoSpaceDN/>
              <w:snapToGrid w:val="0"/>
              <w:spacing w:line="400" w:lineRule="atLeast"/>
              <w:ind w:left="-105" w:leftChars="-50" w:right="-105" w:rightChars="-50" w:firstLine="420" w:firstLineChars="200"/>
              <w:jc w:val="center"/>
              <w:textAlignment w:val="auto"/>
              <w:rPr>
                <w:rFonts w:ascii="宋体" w:hAnsi="宋体" w:cs="宋体"/>
                <w:szCs w:val="21"/>
              </w:rPr>
            </w:pPr>
            <w:r>
              <w:rPr>
                <w:rFonts w:hint="eastAsia" w:ascii="宋体" w:hAnsi="宋体" w:cs="宋体"/>
                <w:szCs w:val="21"/>
              </w:rPr>
              <w:t>污染物名称</w:t>
            </w:r>
          </w:p>
        </w:tc>
        <w:tc>
          <w:tcPr>
            <w:tcW w:w="2761" w:type="dxa"/>
            <w:tcBorders>
              <w:top w:val="single" w:color="000000" w:sz="4" w:space="0"/>
              <w:left w:val="single" w:color="000000" w:sz="4" w:space="0"/>
              <w:bottom w:val="single" w:color="000000" w:sz="4" w:space="0"/>
              <w:right w:val="single" w:color="000000" w:sz="4" w:space="0"/>
            </w:tcBorders>
            <w:vAlign w:val="center"/>
          </w:tcPr>
          <w:p>
            <w:pPr>
              <w:autoSpaceDE/>
              <w:autoSpaceDN/>
              <w:snapToGrid w:val="0"/>
              <w:spacing w:line="400" w:lineRule="atLeast"/>
              <w:ind w:right="-105" w:rightChars="-50"/>
              <w:jc w:val="center"/>
              <w:textAlignment w:val="auto"/>
              <w:rPr>
                <w:rFonts w:ascii="宋体" w:hAnsi="宋体" w:cs="宋体"/>
                <w:szCs w:val="21"/>
              </w:rPr>
            </w:pPr>
            <w:r>
              <w:rPr>
                <w:rFonts w:hint="eastAsia" w:ascii="宋体" w:hAnsi="宋体" w:cs="宋体"/>
                <w:szCs w:val="21"/>
              </w:rPr>
              <w:t>手工监测采样方法及个数</w:t>
            </w:r>
          </w:p>
        </w:tc>
        <w:tc>
          <w:tcPr>
            <w:tcW w:w="2176" w:type="dxa"/>
            <w:tcBorders>
              <w:top w:val="single" w:color="000000" w:sz="4" w:space="0"/>
              <w:left w:val="single" w:color="000000" w:sz="4" w:space="0"/>
              <w:bottom w:val="single" w:color="000000" w:sz="4" w:space="0"/>
              <w:right w:val="single" w:color="000000" w:sz="4" w:space="0"/>
            </w:tcBorders>
            <w:vAlign w:val="center"/>
          </w:tcPr>
          <w:p>
            <w:pPr>
              <w:autoSpaceDE/>
              <w:autoSpaceDN/>
              <w:snapToGrid w:val="0"/>
              <w:spacing w:line="400" w:lineRule="atLeast"/>
              <w:ind w:left="-105" w:leftChars="-50" w:right="-105" w:rightChars="-50" w:firstLine="420" w:firstLineChars="200"/>
              <w:jc w:val="center"/>
              <w:textAlignment w:val="auto"/>
              <w:rPr>
                <w:rFonts w:ascii="宋体" w:hAnsi="宋体" w:cs="宋体"/>
                <w:szCs w:val="21"/>
              </w:rPr>
            </w:pPr>
            <w:r>
              <w:rPr>
                <w:rFonts w:hint="eastAsia" w:ascii="宋体" w:hAnsi="宋体" w:cs="宋体"/>
                <w:szCs w:val="21"/>
              </w:rPr>
              <w:t>手工监测频次</w:t>
            </w:r>
          </w:p>
        </w:tc>
      </w:tr>
      <w:tr>
        <w:tblPrEx>
          <w:tblCellMar>
            <w:top w:w="15" w:type="dxa"/>
            <w:left w:w="108" w:type="dxa"/>
            <w:bottom w:w="15" w:type="dxa"/>
            <w:right w:w="108" w:type="dxa"/>
          </w:tblCellMar>
        </w:tblPrEx>
        <w:trPr>
          <w:trHeight w:val="1874" w:hRule="atLeast"/>
          <w:jc w:val="center"/>
        </w:trPr>
        <w:tc>
          <w:tcPr>
            <w:tcW w:w="16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szCs w:val="21"/>
              </w:rPr>
              <w:t>生产废水</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szCs w:val="21"/>
              </w:rPr>
              <w:t>pH值、溶解性总固体、化学需氧量</w:t>
            </w: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szCs w:val="21"/>
              </w:rPr>
              <w:t>瞬时采样 至少3个瞬时样</w:t>
            </w:r>
          </w:p>
        </w:tc>
        <w:tc>
          <w:tcPr>
            <w:tcW w:w="2176" w:type="dxa"/>
            <w:tcBorders>
              <w:top w:val="single" w:color="000000" w:sz="4" w:space="0"/>
              <w:left w:val="single" w:color="000000" w:sz="4" w:space="0"/>
              <w:bottom w:val="single" w:color="000000" w:sz="4" w:space="0"/>
              <w:right w:val="single" w:color="000000" w:sz="4" w:space="0"/>
            </w:tcBorders>
            <w:vAlign w:val="center"/>
          </w:tcPr>
          <w:p>
            <w:pPr>
              <w:autoSpaceDE/>
              <w:autoSpaceDN/>
              <w:snapToGrid w:val="0"/>
              <w:spacing w:line="400" w:lineRule="atLeast"/>
              <w:ind w:right="-105" w:rightChars="-50"/>
              <w:jc w:val="center"/>
              <w:textAlignment w:val="auto"/>
              <w:rPr>
                <w:rFonts w:ascii="宋体" w:hAnsi="宋体" w:cs="宋体"/>
                <w:szCs w:val="21"/>
              </w:rPr>
            </w:pPr>
            <w:r>
              <w:rPr>
                <w:rFonts w:ascii="宋体" w:hAnsi="宋体" w:cs="宋体"/>
                <w:szCs w:val="21"/>
              </w:rPr>
              <w:t>1次/月</w:t>
            </w:r>
          </w:p>
        </w:tc>
      </w:tr>
      <w:tr>
        <w:tblPrEx>
          <w:tblCellMar>
            <w:top w:w="15" w:type="dxa"/>
            <w:left w:w="108" w:type="dxa"/>
            <w:bottom w:w="15" w:type="dxa"/>
            <w:right w:w="108" w:type="dxa"/>
          </w:tblCellMar>
        </w:tblPrEx>
        <w:trPr>
          <w:trHeight w:val="603" w:hRule="atLeast"/>
          <w:jc w:val="center"/>
        </w:trPr>
        <w:tc>
          <w:tcPr>
            <w:tcW w:w="16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szCs w:val="21"/>
              </w:rPr>
              <w:t>有组织废气</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szCs w:val="21"/>
              </w:rPr>
              <w:t>烟气黑度、汞及其化合物、氨（氨气）</w:t>
            </w: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szCs w:val="21"/>
              </w:rPr>
              <w:t>非连续采样 至少3个</w:t>
            </w:r>
          </w:p>
        </w:tc>
        <w:tc>
          <w:tcPr>
            <w:tcW w:w="2176" w:type="dxa"/>
            <w:tcBorders>
              <w:top w:val="single" w:color="000000" w:sz="4" w:space="0"/>
              <w:left w:val="single" w:color="000000" w:sz="4" w:space="0"/>
              <w:bottom w:val="single" w:color="000000" w:sz="4" w:space="0"/>
              <w:right w:val="single" w:color="000000" w:sz="4" w:space="0"/>
            </w:tcBorders>
            <w:vAlign w:val="center"/>
          </w:tcPr>
          <w:p>
            <w:pPr>
              <w:autoSpaceDE/>
              <w:autoSpaceDN/>
              <w:snapToGrid w:val="0"/>
              <w:spacing w:line="400" w:lineRule="atLeast"/>
              <w:ind w:left="-105" w:leftChars="-50" w:right="-105" w:rightChars="-50"/>
              <w:jc w:val="center"/>
              <w:textAlignment w:val="auto"/>
              <w:rPr>
                <w:rFonts w:ascii="宋体" w:hAnsi="宋体" w:cs="宋体"/>
                <w:szCs w:val="21"/>
              </w:rPr>
            </w:pPr>
            <w:r>
              <w:rPr>
                <w:rFonts w:ascii="宋体" w:hAnsi="宋体" w:cs="宋体"/>
                <w:szCs w:val="21"/>
              </w:rPr>
              <w:t>1次/季度/炉（</w:t>
            </w:r>
            <w:r>
              <w:rPr>
                <w:rFonts w:hint="eastAsia" w:ascii="宋体" w:hAnsi="宋体" w:cs="宋体"/>
                <w:szCs w:val="21"/>
              </w:rPr>
              <w:t>2</w:t>
            </w:r>
            <w:r>
              <w:rPr>
                <w:rFonts w:ascii="宋体" w:hAnsi="宋体" w:cs="宋体"/>
                <w:szCs w:val="21"/>
              </w:rPr>
              <w:t>台</w:t>
            </w:r>
            <w:r>
              <w:rPr>
                <w:rFonts w:hint="eastAsia" w:ascii="宋体" w:hAnsi="宋体" w:cs="宋体"/>
                <w:szCs w:val="21"/>
              </w:rPr>
              <w:t>燃煤</w:t>
            </w:r>
            <w:r>
              <w:rPr>
                <w:rFonts w:ascii="宋体" w:hAnsi="宋体" w:cs="宋体"/>
                <w:szCs w:val="21"/>
              </w:rPr>
              <w:t>炉）</w:t>
            </w:r>
          </w:p>
        </w:tc>
      </w:tr>
      <w:tr>
        <w:tblPrEx>
          <w:tblCellMar>
            <w:top w:w="15" w:type="dxa"/>
            <w:left w:w="108" w:type="dxa"/>
            <w:bottom w:w="15" w:type="dxa"/>
            <w:right w:w="108" w:type="dxa"/>
          </w:tblCellMar>
        </w:tblPrEx>
        <w:trPr>
          <w:trHeight w:val="603" w:hRule="atLeast"/>
          <w:jc w:val="center"/>
        </w:trPr>
        <w:tc>
          <w:tcPr>
            <w:tcW w:w="16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szCs w:val="21"/>
              </w:rPr>
              <w:t>有组织废气</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szCs w:val="21"/>
              </w:rPr>
              <w:t>二氧化硫、颗粒物</w:t>
            </w:r>
            <w:r>
              <w:rPr>
                <w:rStyle w:val="19"/>
                <w:rFonts w:hint="default"/>
              </w:rPr>
              <w:t>、烟气黑度</w:t>
            </w: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szCs w:val="21"/>
              </w:rPr>
              <w:t>非连续采样 至少3个</w:t>
            </w:r>
          </w:p>
        </w:tc>
        <w:tc>
          <w:tcPr>
            <w:tcW w:w="2176" w:type="dxa"/>
            <w:tcBorders>
              <w:top w:val="single" w:color="000000" w:sz="4" w:space="0"/>
              <w:left w:val="single" w:color="000000" w:sz="4" w:space="0"/>
              <w:bottom w:val="single" w:color="000000" w:sz="4" w:space="0"/>
              <w:right w:val="single" w:color="000000" w:sz="4" w:space="0"/>
            </w:tcBorders>
            <w:vAlign w:val="center"/>
          </w:tcPr>
          <w:p>
            <w:pPr>
              <w:autoSpaceDE/>
              <w:autoSpaceDN/>
              <w:snapToGrid w:val="0"/>
              <w:spacing w:line="400" w:lineRule="atLeast"/>
              <w:ind w:left="-105" w:leftChars="-50" w:right="-105" w:rightChars="-50"/>
              <w:jc w:val="center"/>
              <w:textAlignment w:val="auto"/>
              <w:rPr>
                <w:rFonts w:ascii="宋体" w:hAnsi="宋体" w:cs="宋体"/>
                <w:szCs w:val="21"/>
              </w:rPr>
            </w:pPr>
            <w:r>
              <w:rPr>
                <w:rFonts w:ascii="宋体" w:hAnsi="宋体" w:cs="宋体"/>
                <w:szCs w:val="21"/>
              </w:rPr>
              <w:t>1次/季度（</w:t>
            </w:r>
            <w:r>
              <w:rPr>
                <w:rFonts w:hint="eastAsia" w:ascii="宋体" w:hAnsi="宋体" w:cs="宋体"/>
                <w:szCs w:val="21"/>
              </w:rPr>
              <w:t>燃气</w:t>
            </w:r>
            <w:r>
              <w:rPr>
                <w:rFonts w:ascii="宋体" w:hAnsi="宋体" w:cs="宋体"/>
                <w:szCs w:val="21"/>
              </w:rPr>
              <w:t>炉）</w:t>
            </w:r>
          </w:p>
        </w:tc>
      </w:tr>
      <w:tr>
        <w:tblPrEx>
          <w:tblCellMar>
            <w:top w:w="15" w:type="dxa"/>
            <w:left w:w="108" w:type="dxa"/>
            <w:bottom w:w="15" w:type="dxa"/>
            <w:right w:w="108" w:type="dxa"/>
          </w:tblCellMar>
        </w:tblPrEx>
        <w:trPr>
          <w:trHeight w:val="603" w:hRule="atLeast"/>
          <w:jc w:val="center"/>
        </w:trPr>
        <w:tc>
          <w:tcPr>
            <w:tcW w:w="16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szCs w:val="21"/>
              </w:rPr>
              <w:t>无组织废气</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szCs w:val="21"/>
              </w:rPr>
              <w:t>氨（氨气）</w:t>
            </w: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szCs w:val="21"/>
              </w:rPr>
              <w:t>非连续采样 至少3个</w:t>
            </w:r>
          </w:p>
        </w:tc>
        <w:tc>
          <w:tcPr>
            <w:tcW w:w="2176" w:type="dxa"/>
            <w:tcBorders>
              <w:top w:val="single" w:color="000000" w:sz="4" w:space="0"/>
              <w:left w:val="single" w:color="000000" w:sz="4" w:space="0"/>
              <w:bottom w:val="single" w:color="000000" w:sz="4" w:space="0"/>
              <w:right w:val="single" w:color="000000" w:sz="4" w:space="0"/>
            </w:tcBorders>
            <w:vAlign w:val="center"/>
          </w:tcPr>
          <w:p>
            <w:pPr>
              <w:autoSpaceDE/>
              <w:autoSpaceDN/>
              <w:snapToGrid w:val="0"/>
              <w:spacing w:line="400" w:lineRule="atLeast"/>
              <w:ind w:right="-105" w:rightChars="-50"/>
              <w:jc w:val="center"/>
              <w:textAlignment w:val="auto"/>
              <w:rPr>
                <w:rFonts w:ascii="宋体" w:hAnsi="宋体" w:cs="宋体"/>
                <w:szCs w:val="21"/>
              </w:rPr>
            </w:pPr>
            <w:r>
              <w:rPr>
                <w:rFonts w:ascii="宋体" w:hAnsi="宋体" w:cs="宋体"/>
                <w:szCs w:val="21"/>
              </w:rPr>
              <w:t>1次/季</w:t>
            </w:r>
            <w:r>
              <w:rPr>
                <w:rFonts w:hint="eastAsia" w:ascii="宋体" w:hAnsi="宋体" w:cs="宋体"/>
                <w:szCs w:val="21"/>
              </w:rPr>
              <w:t>（4个点）</w:t>
            </w:r>
          </w:p>
        </w:tc>
      </w:tr>
      <w:tr>
        <w:tblPrEx>
          <w:tblCellMar>
            <w:top w:w="15" w:type="dxa"/>
            <w:left w:w="108" w:type="dxa"/>
            <w:bottom w:w="15" w:type="dxa"/>
            <w:right w:w="108" w:type="dxa"/>
          </w:tblCellMar>
        </w:tblPrEx>
        <w:trPr>
          <w:trHeight w:val="603" w:hRule="atLeast"/>
          <w:jc w:val="center"/>
        </w:trPr>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szCs w:val="21"/>
              </w:rPr>
              <w:t>颗粒物、非甲烷总烃（厂界）</w:t>
            </w: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szCs w:val="21"/>
              </w:rPr>
              <w:t>非连续采样 至少3个</w:t>
            </w:r>
          </w:p>
        </w:tc>
        <w:tc>
          <w:tcPr>
            <w:tcW w:w="2176" w:type="dxa"/>
            <w:tcBorders>
              <w:top w:val="single" w:color="000000" w:sz="4" w:space="0"/>
              <w:left w:val="single" w:color="000000" w:sz="4" w:space="0"/>
              <w:bottom w:val="single" w:color="000000" w:sz="4" w:space="0"/>
              <w:right w:val="single" w:color="000000" w:sz="4" w:space="0"/>
            </w:tcBorders>
            <w:vAlign w:val="center"/>
          </w:tcPr>
          <w:p>
            <w:pPr>
              <w:autoSpaceDE/>
              <w:autoSpaceDN/>
              <w:snapToGrid w:val="0"/>
              <w:spacing w:line="400" w:lineRule="atLeast"/>
              <w:ind w:right="-105" w:rightChars="-50"/>
              <w:jc w:val="center"/>
              <w:textAlignment w:val="auto"/>
              <w:rPr>
                <w:rFonts w:ascii="宋体" w:hAnsi="宋体" w:cs="宋体"/>
                <w:szCs w:val="21"/>
              </w:rPr>
            </w:pPr>
            <w:r>
              <w:rPr>
                <w:rFonts w:ascii="宋体" w:hAnsi="宋体" w:cs="宋体"/>
                <w:szCs w:val="21"/>
              </w:rPr>
              <w:t>1次/季</w:t>
            </w:r>
            <w:r>
              <w:rPr>
                <w:rFonts w:hint="eastAsia" w:ascii="宋体" w:hAnsi="宋体" w:cs="宋体"/>
                <w:szCs w:val="21"/>
              </w:rPr>
              <w:t>（4个点）</w:t>
            </w:r>
          </w:p>
        </w:tc>
      </w:tr>
      <w:tr>
        <w:trPr>
          <w:trHeight w:val="603" w:hRule="atLeast"/>
          <w:jc w:val="center"/>
        </w:trPr>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szCs w:val="21"/>
              </w:rPr>
              <w:t>非甲烷总烃（油库）</w:t>
            </w: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szCs w:val="21"/>
              </w:rPr>
              <w:t>非连续采样 至少3个</w:t>
            </w:r>
          </w:p>
        </w:tc>
        <w:tc>
          <w:tcPr>
            <w:tcW w:w="2176" w:type="dxa"/>
            <w:tcBorders>
              <w:top w:val="single" w:color="000000" w:sz="4" w:space="0"/>
              <w:left w:val="single" w:color="000000" w:sz="4" w:space="0"/>
              <w:bottom w:val="single" w:color="000000" w:sz="4" w:space="0"/>
              <w:right w:val="single" w:color="000000" w:sz="4" w:space="0"/>
            </w:tcBorders>
            <w:vAlign w:val="center"/>
          </w:tcPr>
          <w:p>
            <w:pPr>
              <w:autoSpaceDE/>
              <w:autoSpaceDN/>
              <w:snapToGrid w:val="0"/>
              <w:spacing w:line="400" w:lineRule="atLeast"/>
              <w:ind w:right="-105" w:rightChars="-50"/>
              <w:jc w:val="center"/>
              <w:textAlignment w:val="auto"/>
              <w:rPr>
                <w:rFonts w:ascii="宋体" w:hAnsi="宋体" w:cs="宋体"/>
                <w:szCs w:val="21"/>
              </w:rPr>
            </w:pPr>
            <w:r>
              <w:rPr>
                <w:rFonts w:ascii="宋体" w:hAnsi="宋体" w:cs="宋体"/>
                <w:szCs w:val="21"/>
              </w:rPr>
              <w:t>1次/季</w:t>
            </w:r>
            <w:r>
              <w:rPr>
                <w:rFonts w:hint="eastAsia" w:ascii="宋体" w:hAnsi="宋体" w:cs="宋体"/>
                <w:szCs w:val="21"/>
              </w:rPr>
              <w:t>（4个点）</w:t>
            </w:r>
          </w:p>
        </w:tc>
      </w:tr>
      <w:tr>
        <w:tblPrEx>
          <w:tblCellMar>
            <w:top w:w="15" w:type="dxa"/>
            <w:left w:w="108" w:type="dxa"/>
            <w:bottom w:w="15" w:type="dxa"/>
            <w:right w:w="108" w:type="dxa"/>
          </w:tblCellMar>
        </w:tblPrEx>
        <w:trPr>
          <w:trHeight w:val="603" w:hRule="atLeast"/>
          <w:jc w:val="center"/>
        </w:trPr>
        <w:tc>
          <w:tcPr>
            <w:tcW w:w="16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szCs w:val="21"/>
              </w:rPr>
              <w:t>噪声</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szCs w:val="21"/>
              </w:rPr>
              <w:t>厂界噪声</w:t>
            </w: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sz w:val="22"/>
                <w:szCs w:val="22"/>
              </w:rPr>
              <w:t>昼夜</w:t>
            </w:r>
          </w:p>
        </w:tc>
        <w:tc>
          <w:tcPr>
            <w:tcW w:w="2176" w:type="dxa"/>
            <w:tcBorders>
              <w:top w:val="single" w:color="000000" w:sz="4" w:space="0"/>
              <w:left w:val="single" w:color="000000" w:sz="4" w:space="0"/>
              <w:bottom w:val="single" w:color="000000" w:sz="4" w:space="0"/>
              <w:right w:val="single" w:color="000000" w:sz="4" w:space="0"/>
            </w:tcBorders>
            <w:vAlign w:val="center"/>
          </w:tcPr>
          <w:p>
            <w:pPr>
              <w:autoSpaceDE/>
              <w:autoSpaceDN/>
              <w:snapToGrid w:val="0"/>
              <w:spacing w:line="400" w:lineRule="atLeast"/>
              <w:ind w:right="-105" w:rightChars="-50"/>
              <w:jc w:val="center"/>
              <w:textAlignment w:val="auto"/>
              <w:rPr>
                <w:rFonts w:ascii="宋体" w:hAnsi="宋体" w:cs="宋体"/>
                <w:szCs w:val="21"/>
              </w:rPr>
            </w:pPr>
            <w:r>
              <w:rPr>
                <w:rFonts w:ascii="宋体" w:hAnsi="宋体" w:cs="宋体"/>
                <w:szCs w:val="21"/>
              </w:rPr>
              <w:t>1次/</w:t>
            </w:r>
            <w:r>
              <w:rPr>
                <w:rFonts w:hint="eastAsia" w:ascii="宋体" w:hAnsi="宋体" w:cs="宋体"/>
                <w:szCs w:val="21"/>
              </w:rPr>
              <w:t>季度</w:t>
            </w:r>
          </w:p>
        </w:tc>
      </w:tr>
    </w:tbl>
    <w:p>
      <w:pPr>
        <w:autoSpaceDE/>
        <w:autoSpaceDN/>
        <w:snapToGrid w:val="0"/>
        <w:spacing w:line="400" w:lineRule="atLeast"/>
        <w:ind w:right="-105" w:rightChars="-50"/>
        <w:textAlignment w:val="auto"/>
        <w:rPr>
          <w:rFonts w:ascii="宋体" w:hAnsi="宋体" w:cs="宋体"/>
          <w:b/>
          <w:bCs/>
          <w:sz w:val="24"/>
          <w:szCs w:val="24"/>
        </w:rPr>
      </w:pPr>
    </w:p>
    <w:p>
      <w:pPr>
        <w:numPr>
          <w:ilvl w:val="0"/>
          <w:numId w:val="26"/>
        </w:numPr>
        <w:autoSpaceDE/>
        <w:autoSpaceDN/>
        <w:snapToGrid w:val="0"/>
        <w:spacing w:line="400" w:lineRule="atLeast"/>
        <w:ind w:right="105" w:rightChars="50"/>
        <w:jc w:val="left"/>
        <w:textAlignment w:val="auto"/>
        <w:rPr>
          <w:rFonts w:ascii="宋体" w:hAnsi="宋体"/>
          <w:sz w:val="24"/>
          <w:szCs w:val="24"/>
        </w:rPr>
      </w:pPr>
      <w:r>
        <w:rPr>
          <w:rFonts w:hint="eastAsia" w:ascii="宋体" w:hAnsi="宋体"/>
          <w:sz w:val="24"/>
          <w:szCs w:val="24"/>
        </w:rPr>
        <w:t>燃煤锅炉烟气比对监测（服务周期为2024年1月1日至2025年12月31日）</w:t>
      </w:r>
    </w:p>
    <w:p>
      <w:pPr>
        <w:pStyle w:val="4"/>
        <w:spacing w:line="400" w:lineRule="atLeast"/>
        <w:ind w:firstLine="520" w:firstLineChars="200"/>
        <w:jc w:val="both"/>
        <w:textAlignment w:val="auto"/>
        <w:rPr>
          <w:rFonts w:ascii="宋体" w:hAnsi="宋体" w:eastAsia="宋体" w:cs="宋体"/>
          <w:bCs/>
          <w:sz w:val="24"/>
          <w:szCs w:val="24"/>
        </w:rPr>
      </w:pPr>
      <w:r>
        <w:rPr>
          <w:rFonts w:hint="eastAsia" w:ascii="宋体" w:hAnsi="宋体" w:eastAsia="宋体" w:cs="宋体"/>
          <w:b w:val="0"/>
          <w:bCs/>
          <w:sz w:val="24"/>
          <w:szCs w:val="24"/>
        </w:rPr>
        <w:t>采购方根据每季度锅炉生产运行情况确定比对监测时间及比对检测的锅炉。</w:t>
      </w:r>
    </w:p>
    <w:p>
      <w:pPr>
        <w:pStyle w:val="5"/>
        <w:rPr>
          <w:rFonts w:ascii="宋体" w:hAnsi="宋体" w:cs="宋体"/>
          <w:bCs/>
          <w:sz w:val="24"/>
          <w:szCs w:val="24"/>
        </w:rPr>
      </w:pPr>
    </w:p>
    <w:p>
      <w:pPr>
        <w:pStyle w:val="4"/>
        <w:spacing w:line="400" w:lineRule="atLeast"/>
        <w:jc w:val="center"/>
        <w:textAlignment w:val="auto"/>
        <w:rPr>
          <w:rFonts w:ascii="宋体" w:hAnsi="宋体" w:eastAsia="宋体"/>
          <w:b w:val="0"/>
          <w:sz w:val="24"/>
          <w:szCs w:val="24"/>
        </w:rPr>
      </w:pPr>
      <w:r>
        <w:rPr>
          <w:rFonts w:hint="eastAsia" w:ascii="宋体" w:hAnsi="宋体" w:cs="宋体"/>
          <w:sz w:val="24"/>
          <w:szCs w:val="24"/>
        </w:rPr>
        <w:t>比对监测方案</w:t>
      </w:r>
    </w:p>
    <w:tbl>
      <w:tblPr>
        <w:tblStyle w:val="13"/>
        <w:tblW w:w="0" w:type="auto"/>
        <w:jc w:val="center"/>
        <w:tblLayout w:type="fixed"/>
        <w:tblCellMar>
          <w:top w:w="0" w:type="dxa"/>
          <w:left w:w="108" w:type="dxa"/>
          <w:bottom w:w="0" w:type="dxa"/>
          <w:right w:w="108" w:type="dxa"/>
        </w:tblCellMar>
      </w:tblPr>
      <w:tblGrid>
        <w:gridCol w:w="1338"/>
        <w:gridCol w:w="1469"/>
        <w:gridCol w:w="2760"/>
        <w:gridCol w:w="2151"/>
        <w:gridCol w:w="1570"/>
      </w:tblGrid>
      <w:tr>
        <w:trPr>
          <w:trHeight w:val="600" w:hRule="atLeast"/>
          <w:jc w:val="center"/>
        </w:trPr>
        <w:tc>
          <w:tcPr>
            <w:tcW w:w="1338"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监测项目</w:t>
            </w:r>
          </w:p>
        </w:tc>
        <w:tc>
          <w:tcPr>
            <w:tcW w:w="1469" w:type="dxa"/>
            <w:tcBorders>
              <w:top w:val="single" w:color="auto" w:sz="4" w:space="0"/>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监测频率</w:t>
            </w:r>
          </w:p>
        </w:tc>
        <w:tc>
          <w:tcPr>
            <w:tcW w:w="2760" w:type="dxa"/>
            <w:tcBorders>
              <w:top w:val="single" w:color="auto" w:sz="4" w:space="0"/>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监测方法</w:t>
            </w:r>
          </w:p>
        </w:tc>
        <w:tc>
          <w:tcPr>
            <w:tcW w:w="2151" w:type="dxa"/>
            <w:tcBorders>
              <w:top w:val="single" w:color="auto" w:sz="4" w:space="0"/>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样品数量（个）</w:t>
            </w:r>
          </w:p>
        </w:tc>
        <w:tc>
          <w:tcPr>
            <w:tcW w:w="1570" w:type="dxa"/>
            <w:tcBorders>
              <w:top w:val="single" w:color="auto" w:sz="4" w:space="0"/>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其他说明</w:t>
            </w:r>
          </w:p>
        </w:tc>
      </w:tr>
      <w:tr>
        <w:trPr>
          <w:trHeight w:val="840" w:hRule="atLeast"/>
          <w:jc w:val="center"/>
        </w:trPr>
        <w:tc>
          <w:tcPr>
            <w:tcW w:w="1338" w:type="dxa"/>
            <w:tcBorders>
              <w:top w:val="nil"/>
              <w:left w:val="single" w:color="auto" w:sz="4" w:space="0"/>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二氧化硫</w:t>
            </w:r>
          </w:p>
        </w:tc>
        <w:tc>
          <w:tcPr>
            <w:tcW w:w="1469" w:type="dxa"/>
            <w:tcBorders>
              <w:top w:val="nil"/>
              <w:left w:val="nil"/>
              <w:bottom w:val="single" w:color="auto" w:sz="4" w:space="0"/>
              <w:right w:val="single" w:color="auto" w:sz="4" w:space="0"/>
            </w:tcBorders>
            <w:vAlign w:val="center"/>
          </w:tcPr>
          <w:p>
            <w:pPr>
              <w:widowControl/>
              <w:autoSpaceDE/>
              <w:autoSpaceDN/>
              <w:adjustRightInd/>
              <w:spacing w:line="240" w:lineRule="auto"/>
              <w:jc w:val="left"/>
              <w:textAlignment w:val="auto"/>
              <w:rPr>
                <w:rFonts w:ascii="宋体" w:hAnsi="宋体" w:cs="宋体"/>
                <w:color w:val="000000"/>
                <w:szCs w:val="21"/>
              </w:rPr>
            </w:pPr>
            <w:r>
              <w:rPr>
                <w:rFonts w:hint="eastAsia" w:ascii="宋体" w:hAnsi="宋体" w:cs="宋体"/>
                <w:color w:val="000000"/>
                <w:szCs w:val="21"/>
              </w:rPr>
              <w:t>监测一天，每天测定9个数据</w:t>
            </w:r>
          </w:p>
        </w:tc>
        <w:tc>
          <w:tcPr>
            <w:tcW w:w="276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HJ57-2017《固定污染源废气 二氧化硫的测定 定电位电解法》</w:t>
            </w:r>
          </w:p>
        </w:tc>
        <w:tc>
          <w:tcPr>
            <w:tcW w:w="2151" w:type="dxa"/>
            <w:tcBorders>
              <w:top w:val="nil"/>
              <w:left w:val="nil"/>
              <w:bottom w:val="single" w:color="auto" w:sz="4" w:space="0"/>
              <w:right w:val="single" w:color="auto" w:sz="4" w:space="0"/>
            </w:tcBorders>
            <w:noWrap/>
            <w:vAlign w:val="center"/>
          </w:tcPr>
          <w:p>
            <w:pPr>
              <w:widowControl/>
              <w:autoSpaceDE/>
              <w:autoSpaceDN/>
              <w:adjustRightInd/>
              <w:spacing w:line="240" w:lineRule="auto"/>
              <w:jc w:val="left"/>
              <w:textAlignment w:val="auto"/>
              <w:rPr>
                <w:rFonts w:ascii="宋体" w:hAnsi="宋体" w:cs="宋体"/>
                <w:color w:val="000000"/>
                <w:sz w:val="22"/>
                <w:szCs w:val="22"/>
              </w:rPr>
            </w:pPr>
            <w:r>
              <w:rPr>
                <w:rFonts w:hint="eastAsia" w:ascii="宋体" w:hAnsi="宋体" w:cs="宋体"/>
                <w:color w:val="000000"/>
                <w:sz w:val="22"/>
                <w:szCs w:val="22"/>
              </w:rPr>
              <w:t>1次/季度/炉（2台炉）</w:t>
            </w:r>
          </w:p>
        </w:tc>
        <w:tc>
          <w:tcPr>
            <w:tcW w:w="157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排放浓度≤35mg/m</w:t>
            </w:r>
            <w:r>
              <w:rPr>
                <w:rFonts w:hint="eastAsia" w:ascii="宋体" w:hAnsi="宋体" w:cs="宋体"/>
                <w:color w:val="000000"/>
                <w:szCs w:val="21"/>
                <w:vertAlign w:val="superscript"/>
              </w:rPr>
              <w:t>3</w:t>
            </w:r>
          </w:p>
        </w:tc>
      </w:tr>
      <w:tr>
        <w:tblPrEx>
          <w:tblCellMar>
            <w:top w:w="0" w:type="dxa"/>
            <w:left w:w="108" w:type="dxa"/>
            <w:bottom w:w="0" w:type="dxa"/>
            <w:right w:w="108" w:type="dxa"/>
          </w:tblCellMar>
        </w:tblPrEx>
        <w:trPr>
          <w:trHeight w:val="840" w:hRule="atLeast"/>
          <w:jc w:val="center"/>
        </w:trPr>
        <w:tc>
          <w:tcPr>
            <w:tcW w:w="1338" w:type="dxa"/>
            <w:tcBorders>
              <w:top w:val="nil"/>
              <w:left w:val="single" w:color="auto" w:sz="4" w:space="0"/>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氮氧化物</w:t>
            </w:r>
          </w:p>
        </w:tc>
        <w:tc>
          <w:tcPr>
            <w:tcW w:w="1469" w:type="dxa"/>
            <w:tcBorders>
              <w:top w:val="nil"/>
              <w:left w:val="nil"/>
              <w:bottom w:val="single" w:color="auto" w:sz="4" w:space="0"/>
              <w:right w:val="single" w:color="auto" w:sz="4" w:space="0"/>
            </w:tcBorders>
            <w:vAlign w:val="center"/>
          </w:tcPr>
          <w:p>
            <w:pPr>
              <w:widowControl/>
              <w:autoSpaceDE/>
              <w:autoSpaceDN/>
              <w:adjustRightInd/>
              <w:spacing w:line="240" w:lineRule="auto"/>
              <w:jc w:val="left"/>
              <w:textAlignment w:val="auto"/>
              <w:rPr>
                <w:rFonts w:ascii="宋体" w:hAnsi="宋体" w:cs="宋体"/>
                <w:color w:val="000000"/>
                <w:szCs w:val="21"/>
              </w:rPr>
            </w:pPr>
            <w:r>
              <w:rPr>
                <w:rFonts w:hint="eastAsia" w:ascii="宋体" w:hAnsi="宋体" w:cs="宋体"/>
                <w:color w:val="000000"/>
                <w:szCs w:val="21"/>
              </w:rPr>
              <w:t>监测一天，每天测定9个数据</w:t>
            </w:r>
          </w:p>
        </w:tc>
        <w:tc>
          <w:tcPr>
            <w:tcW w:w="276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HJ693-2014《固定污染源废气 氮氧化物硫的测定 定电位电解法》</w:t>
            </w:r>
          </w:p>
        </w:tc>
        <w:tc>
          <w:tcPr>
            <w:tcW w:w="2151" w:type="dxa"/>
            <w:tcBorders>
              <w:top w:val="nil"/>
              <w:left w:val="nil"/>
              <w:bottom w:val="single" w:color="auto" w:sz="4" w:space="0"/>
              <w:right w:val="single" w:color="auto" w:sz="4" w:space="0"/>
            </w:tcBorders>
            <w:noWrap/>
            <w:vAlign w:val="center"/>
          </w:tcPr>
          <w:p>
            <w:pPr>
              <w:widowControl/>
              <w:autoSpaceDE/>
              <w:autoSpaceDN/>
              <w:adjustRightInd/>
              <w:spacing w:line="240" w:lineRule="auto"/>
              <w:jc w:val="left"/>
              <w:textAlignment w:val="auto"/>
              <w:rPr>
                <w:rFonts w:ascii="宋体" w:hAnsi="宋体" w:cs="宋体"/>
                <w:color w:val="000000"/>
                <w:sz w:val="22"/>
                <w:szCs w:val="22"/>
              </w:rPr>
            </w:pPr>
            <w:r>
              <w:rPr>
                <w:rFonts w:hint="eastAsia" w:ascii="宋体" w:hAnsi="宋体" w:cs="宋体"/>
                <w:color w:val="000000"/>
                <w:sz w:val="22"/>
                <w:szCs w:val="22"/>
              </w:rPr>
              <w:t>1次/季度/炉（2台炉）</w:t>
            </w:r>
          </w:p>
        </w:tc>
        <w:tc>
          <w:tcPr>
            <w:tcW w:w="157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排放浓度≤50mg/m</w:t>
            </w:r>
            <w:r>
              <w:rPr>
                <w:rFonts w:hint="eastAsia" w:ascii="宋体" w:hAnsi="宋体" w:cs="宋体"/>
                <w:color w:val="000000"/>
                <w:szCs w:val="21"/>
                <w:vertAlign w:val="superscript"/>
              </w:rPr>
              <w:t>3</w:t>
            </w:r>
          </w:p>
        </w:tc>
      </w:tr>
      <w:tr>
        <w:tblPrEx>
          <w:tblCellMar>
            <w:top w:w="0" w:type="dxa"/>
            <w:left w:w="108" w:type="dxa"/>
            <w:bottom w:w="0" w:type="dxa"/>
            <w:right w:w="108" w:type="dxa"/>
          </w:tblCellMar>
        </w:tblPrEx>
        <w:trPr>
          <w:trHeight w:val="840" w:hRule="atLeast"/>
          <w:jc w:val="center"/>
        </w:trPr>
        <w:tc>
          <w:tcPr>
            <w:tcW w:w="1338" w:type="dxa"/>
            <w:tcBorders>
              <w:top w:val="nil"/>
              <w:left w:val="single" w:color="auto" w:sz="4" w:space="0"/>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颗粒物</w:t>
            </w:r>
          </w:p>
        </w:tc>
        <w:tc>
          <w:tcPr>
            <w:tcW w:w="1469" w:type="dxa"/>
            <w:tcBorders>
              <w:top w:val="nil"/>
              <w:left w:val="nil"/>
              <w:bottom w:val="single" w:color="auto" w:sz="4" w:space="0"/>
              <w:right w:val="single" w:color="auto" w:sz="4" w:space="0"/>
            </w:tcBorders>
            <w:vAlign w:val="center"/>
          </w:tcPr>
          <w:p>
            <w:pPr>
              <w:widowControl/>
              <w:autoSpaceDE/>
              <w:autoSpaceDN/>
              <w:adjustRightInd/>
              <w:spacing w:line="240" w:lineRule="auto"/>
              <w:jc w:val="left"/>
              <w:textAlignment w:val="auto"/>
              <w:rPr>
                <w:rFonts w:ascii="宋体" w:hAnsi="宋体" w:cs="宋体"/>
                <w:color w:val="000000"/>
                <w:szCs w:val="21"/>
              </w:rPr>
            </w:pPr>
            <w:r>
              <w:rPr>
                <w:rFonts w:hint="eastAsia" w:ascii="宋体" w:hAnsi="宋体" w:cs="宋体"/>
                <w:color w:val="000000"/>
                <w:szCs w:val="21"/>
              </w:rPr>
              <w:t>监测一天，每天测定9个数据</w:t>
            </w:r>
          </w:p>
        </w:tc>
        <w:tc>
          <w:tcPr>
            <w:tcW w:w="276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HJ836-2017《固定污染源废气 低浓度颗粒物的测定 重量法》</w:t>
            </w:r>
          </w:p>
        </w:tc>
        <w:tc>
          <w:tcPr>
            <w:tcW w:w="2151" w:type="dxa"/>
            <w:tcBorders>
              <w:top w:val="nil"/>
              <w:left w:val="nil"/>
              <w:bottom w:val="single" w:color="auto" w:sz="4" w:space="0"/>
              <w:right w:val="single" w:color="auto" w:sz="4" w:space="0"/>
            </w:tcBorders>
            <w:noWrap/>
            <w:vAlign w:val="center"/>
          </w:tcPr>
          <w:p>
            <w:pPr>
              <w:widowControl/>
              <w:autoSpaceDE/>
              <w:autoSpaceDN/>
              <w:adjustRightInd/>
              <w:spacing w:line="240" w:lineRule="auto"/>
              <w:jc w:val="left"/>
              <w:textAlignment w:val="auto"/>
              <w:rPr>
                <w:rFonts w:ascii="宋体" w:hAnsi="宋体" w:cs="宋体"/>
                <w:color w:val="000000"/>
                <w:sz w:val="22"/>
                <w:szCs w:val="22"/>
              </w:rPr>
            </w:pPr>
            <w:r>
              <w:rPr>
                <w:rFonts w:hint="eastAsia" w:ascii="宋体" w:hAnsi="宋体" w:cs="宋体"/>
                <w:color w:val="000000"/>
                <w:sz w:val="22"/>
                <w:szCs w:val="22"/>
              </w:rPr>
              <w:t>1次/季度/炉（2台炉）</w:t>
            </w:r>
          </w:p>
        </w:tc>
        <w:tc>
          <w:tcPr>
            <w:tcW w:w="157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排放浓度≤10mg/m</w:t>
            </w:r>
            <w:r>
              <w:rPr>
                <w:rFonts w:hint="eastAsia" w:ascii="宋体" w:hAnsi="宋体" w:cs="宋体"/>
                <w:color w:val="000000"/>
                <w:szCs w:val="21"/>
                <w:vertAlign w:val="superscript"/>
              </w:rPr>
              <w:t>3</w:t>
            </w:r>
          </w:p>
        </w:tc>
      </w:tr>
      <w:tr>
        <w:trPr>
          <w:trHeight w:val="840" w:hRule="atLeast"/>
          <w:jc w:val="center"/>
        </w:trPr>
        <w:tc>
          <w:tcPr>
            <w:tcW w:w="1338" w:type="dxa"/>
            <w:tcBorders>
              <w:top w:val="nil"/>
              <w:left w:val="single" w:color="auto" w:sz="4" w:space="0"/>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含氧量</w:t>
            </w:r>
          </w:p>
        </w:tc>
        <w:tc>
          <w:tcPr>
            <w:tcW w:w="1469" w:type="dxa"/>
            <w:tcBorders>
              <w:top w:val="nil"/>
              <w:left w:val="nil"/>
              <w:bottom w:val="single" w:color="auto" w:sz="4" w:space="0"/>
              <w:right w:val="single" w:color="auto" w:sz="4" w:space="0"/>
            </w:tcBorders>
            <w:vAlign w:val="center"/>
          </w:tcPr>
          <w:p>
            <w:pPr>
              <w:widowControl/>
              <w:autoSpaceDE/>
              <w:autoSpaceDN/>
              <w:adjustRightInd/>
              <w:spacing w:line="240" w:lineRule="auto"/>
              <w:jc w:val="left"/>
              <w:textAlignment w:val="auto"/>
              <w:rPr>
                <w:rFonts w:ascii="宋体" w:hAnsi="宋体" w:cs="宋体"/>
                <w:color w:val="000000"/>
                <w:szCs w:val="21"/>
              </w:rPr>
            </w:pPr>
            <w:r>
              <w:rPr>
                <w:rFonts w:hint="eastAsia" w:ascii="宋体" w:hAnsi="宋体" w:cs="宋体"/>
                <w:color w:val="000000"/>
                <w:szCs w:val="21"/>
              </w:rPr>
              <w:t>监测一天，每天测定9个数据</w:t>
            </w:r>
          </w:p>
        </w:tc>
        <w:tc>
          <w:tcPr>
            <w:tcW w:w="276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GB/T16157-1996《固定污染物源排气中颗粒物测定与气态污染物采样方法》</w:t>
            </w:r>
          </w:p>
        </w:tc>
        <w:tc>
          <w:tcPr>
            <w:tcW w:w="2151" w:type="dxa"/>
            <w:tcBorders>
              <w:top w:val="nil"/>
              <w:left w:val="nil"/>
              <w:bottom w:val="single" w:color="auto" w:sz="4" w:space="0"/>
              <w:right w:val="single" w:color="auto" w:sz="4" w:space="0"/>
            </w:tcBorders>
            <w:noWrap/>
            <w:vAlign w:val="center"/>
          </w:tcPr>
          <w:p>
            <w:pPr>
              <w:widowControl/>
              <w:autoSpaceDE/>
              <w:autoSpaceDN/>
              <w:adjustRightInd/>
              <w:spacing w:line="240" w:lineRule="auto"/>
              <w:jc w:val="left"/>
              <w:textAlignment w:val="auto"/>
              <w:rPr>
                <w:rFonts w:ascii="宋体" w:hAnsi="宋体" w:cs="宋体"/>
                <w:color w:val="000000"/>
                <w:sz w:val="22"/>
                <w:szCs w:val="22"/>
              </w:rPr>
            </w:pPr>
            <w:r>
              <w:rPr>
                <w:rFonts w:hint="eastAsia" w:ascii="宋体" w:hAnsi="宋体" w:cs="宋体"/>
                <w:color w:val="000000"/>
                <w:sz w:val="22"/>
                <w:szCs w:val="22"/>
              </w:rPr>
              <w:t>1次/季度/炉（2台炉）</w:t>
            </w:r>
          </w:p>
        </w:tc>
        <w:tc>
          <w:tcPr>
            <w:tcW w:w="157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840" w:hRule="atLeast"/>
          <w:jc w:val="center"/>
        </w:trPr>
        <w:tc>
          <w:tcPr>
            <w:tcW w:w="1338" w:type="dxa"/>
            <w:tcBorders>
              <w:top w:val="nil"/>
              <w:left w:val="single" w:color="auto" w:sz="4" w:space="0"/>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流速</w:t>
            </w:r>
          </w:p>
        </w:tc>
        <w:tc>
          <w:tcPr>
            <w:tcW w:w="1469" w:type="dxa"/>
            <w:tcBorders>
              <w:top w:val="nil"/>
              <w:left w:val="nil"/>
              <w:bottom w:val="single" w:color="auto" w:sz="4" w:space="0"/>
              <w:right w:val="single" w:color="auto" w:sz="4" w:space="0"/>
            </w:tcBorders>
            <w:vAlign w:val="center"/>
          </w:tcPr>
          <w:p>
            <w:pPr>
              <w:widowControl/>
              <w:autoSpaceDE/>
              <w:autoSpaceDN/>
              <w:adjustRightInd/>
              <w:spacing w:line="240" w:lineRule="auto"/>
              <w:jc w:val="left"/>
              <w:textAlignment w:val="auto"/>
              <w:rPr>
                <w:rFonts w:ascii="宋体" w:hAnsi="宋体" w:cs="宋体"/>
                <w:color w:val="000000"/>
                <w:szCs w:val="21"/>
              </w:rPr>
            </w:pPr>
            <w:r>
              <w:rPr>
                <w:rFonts w:hint="eastAsia" w:ascii="宋体" w:hAnsi="宋体" w:cs="宋体"/>
                <w:color w:val="000000"/>
                <w:szCs w:val="21"/>
              </w:rPr>
              <w:t>监测一天，每天测定5个数据</w:t>
            </w:r>
          </w:p>
        </w:tc>
        <w:tc>
          <w:tcPr>
            <w:tcW w:w="276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GB/T16157-1996《固定污染物源排气中颗粒物测定与气态污染物采样方法》</w:t>
            </w:r>
          </w:p>
        </w:tc>
        <w:tc>
          <w:tcPr>
            <w:tcW w:w="2151" w:type="dxa"/>
            <w:tcBorders>
              <w:top w:val="nil"/>
              <w:left w:val="nil"/>
              <w:bottom w:val="single" w:color="auto" w:sz="4" w:space="0"/>
              <w:right w:val="single" w:color="auto" w:sz="4" w:space="0"/>
            </w:tcBorders>
            <w:noWrap/>
            <w:vAlign w:val="center"/>
          </w:tcPr>
          <w:p>
            <w:pPr>
              <w:widowControl/>
              <w:autoSpaceDE/>
              <w:autoSpaceDN/>
              <w:adjustRightInd/>
              <w:spacing w:line="240" w:lineRule="auto"/>
              <w:jc w:val="left"/>
              <w:textAlignment w:val="auto"/>
              <w:rPr>
                <w:rFonts w:ascii="宋体" w:hAnsi="宋体" w:cs="宋体"/>
                <w:color w:val="000000"/>
                <w:sz w:val="22"/>
                <w:szCs w:val="22"/>
              </w:rPr>
            </w:pPr>
            <w:r>
              <w:rPr>
                <w:rFonts w:hint="eastAsia" w:ascii="宋体" w:hAnsi="宋体" w:cs="宋体"/>
                <w:color w:val="000000"/>
                <w:sz w:val="22"/>
                <w:szCs w:val="22"/>
              </w:rPr>
              <w:t>1次/季度/炉（2台炉）</w:t>
            </w:r>
          </w:p>
        </w:tc>
        <w:tc>
          <w:tcPr>
            <w:tcW w:w="157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840" w:hRule="atLeast"/>
          <w:jc w:val="center"/>
        </w:trPr>
        <w:tc>
          <w:tcPr>
            <w:tcW w:w="1338" w:type="dxa"/>
            <w:tcBorders>
              <w:top w:val="nil"/>
              <w:left w:val="single" w:color="auto" w:sz="4" w:space="0"/>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烟温</w:t>
            </w:r>
          </w:p>
        </w:tc>
        <w:tc>
          <w:tcPr>
            <w:tcW w:w="1469" w:type="dxa"/>
            <w:tcBorders>
              <w:top w:val="nil"/>
              <w:left w:val="nil"/>
              <w:bottom w:val="single" w:color="auto" w:sz="4" w:space="0"/>
              <w:right w:val="single" w:color="auto" w:sz="4" w:space="0"/>
            </w:tcBorders>
            <w:vAlign w:val="center"/>
          </w:tcPr>
          <w:p>
            <w:pPr>
              <w:widowControl/>
              <w:autoSpaceDE/>
              <w:autoSpaceDN/>
              <w:adjustRightInd/>
              <w:spacing w:line="240" w:lineRule="auto"/>
              <w:jc w:val="left"/>
              <w:textAlignment w:val="auto"/>
              <w:rPr>
                <w:rFonts w:ascii="宋体" w:hAnsi="宋体" w:cs="宋体"/>
                <w:color w:val="000000"/>
                <w:szCs w:val="21"/>
              </w:rPr>
            </w:pPr>
            <w:r>
              <w:rPr>
                <w:rFonts w:hint="eastAsia" w:ascii="宋体" w:hAnsi="宋体" w:cs="宋体"/>
                <w:color w:val="000000"/>
                <w:szCs w:val="21"/>
              </w:rPr>
              <w:t>监测一天，每天测定5个数据</w:t>
            </w:r>
          </w:p>
        </w:tc>
        <w:tc>
          <w:tcPr>
            <w:tcW w:w="276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GB/T16157-1996《固定污染物源排气中颗粒物测定与气态污染物采样方法》</w:t>
            </w:r>
          </w:p>
        </w:tc>
        <w:tc>
          <w:tcPr>
            <w:tcW w:w="2151" w:type="dxa"/>
            <w:tcBorders>
              <w:top w:val="nil"/>
              <w:left w:val="nil"/>
              <w:bottom w:val="single" w:color="auto" w:sz="4" w:space="0"/>
              <w:right w:val="single" w:color="auto" w:sz="4" w:space="0"/>
            </w:tcBorders>
            <w:noWrap/>
            <w:vAlign w:val="center"/>
          </w:tcPr>
          <w:p>
            <w:pPr>
              <w:widowControl/>
              <w:autoSpaceDE/>
              <w:autoSpaceDN/>
              <w:adjustRightInd/>
              <w:spacing w:line="240" w:lineRule="auto"/>
              <w:jc w:val="left"/>
              <w:textAlignment w:val="auto"/>
              <w:rPr>
                <w:rFonts w:ascii="宋体" w:hAnsi="宋体" w:cs="宋体"/>
                <w:color w:val="000000"/>
                <w:sz w:val="22"/>
                <w:szCs w:val="22"/>
              </w:rPr>
            </w:pPr>
            <w:r>
              <w:rPr>
                <w:rFonts w:hint="eastAsia" w:ascii="宋体" w:hAnsi="宋体" w:cs="宋体"/>
                <w:color w:val="000000"/>
                <w:sz w:val="22"/>
                <w:szCs w:val="22"/>
              </w:rPr>
              <w:t>1次/季度/炉（2台炉）</w:t>
            </w:r>
          </w:p>
        </w:tc>
        <w:tc>
          <w:tcPr>
            <w:tcW w:w="157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840" w:hRule="atLeast"/>
          <w:jc w:val="center"/>
        </w:trPr>
        <w:tc>
          <w:tcPr>
            <w:tcW w:w="1338" w:type="dxa"/>
            <w:tcBorders>
              <w:top w:val="nil"/>
              <w:left w:val="single" w:color="auto" w:sz="4" w:space="0"/>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湿度</w:t>
            </w:r>
          </w:p>
        </w:tc>
        <w:tc>
          <w:tcPr>
            <w:tcW w:w="1469" w:type="dxa"/>
            <w:tcBorders>
              <w:top w:val="nil"/>
              <w:left w:val="nil"/>
              <w:bottom w:val="single" w:color="auto" w:sz="4" w:space="0"/>
              <w:right w:val="single" w:color="auto" w:sz="4" w:space="0"/>
            </w:tcBorders>
            <w:vAlign w:val="center"/>
          </w:tcPr>
          <w:p>
            <w:pPr>
              <w:widowControl/>
              <w:autoSpaceDE/>
              <w:autoSpaceDN/>
              <w:adjustRightInd/>
              <w:spacing w:line="240" w:lineRule="auto"/>
              <w:jc w:val="left"/>
              <w:textAlignment w:val="auto"/>
              <w:rPr>
                <w:rFonts w:ascii="宋体" w:hAnsi="宋体" w:cs="宋体"/>
                <w:color w:val="000000"/>
                <w:szCs w:val="21"/>
              </w:rPr>
            </w:pPr>
            <w:r>
              <w:rPr>
                <w:rFonts w:hint="eastAsia" w:ascii="宋体" w:hAnsi="宋体" w:cs="宋体"/>
                <w:color w:val="000000"/>
                <w:szCs w:val="21"/>
              </w:rPr>
              <w:t>监测一天，每天测定5个数据</w:t>
            </w:r>
          </w:p>
        </w:tc>
        <w:tc>
          <w:tcPr>
            <w:tcW w:w="276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GB/T16157-1996《固定污染物源排气中颗粒物测定与气态污染物采样方法》</w:t>
            </w:r>
          </w:p>
        </w:tc>
        <w:tc>
          <w:tcPr>
            <w:tcW w:w="2151" w:type="dxa"/>
            <w:tcBorders>
              <w:top w:val="nil"/>
              <w:left w:val="nil"/>
              <w:bottom w:val="single" w:color="auto" w:sz="4" w:space="0"/>
              <w:right w:val="single" w:color="auto" w:sz="4" w:space="0"/>
            </w:tcBorders>
            <w:noWrap/>
            <w:vAlign w:val="center"/>
          </w:tcPr>
          <w:p>
            <w:pPr>
              <w:widowControl/>
              <w:autoSpaceDE/>
              <w:autoSpaceDN/>
              <w:adjustRightInd/>
              <w:spacing w:line="240" w:lineRule="auto"/>
              <w:jc w:val="left"/>
              <w:textAlignment w:val="auto"/>
              <w:rPr>
                <w:rFonts w:ascii="宋体" w:hAnsi="宋体" w:cs="宋体"/>
                <w:color w:val="000000"/>
                <w:sz w:val="22"/>
                <w:szCs w:val="22"/>
              </w:rPr>
            </w:pPr>
            <w:r>
              <w:rPr>
                <w:rFonts w:hint="eastAsia" w:ascii="宋体" w:hAnsi="宋体" w:cs="宋体"/>
                <w:color w:val="000000"/>
                <w:sz w:val="22"/>
                <w:szCs w:val="22"/>
              </w:rPr>
              <w:t>1次/季度/炉（2台炉）</w:t>
            </w:r>
          </w:p>
        </w:tc>
        <w:tc>
          <w:tcPr>
            <w:tcW w:w="157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　</w:t>
            </w:r>
          </w:p>
        </w:tc>
      </w:tr>
    </w:tbl>
    <w:p>
      <w:pPr>
        <w:kinsoku w:val="0"/>
        <w:overflowPunct w:val="0"/>
        <w:adjustRightInd/>
        <w:spacing w:line="400" w:lineRule="atLeast"/>
        <w:textAlignment w:val="auto"/>
        <w:rPr>
          <w:rFonts w:ascii="宋体" w:hAnsi="宋体" w:cs="宋体"/>
          <w:spacing w:val="-4"/>
          <w:sz w:val="24"/>
          <w:szCs w:val="24"/>
        </w:rPr>
      </w:pPr>
    </w:p>
    <w:p>
      <w:pPr>
        <w:tabs>
          <w:tab w:val="left" w:pos="0"/>
        </w:tabs>
        <w:autoSpaceDE/>
        <w:autoSpaceDN/>
        <w:snapToGrid w:val="0"/>
        <w:spacing w:line="400" w:lineRule="atLeast"/>
        <w:ind w:right="105" w:rightChars="50"/>
        <w:jc w:val="left"/>
        <w:textAlignment w:val="auto"/>
        <w:rPr>
          <w:rFonts w:ascii="宋体" w:hAnsi="宋体"/>
          <w:sz w:val="24"/>
          <w:szCs w:val="24"/>
        </w:rPr>
      </w:pPr>
      <w:r>
        <w:rPr>
          <w:rFonts w:hint="eastAsia" w:ascii="宋体" w:hAnsi="宋体"/>
          <w:sz w:val="24"/>
          <w:szCs w:val="24"/>
        </w:rPr>
        <w:t>1.1.3燃气锅炉烟气比对监测（服务周期为2024年1月1日至2025年12月31日）</w:t>
      </w:r>
    </w:p>
    <w:p>
      <w:pPr>
        <w:pStyle w:val="4"/>
        <w:spacing w:line="400" w:lineRule="atLeast"/>
        <w:ind w:firstLine="520" w:firstLineChars="200"/>
        <w:jc w:val="both"/>
        <w:textAlignment w:val="auto"/>
        <w:rPr>
          <w:rFonts w:ascii="宋体" w:hAnsi="宋体" w:eastAsia="宋体" w:cs="宋体"/>
          <w:bCs/>
          <w:sz w:val="24"/>
          <w:szCs w:val="24"/>
        </w:rPr>
      </w:pPr>
      <w:r>
        <w:rPr>
          <w:rFonts w:hint="eastAsia" w:ascii="宋体" w:hAnsi="宋体" w:eastAsia="宋体" w:cs="宋体"/>
          <w:b w:val="0"/>
          <w:bCs/>
          <w:sz w:val="24"/>
          <w:szCs w:val="24"/>
        </w:rPr>
        <w:t>采购方根据每季度锅炉生产运行情况确定比对监测时间及比对检测的锅炉。</w:t>
      </w:r>
    </w:p>
    <w:p>
      <w:pPr>
        <w:pStyle w:val="5"/>
        <w:rPr>
          <w:rFonts w:ascii="宋体" w:hAnsi="宋体" w:cs="宋体"/>
          <w:bCs/>
          <w:sz w:val="24"/>
          <w:szCs w:val="24"/>
        </w:rPr>
      </w:pPr>
    </w:p>
    <w:p>
      <w:pPr>
        <w:pStyle w:val="4"/>
        <w:spacing w:line="400" w:lineRule="atLeast"/>
        <w:jc w:val="center"/>
        <w:textAlignment w:val="auto"/>
        <w:rPr>
          <w:rFonts w:ascii="宋体" w:hAnsi="宋体" w:eastAsia="宋体"/>
          <w:b w:val="0"/>
          <w:sz w:val="24"/>
          <w:szCs w:val="24"/>
        </w:rPr>
      </w:pPr>
      <w:r>
        <w:rPr>
          <w:rFonts w:hint="eastAsia" w:ascii="宋体" w:hAnsi="宋体" w:cs="宋体"/>
          <w:sz w:val="24"/>
          <w:szCs w:val="24"/>
        </w:rPr>
        <w:t>比对监测方案</w:t>
      </w:r>
    </w:p>
    <w:tbl>
      <w:tblPr>
        <w:tblStyle w:val="13"/>
        <w:tblW w:w="0" w:type="auto"/>
        <w:jc w:val="center"/>
        <w:tblLayout w:type="fixed"/>
        <w:tblCellMar>
          <w:top w:w="0" w:type="dxa"/>
          <w:left w:w="108" w:type="dxa"/>
          <w:bottom w:w="0" w:type="dxa"/>
          <w:right w:w="108" w:type="dxa"/>
        </w:tblCellMar>
      </w:tblPr>
      <w:tblGrid>
        <w:gridCol w:w="1338"/>
        <w:gridCol w:w="1469"/>
        <w:gridCol w:w="2760"/>
        <w:gridCol w:w="2151"/>
        <w:gridCol w:w="1570"/>
      </w:tblGrid>
      <w:tr>
        <w:tblPrEx>
          <w:tblCellMar>
            <w:top w:w="0" w:type="dxa"/>
            <w:left w:w="108" w:type="dxa"/>
            <w:bottom w:w="0" w:type="dxa"/>
            <w:right w:w="108" w:type="dxa"/>
          </w:tblCellMar>
        </w:tblPrEx>
        <w:trPr>
          <w:trHeight w:val="600" w:hRule="atLeast"/>
          <w:jc w:val="center"/>
        </w:trPr>
        <w:tc>
          <w:tcPr>
            <w:tcW w:w="1338"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监测项目</w:t>
            </w:r>
          </w:p>
        </w:tc>
        <w:tc>
          <w:tcPr>
            <w:tcW w:w="1469" w:type="dxa"/>
            <w:tcBorders>
              <w:top w:val="single" w:color="auto" w:sz="4" w:space="0"/>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监测频率</w:t>
            </w:r>
          </w:p>
        </w:tc>
        <w:tc>
          <w:tcPr>
            <w:tcW w:w="2760" w:type="dxa"/>
            <w:tcBorders>
              <w:top w:val="single" w:color="auto" w:sz="4" w:space="0"/>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监测方法</w:t>
            </w:r>
          </w:p>
        </w:tc>
        <w:tc>
          <w:tcPr>
            <w:tcW w:w="2151" w:type="dxa"/>
            <w:tcBorders>
              <w:top w:val="single" w:color="auto" w:sz="4" w:space="0"/>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样品数量（个）</w:t>
            </w:r>
          </w:p>
        </w:tc>
        <w:tc>
          <w:tcPr>
            <w:tcW w:w="1570" w:type="dxa"/>
            <w:tcBorders>
              <w:top w:val="single" w:color="auto" w:sz="4" w:space="0"/>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其他说明</w:t>
            </w:r>
          </w:p>
        </w:tc>
      </w:tr>
      <w:tr>
        <w:trPr>
          <w:trHeight w:val="840" w:hRule="atLeast"/>
          <w:jc w:val="center"/>
        </w:trPr>
        <w:tc>
          <w:tcPr>
            <w:tcW w:w="1338" w:type="dxa"/>
            <w:tcBorders>
              <w:top w:val="nil"/>
              <w:left w:val="single" w:color="auto" w:sz="4" w:space="0"/>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二氧化硫</w:t>
            </w:r>
          </w:p>
        </w:tc>
        <w:tc>
          <w:tcPr>
            <w:tcW w:w="1469" w:type="dxa"/>
            <w:tcBorders>
              <w:top w:val="nil"/>
              <w:left w:val="nil"/>
              <w:bottom w:val="single" w:color="auto" w:sz="4" w:space="0"/>
              <w:right w:val="single" w:color="auto" w:sz="4" w:space="0"/>
            </w:tcBorders>
            <w:vAlign w:val="center"/>
          </w:tcPr>
          <w:p>
            <w:pPr>
              <w:widowControl/>
              <w:autoSpaceDE/>
              <w:autoSpaceDN/>
              <w:adjustRightInd/>
              <w:spacing w:line="240" w:lineRule="auto"/>
              <w:jc w:val="left"/>
              <w:textAlignment w:val="auto"/>
              <w:rPr>
                <w:rFonts w:ascii="宋体" w:hAnsi="宋体" w:cs="宋体"/>
                <w:color w:val="000000"/>
                <w:szCs w:val="21"/>
              </w:rPr>
            </w:pPr>
            <w:r>
              <w:rPr>
                <w:rFonts w:hint="eastAsia" w:ascii="宋体" w:hAnsi="宋体" w:cs="宋体"/>
                <w:color w:val="000000"/>
                <w:szCs w:val="21"/>
              </w:rPr>
              <w:t>监测一天，每天测定9个数据</w:t>
            </w:r>
          </w:p>
        </w:tc>
        <w:tc>
          <w:tcPr>
            <w:tcW w:w="276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HJ57-2017《固定污染源废气 二氧化硫的测定 定电位电解法》</w:t>
            </w:r>
          </w:p>
        </w:tc>
        <w:tc>
          <w:tcPr>
            <w:tcW w:w="2151" w:type="dxa"/>
            <w:tcBorders>
              <w:top w:val="nil"/>
              <w:left w:val="nil"/>
              <w:bottom w:val="single" w:color="auto" w:sz="4" w:space="0"/>
              <w:right w:val="single" w:color="auto" w:sz="4" w:space="0"/>
            </w:tcBorders>
            <w:noWrap/>
            <w:vAlign w:val="center"/>
          </w:tcPr>
          <w:p>
            <w:pPr>
              <w:widowControl/>
              <w:autoSpaceDE/>
              <w:autoSpaceDN/>
              <w:adjustRightInd/>
              <w:spacing w:line="240" w:lineRule="auto"/>
              <w:jc w:val="left"/>
              <w:textAlignment w:val="auto"/>
              <w:rPr>
                <w:rFonts w:ascii="宋体" w:hAnsi="宋体" w:cs="宋体"/>
                <w:color w:val="000000"/>
                <w:sz w:val="22"/>
                <w:szCs w:val="22"/>
              </w:rPr>
            </w:pPr>
            <w:r>
              <w:rPr>
                <w:rFonts w:hint="eastAsia" w:ascii="宋体" w:hAnsi="宋体" w:cs="宋体"/>
                <w:color w:val="000000"/>
                <w:sz w:val="22"/>
                <w:szCs w:val="22"/>
              </w:rPr>
              <w:t>1次/季度</w:t>
            </w:r>
          </w:p>
        </w:tc>
        <w:tc>
          <w:tcPr>
            <w:tcW w:w="157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排放浓度≤50mg/m</w:t>
            </w:r>
            <w:r>
              <w:rPr>
                <w:rFonts w:hint="eastAsia" w:ascii="宋体" w:hAnsi="宋体" w:cs="宋体"/>
                <w:color w:val="000000"/>
                <w:szCs w:val="21"/>
                <w:vertAlign w:val="superscript"/>
              </w:rPr>
              <w:t>3</w:t>
            </w:r>
          </w:p>
        </w:tc>
      </w:tr>
      <w:tr>
        <w:tblPrEx>
          <w:tblCellMar>
            <w:top w:w="0" w:type="dxa"/>
            <w:left w:w="108" w:type="dxa"/>
            <w:bottom w:w="0" w:type="dxa"/>
            <w:right w:w="108" w:type="dxa"/>
          </w:tblCellMar>
        </w:tblPrEx>
        <w:trPr>
          <w:trHeight w:val="840" w:hRule="atLeast"/>
          <w:jc w:val="center"/>
        </w:trPr>
        <w:tc>
          <w:tcPr>
            <w:tcW w:w="1338" w:type="dxa"/>
            <w:tcBorders>
              <w:top w:val="nil"/>
              <w:left w:val="single" w:color="auto" w:sz="4" w:space="0"/>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氮氧化物</w:t>
            </w:r>
          </w:p>
        </w:tc>
        <w:tc>
          <w:tcPr>
            <w:tcW w:w="1469" w:type="dxa"/>
            <w:tcBorders>
              <w:top w:val="nil"/>
              <w:left w:val="nil"/>
              <w:bottom w:val="single" w:color="auto" w:sz="4" w:space="0"/>
              <w:right w:val="single" w:color="auto" w:sz="4" w:space="0"/>
            </w:tcBorders>
            <w:vAlign w:val="center"/>
          </w:tcPr>
          <w:p>
            <w:pPr>
              <w:widowControl/>
              <w:autoSpaceDE/>
              <w:autoSpaceDN/>
              <w:adjustRightInd/>
              <w:spacing w:line="240" w:lineRule="auto"/>
              <w:jc w:val="left"/>
              <w:textAlignment w:val="auto"/>
              <w:rPr>
                <w:rFonts w:ascii="宋体" w:hAnsi="宋体" w:cs="宋体"/>
                <w:color w:val="000000"/>
                <w:szCs w:val="21"/>
              </w:rPr>
            </w:pPr>
            <w:r>
              <w:rPr>
                <w:rFonts w:hint="eastAsia" w:ascii="宋体" w:hAnsi="宋体" w:cs="宋体"/>
                <w:color w:val="000000"/>
                <w:szCs w:val="21"/>
              </w:rPr>
              <w:t>监测一天，每天测定9个数据</w:t>
            </w:r>
          </w:p>
        </w:tc>
        <w:tc>
          <w:tcPr>
            <w:tcW w:w="276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HJ693-2014《固定污染源废气 氮氧化物硫的测定 定电位电解法》</w:t>
            </w:r>
          </w:p>
        </w:tc>
        <w:tc>
          <w:tcPr>
            <w:tcW w:w="2151" w:type="dxa"/>
            <w:tcBorders>
              <w:top w:val="nil"/>
              <w:left w:val="nil"/>
              <w:bottom w:val="single" w:color="auto" w:sz="4" w:space="0"/>
              <w:right w:val="single" w:color="auto" w:sz="4" w:space="0"/>
            </w:tcBorders>
            <w:noWrap/>
            <w:vAlign w:val="center"/>
          </w:tcPr>
          <w:p>
            <w:pPr>
              <w:widowControl/>
              <w:autoSpaceDE/>
              <w:autoSpaceDN/>
              <w:adjustRightInd/>
              <w:spacing w:line="240" w:lineRule="auto"/>
              <w:jc w:val="left"/>
              <w:textAlignment w:val="auto"/>
              <w:rPr>
                <w:rFonts w:ascii="宋体" w:hAnsi="宋体" w:cs="宋体"/>
                <w:color w:val="000000"/>
                <w:sz w:val="22"/>
                <w:szCs w:val="22"/>
              </w:rPr>
            </w:pPr>
            <w:r>
              <w:rPr>
                <w:rFonts w:hint="eastAsia" w:ascii="宋体" w:hAnsi="宋体" w:cs="宋体"/>
                <w:color w:val="000000"/>
                <w:sz w:val="22"/>
                <w:szCs w:val="22"/>
              </w:rPr>
              <w:t>1次/季度</w:t>
            </w:r>
          </w:p>
        </w:tc>
        <w:tc>
          <w:tcPr>
            <w:tcW w:w="157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排放浓度≤150mg/m</w:t>
            </w:r>
            <w:r>
              <w:rPr>
                <w:rFonts w:hint="eastAsia" w:ascii="宋体" w:hAnsi="宋体" w:cs="宋体"/>
                <w:color w:val="000000"/>
                <w:szCs w:val="21"/>
                <w:vertAlign w:val="superscript"/>
              </w:rPr>
              <w:t>3</w:t>
            </w:r>
          </w:p>
        </w:tc>
      </w:tr>
      <w:tr>
        <w:tblPrEx>
          <w:tblCellMar>
            <w:top w:w="0" w:type="dxa"/>
            <w:left w:w="108" w:type="dxa"/>
            <w:bottom w:w="0" w:type="dxa"/>
            <w:right w:w="108" w:type="dxa"/>
          </w:tblCellMar>
        </w:tblPrEx>
        <w:trPr>
          <w:trHeight w:val="840" w:hRule="atLeast"/>
          <w:jc w:val="center"/>
        </w:trPr>
        <w:tc>
          <w:tcPr>
            <w:tcW w:w="1338" w:type="dxa"/>
            <w:tcBorders>
              <w:top w:val="nil"/>
              <w:left w:val="single" w:color="auto" w:sz="4" w:space="0"/>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含氧量</w:t>
            </w:r>
          </w:p>
        </w:tc>
        <w:tc>
          <w:tcPr>
            <w:tcW w:w="1469" w:type="dxa"/>
            <w:tcBorders>
              <w:top w:val="nil"/>
              <w:left w:val="nil"/>
              <w:bottom w:val="single" w:color="auto" w:sz="4" w:space="0"/>
              <w:right w:val="single" w:color="auto" w:sz="4" w:space="0"/>
            </w:tcBorders>
            <w:vAlign w:val="center"/>
          </w:tcPr>
          <w:p>
            <w:pPr>
              <w:widowControl/>
              <w:autoSpaceDE/>
              <w:autoSpaceDN/>
              <w:adjustRightInd/>
              <w:spacing w:line="240" w:lineRule="auto"/>
              <w:jc w:val="left"/>
              <w:textAlignment w:val="auto"/>
              <w:rPr>
                <w:rFonts w:ascii="宋体" w:hAnsi="宋体" w:cs="宋体"/>
                <w:color w:val="000000"/>
                <w:szCs w:val="21"/>
              </w:rPr>
            </w:pPr>
            <w:r>
              <w:rPr>
                <w:rFonts w:hint="eastAsia" w:ascii="宋体" w:hAnsi="宋体" w:cs="宋体"/>
                <w:color w:val="000000"/>
                <w:szCs w:val="21"/>
              </w:rPr>
              <w:t>监测一天，每天测定9个数据</w:t>
            </w:r>
          </w:p>
        </w:tc>
        <w:tc>
          <w:tcPr>
            <w:tcW w:w="276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GB/T16157-1996《固定污染物源排气中颗粒物测定与气态污染物采样方法》</w:t>
            </w:r>
          </w:p>
        </w:tc>
        <w:tc>
          <w:tcPr>
            <w:tcW w:w="2151" w:type="dxa"/>
            <w:tcBorders>
              <w:top w:val="nil"/>
              <w:left w:val="nil"/>
              <w:bottom w:val="single" w:color="auto" w:sz="4" w:space="0"/>
              <w:right w:val="single" w:color="auto" w:sz="4" w:space="0"/>
            </w:tcBorders>
            <w:noWrap/>
            <w:vAlign w:val="center"/>
          </w:tcPr>
          <w:p>
            <w:pPr>
              <w:widowControl/>
              <w:autoSpaceDE/>
              <w:autoSpaceDN/>
              <w:adjustRightInd/>
              <w:spacing w:line="240" w:lineRule="auto"/>
              <w:jc w:val="left"/>
              <w:textAlignment w:val="auto"/>
              <w:rPr>
                <w:rFonts w:ascii="宋体" w:hAnsi="宋体" w:cs="宋体"/>
                <w:color w:val="000000"/>
                <w:sz w:val="22"/>
                <w:szCs w:val="22"/>
              </w:rPr>
            </w:pPr>
            <w:r>
              <w:rPr>
                <w:rFonts w:hint="eastAsia" w:ascii="宋体" w:hAnsi="宋体" w:cs="宋体"/>
                <w:color w:val="000000"/>
                <w:sz w:val="22"/>
                <w:szCs w:val="22"/>
              </w:rPr>
              <w:t>1次/季度</w:t>
            </w:r>
          </w:p>
        </w:tc>
        <w:tc>
          <w:tcPr>
            <w:tcW w:w="157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　</w:t>
            </w:r>
          </w:p>
        </w:tc>
      </w:tr>
      <w:tr>
        <w:trPr>
          <w:trHeight w:val="840" w:hRule="atLeast"/>
          <w:jc w:val="center"/>
        </w:trPr>
        <w:tc>
          <w:tcPr>
            <w:tcW w:w="1338" w:type="dxa"/>
            <w:tcBorders>
              <w:top w:val="nil"/>
              <w:left w:val="single" w:color="auto" w:sz="4" w:space="0"/>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流速</w:t>
            </w:r>
          </w:p>
        </w:tc>
        <w:tc>
          <w:tcPr>
            <w:tcW w:w="1469" w:type="dxa"/>
            <w:tcBorders>
              <w:top w:val="nil"/>
              <w:left w:val="nil"/>
              <w:bottom w:val="single" w:color="auto" w:sz="4" w:space="0"/>
              <w:right w:val="single" w:color="auto" w:sz="4" w:space="0"/>
            </w:tcBorders>
            <w:vAlign w:val="center"/>
          </w:tcPr>
          <w:p>
            <w:pPr>
              <w:widowControl/>
              <w:autoSpaceDE/>
              <w:autoSpaceDN/>
              <w:adjustRightInd/>
              <w:spacing w:line="240" w:lineRule="auto"/>
              <w:jc w:val="left"/>
              <w:textAlignment w:val="auto"/>
              <w:rPr>
                <w:rFonts w:ascii="宋体" w:hAnsi="宋体" w:cs="宋体"/>
                <w:color w:val="000000"/>
                <w:szCs w:val="21"/>
              </w:rPr>
            </w:pPr>
            <w:r>
              <w:rPr>
                <w:rFonts w:hint="eastAsia" w:ascii="宋体" w:hAnsi="宋体" w:cs="宋体"/>
                <w:color w:val="000000"/>
                <w:szCs w:val="21"/>
              </w:rPr>
              <w:t>监测一天，每天测定5个数据</w:t>
            </w:r>
          </w:p>
        </w:tc>
        <w:tc>
          <w:tcPr>
            <w:tcW w:w="276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GB/T16157-1996《固定污染物源排气中颗粒物测定与气态污染物采样方法》</w:t>
            </w:r>
          </w:p>
        </w:tc>
        <w:tc>
          <w:tcPr>
            <w:tcW w:w="2151" w:type="dxa"/>
            <w:tcBorders>
              <w:top w:val="nil"/>
              <w:left w:val="nil"/>
              <w:bottom w:val="single" w:color="auto" w:sz="4" w:space="0"/>
              <w:right w:val="single" w:color="auto" w:sz="4" w:space="0"/>
            </w:tcBorders>
            <w:noWrap/>
            <w:vAlign w:val="center"/>
          </w:tcPr>
          <w:p>
            <w:pPr>
              <w:widowControl/>
              <w:autoSpaceDE/>
              <w:autoSpaceDN/>
              <w:adjustRightInd/>
              <w:spacing w:line="240" w:lineRule="auto"/>
              <w:jc w:val="left"/>
              <w:textAlignment w:val="auto"/>
              <w:rPr>
                <w:rFonts w:ascii="宋体" w:hAnsi="宋体" w:cs="宋体"/>
                <w:color w:val="000000"/>
                <w:sz w:val="22"/>
                <w:szCs w:val="22"/>
              </w:rPr>
            </w:pPr>
            <w:r>
              <w:rPr>
                <w:rFonts w:hint="eastAsia" w:ascii="宋体" w:hAnsi="宋体" w:cs="宋体"/>
                <w:color w:val="000000"/>
                <w:sz w:val="22"/>
                <w:szCs w:val="22"/>
              </w:rPr>
              <w:t>1次/季度</w:t>
            </w:r>
          </w:p>
        </w:tc>
        <w:tc>
          <w:tcPr>
            <w:tcW w:w="157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840" w:hRule="atLeast"/>
          <w:jc w:val="center"/>
        </w:trPr>
        <w:tc>
          <w:tcPr>
            <w:tcW w:w="1338" w:type="dxa"/>
            <w:tcBorders>
              <w:top w:val="nil"/>
              <w:left w:val="single" w:color="auto" w:sz="4" w:space="0"/>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烟温</w:t>
            </w:r>
          </w:p>
        </w:tc>
        <w:tc>
          <w:tcPr>
            <w:tcW w:w="1469" w:type="dxa"/>
            <w:tcBorders>
              <w:top w:val="nil"/>
              <w:left w:val="nil"/>
              <w:bottom w:val="single" w:color="auto" w:sz="4" w:space="0"/>
              <w:right w:val="single" w:color="auto" w:sz="4" w:space="0"/>
            </w:tcBorders>
            <w:vAlign w:val="center"/>
          </w:tcPr>
          <w:p>
            <w:pPr>
              <w:widowControl/>
              <w:autoSpaceDE/>
              <w:autoSpaceDN/>
              <w:adjustRightInd/>
              <w:spacing w:line="240" w:lineRule="auto"/>
              <w:jc w:val="left"/>
              <w:textAlignment w:val="auto"/>
              <w:rPr>
                <w:rFonts w:ascii="宋体" w:hAnsi="宋体" w:cs="宋体"/>
                <w:color w:val="000000"/>
                <w:szCs w:val="21"/>
              </w:rPr>
            </w:pPr>
            <w:r>
              <w:rPr>
                <w:rFonts w:hint="eastAsia" w:ascii="宋体" w:hAnsi="宋体" w:cs="宋体"/>
                <w:color w:val="000000"/>
                <w:szCs w:val="21"/>
              </w:rPr>
              <w:t>监测一天，每天测定5个数据</w:t>
            </w:r>
          </w:p>
        </w:tc>
        <w:tc>
          <w:tcPr>
            <w:tcW w:w="276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GB/T16157-1996《固定污染物源排气中颗粒物测定与气态污染物采样方法》</w:t>
            </w:r>
          </w:p>
        </w:tc>
        <w:tc>
          <w:tcPr>
            <w:tcW w:w="2151" w:type="dxa"/>
            <w:tcBorders>
              <w:top w:val="nil"/>
              <w:left w:val="nil"/>
              <w:bottom w:val="single" w:color="auto" w:sz="4" w:space="0"/>
              <w:right w:val="single" w:color="auto" w:sz="4" w:space="0"/>
            </w:tcBorders>
            <w:noWrap/>
            <w:vAlign w:val="center"/>
          </w:tcPr>
          <w:p>
            <w:pPr>
              <w:widowControl/>
              <w:autoSpaceDE/>
              <w:autoSpaceDN/>
              <w:adjustRightInd/>
              <w:spacing w:line="240" w:lineRule="auto"/>
              <w:jc w:val="left"/>
              <w:textAlignment w:val="auto"/>
              <w:rPr>
                <w:rFonts w:ascii="宋体" w:hAnsi="宋体" w:cs="宋体"/>
                <w:color w:val="000000"/>
                <w:sz w:val="22"/>
                <w:szCs w:val="22"/>
              </w:rPr>
            </w:pPr>
            <w:r>
              <w:rPr>
                <w:rFonts w:hint="eastAsia" w:ascii="宋体" w:hAnsi="宋体" w:cs="宋体"/>
                <w:color w:val="000000"/>
                <w:sz w:val="22"/>
                <w:szCs w:val="22"/>
              </w:rPr>
              <w:t>1次/季度</w:t>
            </w:r>
          </w:p>
        </w:tc>
        <w:tc>
          <w:tcPr>
            <w:tcW w:w="157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840" w:hRule="atLeast"/>
          <w:jc w:val="center"/>
        </w:trPr>
        <w:tc>
          <w:tcPr>
            <w:tcW w:w="1338" w:type="dxa"/>
            <w:tcBorders>
              <w:top w:val="nil"/>
              <w:left w:val="single" w:color="auto" w:sz="4" w:space="0"/>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湿度</w:t>
            </w:r>
          </w:p>
        </w:tc>
        <w:tc>
          <w:tcPr>
            <w:tcW w:w="1469" w:type="dxa"/>
            <w:tcBorders>
              <w:top w:val="nil"/>
              <w:left w:val="nil"/>
              <w:bottom w:val="single" w:color="auto" w:sz="4" w:space="0"/>
              <w:right w:val="single" w:color="auto" w:sz="4" w:space="0"/>
            </w:tcBorders>
            <w:vAlign w:val="center"/>
          </w:tcPr>
          <w:p>
            <w:pPr>
              <w:widowControl/>
              <w:autoSpaceDE/>
              <w:autoSpaceDN/>
              <w:adjustRightInd/>
              <w:spacing w:line="240" w:lineRule="auto"/>
              <w:jc w:val="left"/>
              <w:textAlignment w:val="auto"/>
              <w:rPr>
                <w:rFonts w:ascii="宋体" w:hAnsi="宋体" w:cs="宋体"/>
                <w:color w:val="000000"/>
                <w:szCs w:val="21"/>
              </w:rPr>
            </w:pPr>
            <w:r>
              <w:rPr>
                <w:rFonts w:hint="eastAsia" w:ascii="宋体" w:hAnsi="宋体" w:cs="宋体"/>
                <w:color w:val="000000"/>
                <w:szCs w:val="21"/>
              </w:rPr>
              <w:t>监测一天，每天测定5个数据</w:t>
            </w:r>
          </w:p>
        </w:tc>
        <w:tc>
          <w:tcPr>
            <w:tcW w:w="276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GB/T16157-1996《固定污染物源排气中颗粒物测定与气态污染物采样方法》</w:t>
            </w:r>
          </w:p>
        </w:tc>
        <w:tc>
          <w:tcPr>
            <w:tcW w:w="2151" w:type="dxa"/>
            <w:tcBorders>
              <w:top w:val="nil"/>
              <w:left w:val="nil"/>
              <w:bottom w:val="single" w:color="auto" w:sz="4" w:space="0"/>
              <w:right w:val="single" w:color="auto" w:sz="4" w:space="0"/>
            </w:tcBorders>
            <w:noWrap/>
            <w:vAlign w:val="center"/>
          </w:tcPr>
          <w:p>
            <w:pPr>
              <w:widowControl/>
              <w:autoSpaceDE/>
              <w:autoSpaceDN/>
              <w:adjustRightInd/>
              <w:spacing w:line="240" w:lineRule="auto"/>
              <w:jc w:val="left"/>
              <w:textAlignment w:val="auto"/>
              <w:rPr>
                <w:rFonts w:ascii="宋体" w:hAnsi="宋体" w:cs="宋体"/>
                <w:color w:val="000000"/>
                <w:sz w:val="22"/>
                <w:szCs w:val="22"/>
              </w:rPr>
            </w:pPr>
            <w:r>
              <w:rPr>
                <w:rFonts w:hint="eastAsia" w:ascii="宋体" w:hAnsi="宋体" w:cs="宋体"/>
                <w:color w:val="000000"/>
                <w:sz w:val="22"/>
                <w:szCs w:val="22"/>
              </w:rPr>
              <w:t>1次/季度</w:t>
            </w:r>
          </w:p>
        </w:tc>
        <w:tc>
          <w:tcPr>
            <w:tcW w:w="157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　</w:t>
            </w:r>
          </w:p>
        </w:tc>
      </w:tr>
    </w:tbl>
    <w:p>
      <w:pPr>
        <w:kinsoku w:val="0"/>
        <w:overflowPunct w:val="0"/>
        <w:adjustRightInd/>
        <w:spacing w:line="400" w:lineRule="atLeast"/>
        <w:textAlignment w:val="auto"/>
        <w:rPr>
          <w:rFonts w:ascii="宋体" w:hAnsi="宋体" w:cs="宋体"/>
          <w:spacing w:val="-4"/>
          <w:sz w:val="24"/>
          <w:szCs w:val="24"/>
        </w:rPr>
      </w:pPr>
    </w:p>
    <w:p>
      <w:pPr>
        <w:pStyle w:val="4"/>
        <w:spacing w:line="400" w:lineRule="atLeast"/>
        <w:jc w:val="both"/>
        <w:textAlignment w:val="auto"/>
        <w:rPr>
          <w:rFonts w:ascii="宋体" w:hAnsi="宋体" w:eastAsia="宋体"/>
          <w:b w:val="0"/>
          <w:sz w:val="24"/>
          <w:szCs w:val="24"/>
        </w:rPr>
      </w:pPr>
      <w:r>
        <w:rPr>
          <w:rFonts w:hint="eastAsia" w:ascii="宋体" w:hAnsi="宋体" w:cs="宋体"/>
          <w:sz w:val="24"/>
          <w:szCs w:val="24"/>
        </w:rPr>
        <w:t>2监测方案</w:t>
      </w:r>
    </w:p>
    <w:p>
      <w:pPr>
        <w:numPr>
          <w:ilvl w:val="0"/>
          <w:numId w:val="25"/>
        </w:numPr>
        <w:autoSpaceDE/>
        <w:autoSpaceDN/>
        <w:snapToGrid w:val="0"/>
        <w:spacing w:line="400" w:lineRule="atLeast"/>
        <w:ind w:right="105" w:rightChars="50"/>
        <w:jc w:val="left"/>
        <w:textAlignment w:val="auto"/>
        <w:rPr>
          <w:rFonts w:ascii="宋体" w:hAnsi="宋体"/>
          <w:sz w:val="24"/>
          <w:szCs w:val="24"/>
        </w:rPr>
      </w:pPr>
      <w:r>
        <w:rPr>
          <w:rFonts w:hint="eastAsia" w:ascii="宋体" w:hAnsi="宋体"/>
          <w:sz w:val="24"/>
          <w:szCs w:val="24"/>
        </w:rPr>
        <w:t>服务要求</w:t>
      </w:r>
    </w:p>
    <w:p>
      <w:pPr>
        <w:numPr>
          <w:ilvl w:val="0"/>
          <w:numId w:val="27"/>
        </w:numPr>
        <w:autoSpaceDE/>
        <w:autoSpaceDN/>
        <w:snapToGrid w:val="0"/>
        <w:spacing w:line="400" w:lineRule="atLeast"/>
        <w:ind w:right="105" w:rightChars="50"/>
        <w:jc w:val="left"/>
        <w:textAlignment w:val="auto"/>
        <w:rPr>
          <w:rFonts w:ascii="宋体" w:hAnsi="宋体"/>
          <w:sz w:val="24"/>
          <w:szCs w:val="24"/>
        </w:rPr>
      </w:pPr>
      <w:r>
        <w:rPr>
          <w:rFonts w:hint="eastAsia" w:ascii="宋体" w:hAnsi="宋体"/>
          <w:sz w:val="24"/>
          <w:szCs w:val="24"/>
        </w:rPr>
        <w:t>严格按生态环境部门的相关要求执行；</w:t>
      </w:r>
    </w:p>
    <w:p>
      <w:pPr>
        <w:numPr>
          <w:ilvl w:val="0"/>
          <w:numId w:val="27"/>
        </w:numPr>
        <w:autoSpaceDE/>
        <w:autoSpaceDN/>
        <w:snapToGrid w:val="0"/>
        <w:spacing w:line="400" w:lineRule="atLeast"/>
        <w:ind w:right="105" w:rightChars="50"/>
        <w:jc w:val="left"/>
        <w:textAlignment w:val="auto"/>
        <w:rPr>
          <w:rFonts w:ascii="宋体" w:hAnsi="宋体"/>
          <w:sz w:val="24"/>
          <w:szCs w:val="24"/>
        </w:rPr>
      </w:pPr>
      <w:r>
        <w:rPr>
          <w:rFonts w:hint="eastAsia" w:ascii="宋体" w:hAnsi="宋体"/>
          <w:sz w:val="24"/>
          <w:szCs w:val="24"/>
        </w:rPr>
        <w:t>按照自行监测方案对我司进行监测；依据HJ75-2017《固定污染源烟气（SO2、NOx、颗粒物）排放连续监测技术规范》，对采购方环保自行监测、燃煤锅炉烟气比对监测、</w:t>
      </w:r>
      <w:r>
        <w:rPr>
          <w:rFonts w:hint="eastAsia" w:ascii="宋体" w:hAnsi="宋体" w:cs="宋体"/>
          <w:sz w:val="24"/>
          <w:szCs w:val="24"/>
        </w:rPr>
        <w:t>天然气锅炉烟气比对监测</w:t>
      </w:r>
      <w:r>
        <w:rPr>
          <w:rFonts w:hint="eastAsia" w:ascii="宋体" w:hAnsi="宋体"/>
          <w:sz w:val="24"/>
          <w:szCs w:val="24"/>
        </w:rPr>
        <w:t>等，并在过程中接受采购方的监督和管理，保证检测结果的准确性；</w:t>
      </w:r>
    </w:p>
    <w:p>
      <w:pPr>
        <w:numPr>
          <w:ilvl w:val="0"/>
          <w:numId w:val="27"/>
        </w:numPr>
        <w:autoSpaceDE/>
        <w:autoSpaceDN/>
        <w:snapToGrid w:val="0"/>
        <w:spacing w:line="400" w:lineRule="atLeast"/>
        <w:ind w:right="105" w:rightChars="50"/>
        <w:jc w:val="left"/>
        <w:textAlignment w:val="auto"/>
        <w:rPr>
          <w:rFonts w:ascii="宋体" w:hAnsi="宋体"/>
          <w:sz w:val="24"/>
          <w:szCs w:val="24"/>
        </w:rPr>
      </w:pPr>
      <w:r>
        <w:rPr>
          <w:rFonts w:hint="eastAsia" w:ascii="宋体" w:hAnsi="宋体"/>
          <w:sz w:val="24"/>
          <w:szCs w:val="24"/>
        </w:rPr>
        <w:t>每次检测的具体时间由双方协商确定。采样、监测完成后7个工作日内分别出具服务监测项目（自行监测、燃煤锅炉烟气比对监测、</w:t>
      </w:r>
      <w:r>
        <w:rPr>
          <w:rFonts w:hint="eastAsia" w:ascii="宋体" w:hAnsi="宋体" w:cs="宋体"/>
          <w:sz w:val="24"/>
          <w:szCs w:val="24"/>
        </w:rPr>
        <w:t>天然气锅炉烟气比对监测</w:t>
      </w:r>
      <w:r>
        <w:rPr>
          <w:rFonts w:hint="eastAsia" w:ascii="宋体" w:hAnsi="宋体"/>
          <w:sz w:val="24"/>
          <w:szCs w:val="24"/>
        </w:rPr>
        <w:t>等）且环保部门认可的“CMA”认证监测报告；</w:t>
      </w:r>
    </w:p>
    <w:p>
      <w:pPr>
        <w:numPr>
          <w:ilvl w:val="0"/>
          <w:numId w:val="27"/>
        </w:numPr>
        <w:autoSpaceDE/>
        <w:autoSpaceDN/>
        <w:snapToGrid w:val="0"/>
        <w:spacing w:line="400" w:lineRule="atLeast"/>
        <w:ind w:right="105" w:rightChars="50"/>
        <w:jc w:val="left"/>
        <w:textAlignment w:val="auto"/>
        <w:rPr>
          <w:rFonts w:ascii="宋体" w:hAnsi="宋体"/>
          <w:b/>
          <w:bCs/>
          <w:sz w:val="24"/>
          <w:szCs w:val="24"/>
        </w:rPr>
      </w:pPr>
      <w:r>
        <w:rPr>
          <w:rFonts w:hint="eastAsia" w:ascii="宋体" w:hAnsi="宋体"/>
          <w:b/>
          <w:bCs/>
          <w:sz w:val="24"/>
          <w:szCs w:val="24"/>
        </w:rPr>
        <w:t>样品数量为预估数量，以实际监测为准进行费用结算；</w:t>
      </w:r>
    </w:p>
    <w:p>
      <w:pPr>
        <w:numPr>
          <w:ilvl w:val="0"/>
          <w:numId w:val="27"/>
        </w:numPr>
        <w:autoSpaceDE/>
        <w:autoSpaceDN/>
        <w:snapToGrid w:val="0"/>
        <w:spacing w:line="400" w:lineRule="atLeast"/>
        <w:ind w:right="105" w:rightChars="50"/>
        <w:jc w:val="left"/>
        <w:textAlignment w:val="auto"/>
        <w:rPr>
          <w:rFonts w:ascii="宋体" w:hAnsi="宋体" w:cs="宋体"/>
          <w:sz w:val="24"/>
          <w:szCs w:val="24"/>
        </w:rPr>
      </w:pPr>
      <w:r>
        <w:rPr>
          <w:rFonts w:hint="eastAsia" w:ascii="宋体" w:hAnsi="宋体"/>
          <w:sz w:val="24"/>
          <w:szCs w:val="24"/>
        </w:rPr>
        <w:t>以上项目要求同一检测单位承担，不得分包；</w:t>
      </w:r>
      <w:r>
        <w:rPr>
          <w:rFonts w:hint="eastAsia" w:ascii="宋体" w:hAnsi="宋体" w:cs="宋体"/>
          <w:sz w:val="24"/>
          <w:szCs w:val="24"/>
        </w:rPr>
        <w:t>所有工作内容均应符合国家有关的标准、规范、规定以及采购方要求。</w:t>
      </w:r>
    </w:p>
    <w:p>
      <w:pPr>
        <w:numPr>
          <w:ilvl w:val="0"/>
          <w:numId w:val="24"/>
        </w:numPr>
        <w:autoSpaceDE/>
        <w:autoSpaceDN/>
        <w:snapToGrid w:val="0"/>
        <w:spacing w:line="400" w:lineRule="atLeast"/>
        <w:ind w:right="105" w:rightChars="50"/>
        <w:jc w:val="left"/>
        <w:textAlignment w:val="auto"/>
        <w:rPr>
          <w:rFonts w:ascii="宋体" w:hAnsi="宋体"/>
          <w:b/>
          <w:bCs/>
          <w:sz w:val="24"/>
          <w:szCs w:val="24"/>
        </w:rPr>
      </w:pPr>
      <w:r>
        <w:rPr>
          <w:rFonts w:hint="eastAsia" w:ascii="宋体" w:hAnsi="宋体"/>
          <w:b/>
          <w:bCs/>
          <w:sz w:val="24"/>
          <w:szCs w:val="24"/>
        </w:rPr>
        <w:t>报价及付款方式</w:t>
      </w:r>
    </w:p>
    <w:p>
      <w:pPr>
        <w:numPr>
          <w:ilvl w:val="0"/>
          <w:numId w:val="28"/>
        </w:numPr>
        <w:autoSpaceDE/>
        <w:autoSpaceDN/>
        <w:snapToGrid w:val="0"/>
        <w:spacing w:line="400" w:lineRule="atLeast"/>
        <w:ind w:right="105" w:rightChars="50"/>
        <w:jc w:val="left"/>
        <w:textAlignment w:val="auto"/>
        <w:rPr>
          <w:rFonts w:ascii="宋体" w:hAnsi="宋体"/>
          <w:sz w:val="24"/>
          <w:szCs w:val="24"/>
        </w:rPr>
      </w:pPr>
      <w:r>
        <w:rPr>
          <w:rFonts w:hint="eastAsia" w:ascii="宋体" w:hAnsi="宋体"/>
          <w:sz w:val="24"/>
          <w:szCs w:val="24"/>
        </w:rPr>
        <w:t>报价方式</w:t>
      </w:r>
    </w:p>
    <w:p>
      <w:pPr>
        <w:numPr>
          <w:ilvl w:val="0"/>
          <w:numId w:val="29"/>
        </w:numPr>
        <w:autoSpaceDE/>
        <w:autoSpaceDN/>
        <w:snapToGrid w:val="0"/>
        <w:spacing w:line="400" w:lineRule="atLeast"/>
        <w:ind w:right="105" w:rightChars="50"/>
        <w:jc w:val="left"/>
        <w:textAlignment w:val="auto"/>
        <w:rPr>
          <w:rFonts w:ascii="宋体" w:hAnsi="宋体"/>
          <w:sz w:val="24"/>
          <w:szCs w:val="24"/>
        </w:rPr>
      </w:pPr>
      <w:r>
        <w:rPr>
          <w:rFonts w:hint="eastAsia" w:ascii="宋体" w:hAnsi="宋体"/>
          <w:sz w:val="24"/>
          <w:szCs w:val="24"/>
        </w:rPr>
        <w:t>投标人须以人民币报价，费用含:材料费、人工费、措施费、劳保费、税费等全部费用。（报价方必须在分项报价表中详细列出报价，如果所列分项报价不含以上内容，则视为已含在报价中。报价分为自行监测（季度）报价、比对监测（分台炉）报价和天然气锅炉烟比对气监测（季度）报价，以及总包价，总报价等于自行监测报价×8+每台燃煤锅炉每次比对监测报价×16+</w:t>
      </w:r>
      <w:r>
        <w:rPr>
          <w:rFonts w:hint="eastAsia" w:ascii="宋体" w:hAnsi="宋体" w:cs="宋体"/>
          <w:sz w:val="24"/>
          <w:szCs w:val="24"/>
        </w:rPr>
        <w:t>天然气锅炉烟气比对监测报价</w:t>
      </w:r>
      <w:r>
        <w:rPr>
          <w:rFonts w:hint="eastAsia" w:ascii="宋体" w:hAnsi="宋体"/>
          <w:sz w:val="24"/>
          <w:szCs w:val="24"/>
        </w:rPr>
        <w:t>×8）。</w:t>
      </w:r>
    </w:p>
    <w:p>
      <w:pPr>
        <w:pStyle w:val="4"/>
        <w:keepNext w:val="0"/>
        <w:keepLines w:val="0"/>
        <w:spacing w:line="400" w:lineRule="atLeast"/>
        <w:jc w:val="both"/>
        <w:textAlignment w:val="auto"/>
        <w:rPr>
          <w:rFonts w:ascii="宋体" w:hAnsi="宋体" w:eastAsia="宋体"/>
          <w:b w:val="0"/>
          <w:sz w:val="24"/>
          <w:szCs w:val="24"/>
        </w:rPr>
      </w:pPr>
      <w:r>
        <w:rPr>
          <w:rFonts w:hint="eastAsia" w:ascii="宋体" w:hAnsi="宋体" w:eastAsia="宋体"/>
          <w:b w:val="0"/>
          <w:sz w:val="24"/>
          <w:szCs w:val="24"/>
        </w:rPr>
        <w:t>2.1.2报</w:t>
      </w:r>
      <w:r>
        <w:rPr>
          <w:rFonts w:hint="eastAsia" w:ascii="宋体" w:hAnsi="宋体" w:eastAsia="宋体"/>
          <w:b w:val="0"/>
          <w:spacing w:val="0"/>
          <w:sz w:val="24"/>
          <w:szCs w:val="24"/>
        </w:rPr>
        <w:t xml:space="preserve">价人的总报价中，包含相应增值税，如国家税率调整，含税金额也做相应调整。  </w:t>
      </w:r>
    </w:p>
    <w:p>
      <w:pPr>
        <w:numPr>
          <w:ilvl w:val="0"/>
          <w:numId w:val="28"/>
        </w:numPr>
        <w:autoSpaceDE/>
        <w:autoSpaceDN/>
        <w:snapToGrid w:val="0"/>
        <w:spacing w:line="400" w:lineRule="atLeast"/>
        <w:ind w:right="105" w:rightChars="50"/>
        <w:jc w:val="left"/>
        <w:textAlignment w:val="auto"/>
        <w:rPr>
          <w:rFonts w:ascii="宋体" w:hAnsi="宋体"/>
          <w:sz w:val="24"/>
          <w:szCs w:val="24"/>
        </w:rPr>
      </w:pPr>
      <w:r>
        <w:rPr>
          <w:rFonts w:hint="eastAsia" w:ascii="宋体" w:hAnsi="宋体"/>
          <w:sz w:val="24"/>
          <w:szCs w:val="24"/>
        </w:rPr>
        <w:t>付款方式</w:t>
      </w:r>
    </w:p>
    <w:p>
      <w:pPr>
        <w:pStyle w:val="5"/>
        <w:ind w:firstLine="360" w:firstLineChars="150"/>
        <w:rPr>
          <w:rFonts w:ascii="宋体" w:hAnsi="宋体"/>
          <w:sz w:val="24"/>
          <w:szCs w:val="24"/>
        </w:rPr>
      </w:pPr>
      <w:r>
        <w:rPr>
          <w:rFonts w:hint="eastAsia" w:ascii="宋体" w:hAnsi="宋体"/>
          <w:sz w:val="24"/>
          <w:szCs w:val="24"/>
        </w:rPr>
        <w:t>合同正式签订生效后，检测费用按季度结算，根据实际发生的监测内容及分项报价进行结算付款。成交方提供监测报告和相应税率的增值税专用发票，开票信息填写齐全正确，如为电子发票，备注栏需备注成交方银行账号、开户行、收款人、复核人，并发送OFD版本和XM L版本电子档给采购方存档，如国家税率调整，含税金额也做相应调整。</w:t>
      </w:r>
    </w:p>
    <w:p>
      <w:pPr>
        <w:pStyle w:val="5"/>
        <w:ind w:firstLine="360" w:firstLineChars="150"/>
        <w:rPr>
          <w:rFonts w:ascii="宋体" w:hAnsi="宋体"/>
          <w:bCs/>
          <w:spacing w:val="10"/>
          <w:sz w:val="24"/>
          <w:szCs w:val="24"/>
        </w:rPr>
      </w:pPr>
      <w:r>
        <w:rPr>
          <w:rFonts w:hint="eastAsia" w:ascii="宋体" w:hAnsi="宋体"/>
          <w:sz w:val="24"/>
          <w:szCs w:val="24"/>
        </w:rPr>
        <w:t>采购方收到成交方发票后10个工作日内支付</w:t>
      </w:r>
      <w:r>
        <w:rPr>
          <w:rFonts w:hint="eastAsia" w:ascii="宋体" w:hAnsi="宋体"/>
          <w:b/>
          <w:bCs/>
          <w:sz w:val="24"/>
          <w:szCs w:val="24"/>
        </w:rPr>
        <w:t>。</w:t>
      </w:r>
    </w:p>
    <w:p>
      <w:pPr>
        <w:numPr>
          <w:ilvl w:val="0"/>
          <w:numId w:val="24"/>
        </w:numPr>
        <w:autoSpaceDE/>
        <w:autoSpaceDN/>
        <w:snapToGrid w:val="0"/>
        <w:spacing w:line="400" w:lineRule="atLeast"/>
        <w:ind w:right="105" w:rightChars="50"/>
        <w:jc w:val="left"/>
        <w:textAlignment w:val="auto"/>
        <w:rPr>
          <w:rFonts w:ascii="宋体" w:hAnsi="宋体"/>
          <w:b/>
          <w:bCs/>
          <w:sz w:val="24"/>
          <w:szCs w:val="24"/>
        </w:rPr>
      </w:pPr>
      <w:r>
        <w:rPr>
          <w:rFonts w:hint="eastAsia" w:ascii="宋体" w:hAnsi="宋体"/>
          <w:b/>
          <w:bCs/>
          <w:sz w:val="24"/>
          <w:szCs w:val="24"/>
        </w:rPr>
        <w:t>其他事项</w:t>
      </w:r>
    </w:p>
    <w:p>
      <w:pPr>
        <w:numPr>
          <w:ilvl w:val="0"/>
          <w:numId w:val="30"/>
        </w:numPr>
        <w:autoSpaceDE/>
        <w:autoSpaceDN/>
        <w:snapToGrid w:val="0"/>
        <w:spacing w:line="400" w:lineRule="atLeast"/>
        <w:ind w:right="105" w:rightChars="50"/>
        <w:jc w:val="left"/>
        <w:textAlignment w:val="auto"/>
        <w:rPr>
          <w:rFonts w:ascii="宋体" w:hAnsi="宋体"/>
          <w:sz w:val="24"/>
          <w:szCs w:val="24"/>
        </w:rPr>
      </w:pPr>
      <w:r>
        <w:rPr>
          <w:rFonts w:hint="eastAsia" w:ascii="宋体" w:hAnsi="宋体"/>
          <w:sz w:val="24"/>
          <w:szCs w:val="24"/>
        </w:rPr>
        <w:t>成交方应严格依据报价文件所做承诺履行义务，如有违约，采购方有权根据协议、合同采取措施保证本项目的顺利进行，若协商不能达成一致的，可向采购方所在地人民法院以诉讼方式解决，并相应追究违约方的违约责任。</w:t>
      </w:r>
    </w:p>
    <w:p>
      <w:pPr>
        <w:numPr>
          <w:ilvl w:val="0"/>
          <w:numId w:val="30"/>
        </w:numPr>
        <w:autoSpaceDE/>
        <w:autoSpaceDN/>
        <w:snapToGrid w:val="0"/>
        <w:spacing w:line="400" w:lineRule="atLeast"/>
        <w:ind w:right="105" w:rightChars="50"/>
        <w:jc w:val="left"/>
        <w:textAlignment w:val="auto"/>
        <w:rPr>
          <w:rFonts w:ascii="宋体" w:hAnsi="宋体"/>
          <w:sz w:val="24"/>
          <w:szCs w:val="24"/>
        </w:rPr>
      </w:pPr>
      <w:r>
        <w:rPr>
          <w:rFonts w:hint="eastAsia" w:ascii="宋体" w:hAnsi="宋体"/>
          <w:sz w:val="24"/>
          <w:szCs w:val="24"/>
        </w:rPr>
        <w:t>确定成交方后，成交方应严格依据采购文件及投标文件签订合同，并依据服务合同履行义务，如有违约，采购方有权追究违约方的违约责任。</w:t>
      </w:r>
    </w:p>
    <w:p>
      <w:pPr>
        <w:numPr>
          <w:ilvl w:val="0"/>
          <w:numId w:val="30"/>
        </w:numPr>
        <w:autoSpaceDE/>
        <w:autoSpaceDN/>
        <w:snapToGrid w:val="0"/>
        <w:spacing w:line="400" w:lineRule="atLeast"/>
        <w:ind w:right="105" w:rightChars="50"/>
        <w:jc w:val="left"/>
        <w:textAlignment w:val="auto"/>
        <w:rPr>
          <w:rFonts w:ascii="宋体" w:hAnsi="宋体"/>
          <w:sz w:val="24"/>
          <w:szCs w:val="24"/>
        </w:rPr>
      </w:pPr>
      <w:r>
        <w:rPr>
          <w:rFonts w:hint="eastAsia" w:ascii="宋体" w:hAnsi="宋体"/>
          <w:sz w:val="24"/>
          <w:szCs w:val="24"/>
        </w:rPr>
        <w:t>报价方认为需采购方配合的事宜。</w:t>
      </w:r>
    </w:p>
    <w:p>
      <w:pPr>
        <w:numPr>
          <w:ilvl w:val="0"/>
          <w:numId w:val="30"/>
        </w:numPr>
        <w:autoSpaceDE/>
        <w:autoSpaceDN/>
        <w:snapToGrid w:val="0"/>
        <w:spacing w:line="400" w:lineRule="atLeast"/>
        <w:ind w:right="105" w:rightChars="50"/>
        <w:jc w:val="left"/>
        <w:textAlignment w:val="auto"/>
        <w:rPr>
          <w:rFonts w:ascii="宋体" w:hAnsi="宋体"/>
          <w:sz w:val="24"/>
          <w:szCs w:val="24"/>
        </w:rPr>
      </w:pPr>
      <w:r>
        <w:rPr>
          <w:rFonts w:hint="eastAsia" w:ascii="宋体" w:hAnsi="宋体"/>
          <w:sz w:val="24"/>
          <w:szCs w:val="24"/>
        </w:rPr>
        <w:t>报价方若有其它方面的特殊功能、附加功能及优惠条件，必须在投标文件中注明。</w:t>
      </w:r>
    </w:p>
    <w:p>
      <w:pPr>
        <w:numPr>
          <w:ilvl w:val="0"/>
          <w:numId w:val="30"/>
        </w:numPr>
        <w:autoSpaceDE/>
        <w:autoSpaceDN/>
        <w:snapToGrid w:val="0"/>
        <w:spacing w:line="400" w:lineRule="atLeast"/>
        <w:ind w:right="105" w:rightChars="50"/>
        <w:jc w:val="left"/>
        <w:textAlignment w:val="auto"/>
        <w:rPr>
          <w:rFonts w:ascii="宋体" w:hAnsi="宋体"/>
          <w:sz w:val="24"/>
          <w:szCs w:val="24"/>
        </w:rPr>
      </w:pPr>
      <w:r>
        <w:rPr>
          <w:rFonts w:hint="eastAsia" w:ascii="宋体" w:hAnsi="宋体"/>
          <w:sz w:val="24"/>
          <w:szCs w:val="24"/>
        </w:rPr>
        <w:t>成交方必须凭成交通知书的原件与采购方签订合同。</w:t>
      </w:r>
    </w:p>
    <w:p>
      <w:pPr>
        <w:numPr>
          <w:ilvl w:val="0"/>
          <w:numId w:val="30"/>
        </w:numPr>
        <w:autoSpaceDE/>
        <w:autoSpaceDN/>
        <w:snapToGrid w:val="0"/>
        <w:spacing w:line="400" w:lineRule="atLeast"/>
        <w:ind w:right="105" w:rightChars="50"/>
        <w:jc w:val="left"/>
        <w:textAlignment w:val="auto"/>
        <w:rPr>
          <w:rFonts w:ascii="宋体" w:hAnsi="宋体"/>
          <w:sz w:val="24"/>
          <w:szCs w:val="24"/>
        </w:rPr>
      </w:pPr>
      <w:r>
        <w:rPr>
          <w:rFonts w:hint="eastAsia" w:ascii="宋体" w:hAnsi="宋体"/>
          <w:sz w:val="24"/>
          <w:szCs w:val="24"/>
        </w:rPr>
        <w:t>成交方必须于成交通知书发出之日起，10日内领取成交通知书原件，未按规定领取的，视为成交方放弃成交资格。</w:t>
      </w:r>
    </w:p>
    <w:p>
      <w:pPr>
        <w:numPr>
          <w:ilvl w:val="0"/>
          <w:numId w:val="31"/>
        </w:numPr>
        <w:autoSpaceDE/>
        <w:autoSpaceDN/>
        <w:snapToGrid w:val="0"/>
        <w:spacing w:line="400" w:lineRule="atLeast"/>
        <w:ind w:right="105" w:rightChars="50"/>
        <w:jc w:val="left"/>
        <w:textAlignment w:val="auto"/>
        <w:rPr>
          <w:rFonts w:ascii="宋体" w:hAnsi="宋体"/>
          <w:b/>
          <w:bCs/>
          <w:sz w:val="24"/>
          <w:szCs w:val="24"/>
        </w:rPr>
      </w:pPr>
      <w:r>
        <w:rPr>
          <w:rFonts w:hint="eastAsia" w:ascii="宋体" w:hAnsi="宋体"/>
          <w:b/>
          <w:bCs/>
          <w:sz w:val="24"/>
          <w:szCs w:val="24"/>
        </w:rPr>
        <w:t>本项目设最高限价（人民币 20 万元），报价方所报总价不得超过本项目的最高限价。</w:t>
      </w:r>
    </w:p>
    <w:p>
      <w:pPr>
        <w:numPr>
          <w:ilvl w:val="0"/>
          <w:numId w:val="32"/>
        </w:numPr>
        <w:autoSpaceDE/>
        <w:autoSpaceDN/>
        <w:snapToGrid w:val="0"/>
        <w:spacing w:line="400" w:lineRule="atLeast"/>
        <w:ind w:right="105" w:rightChars="50"/>
        <w:jc w:val="left"/>
        <w:textAlignment w:val="auto"/>
        <w:rPr>
          <w:rFonts w:ascii="宋体" w:hAnsi="宋体"/>
          <w:sz w:val="24"/>
          <w:szCs w:val="24"/>
        </w:rPr>
      </w:pPr>
      <w:r>
        <w:rPr>
          <w:rFonts w:hint="eastAsia" w:ascii="宋体" w:hAnsi="宋体"/>
          <w:sz w:val="24"/>
          <w:szCs w:val="24"/>
        </w:rPr>
        <w:t>报价方应如实提供所有资料的相关复印件，必要时采购方将保留要求报价方提供原件予以核查的权利。</w:t>
      </w:r>
    </w:p>
    <w:p>
      <w:pPr>
        <w:numPr>
          <w:ilvl w:val="0"/>
          <w:numId w:val="32"/>
        </w:numPr>
        <w:autoSpaceDE/>
        <w:autoSpaceDN/>
        <w:snapToGrid w:val="0"/>
        <w:spacing w:line="400" w:lineRule="atLeast"/>
        <w:ind w:right="105" w:rightChars="50"/>
        <w:jc w:val="left"/>
        <w:textAlignment w:val="auto"/>
        <w:rPr>
          <w:rFonts w:ascii="宋体" w:hAnsi="宋体"/>
          <w:sz w:val="24"/>
          <w:szCs w:val="24"/>
        </w:rPr>
      </w:pPr>
      <w:r>
        <w:rPr>
          <w:rFonts w:hint="eastAsia" w:ascii="宋体" w:hAnsi="宋体"/>
          <w:sz w:val="24"/>
          <w:szCs w:val="24"/>
        </w:rPr>
        <w:t>报价方认为有必要提供的其它技术资料。</w:t>
      </w:r>
    </w:p>
    <w:p>
      <w:pPr>
        <w:numPr>
          <w:ilvl w:val="0"/>
          <w:numId w:val="32"/>
        </w:numPr>
        <w:autoSpaceDE/>
        <w:autoSpaceDN/>
        <w:snapToGrid w:val="0"/>
        <w:spacing w:line="400" w:lineRule="atLeast"/>
        <w:ind w:right="105" w:rightChars="50"/>
        <w:jc w:val="left"/>
        <w:textAlignment w:val="auto"/>
        <w:rPr>
          <w:rFonts w:ascii="宋体" w:hAnsi="宋体"/>
          <w:sz w:val="24"/>
        </w:rPr>
      </w:pPr>
      <w:r>
        <w:rPr>
          <w:rFonts w:hint="eastAsia" w:ascii="宋体" w:hAnsi="宋体"/>
          <w:sz w:val="24"/>
          <w:szCs w:val="24"/>
        </w:rPr>
        <w:t>报价有效期必须不少于60天。</w:t>
      </w:r>
    </w:p>
    <w:p>
      <w:pPr>
        <w:kinsoku w:val="0"/>
        <w:overflowPunct w:val="0"/>
        <w:adjustRightInd/>
        <w:spacing w:line="400" w:lineRule="atLeast"/>
        <w:rPr>
          <w:rFonts w:ascii="宋体"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2"/>
        <w:rPr>
          <w:rFonts w:hAnsi="宋体"/>
          <w:sz w:val="24"/>
        </w:rPr>
      </w:pPr>
    </w:p>
    <w:p>
      <w:pPr>
        <w:pStyle w:val="4"/>
        <w:keepNext w:val="0"/>
        <w:keepLines w:val="0"/>
        <w:numPr>
          <w:ilvl w:val="0"/>
          <w:numId w:val="33"/>
        </w:numPr>
        <w:kinsoku w:val="0"/>
        <w:overflowPunct w:val="0"/>
        <w:autoSpaceDE w:val="0"/>
        <w:autoSpaceDN w:val="0"/>
        <w:adjustRightInd/>
        <w:spacing w:line="400" w:lineRule="atLeast"/>
        <w:ind w:firstLine="522" w:firstLineChars="200"/>
        <w:jc w:val="center"/>
        <w:textAlignment w:val="auto"/>
        <w:rPr>
          <w:rFonts w:ascii="宋体" w:hAnsi="宋体" w:eastAsia="宋体"/>
          <w:bCs/>
          <w:sz w:val="24"/>
          <w:szCs w:val="24"/>
        </w:rPr>
      </w:pPr>
      <w:bookmarkStart w:id="66" w:name="_Toc25552_WPSOffice_Level1"/>
      <w:bookmarkStart w:id="67" w:name="_Toc12983_WPSOffice_Level1"/>
      <w:bookmarkStart w:id="68" w:name="_Toc673_WPSOffice_Level1"/>
      <w:bookmarkStart w:id="69" w:name="_Toc9692_WPSOffice_Level1"/>
      <w:bookmarkStart w:id="70" w:name="_Toc32010_WPSOffice_Level1"/>
      <w:r>
        <w:rPr>
          <w:rFonts w:hint="eastAsia" w:ascii="宋体" w:hAnsi="宋体" w:eastAsia="宋体"/>
          <w:bCs/>
          <w:sz w:val="24"/>
          <w:szCs w:val="24"/>
        </w:rPr>
        <w:t>合同主要条款</w:t>
      </w:r>
      <w:bookmarkEnd w:id="66"/>
      <w:bookmarkEnd w:id="67"/>
      <w:bookmarkEnd w:id="68"/>
      <w:bookmarkEnd w:id="69"/>
      <w:bookmarkEnd w:id="70"/>
    </w:p>
    <w:p>
      <w:pPr>
        <w:pStyle w:val="5"/>
        <w:ind w:firstLine="0"/>
      </w:pPr>
    </w:p>
    <w:p>
      <w:pPr>
        <w:pStyle w:val="5"/>
        <w:ind w:firstLine="0"/>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pPr>
              <w:kinsoku w:val="0"/>
              <w:overflowPunct w:val="0"/>
              <w:adjustRightInd/>
              <w:spacing w:line="400" w:lineRule="atLeast"/>
              <w:rPr>
                <w:rFonts w:ascii="宋体" w:hAnsi="宋体"/>
                <w:sz w:val="24"/>
              </w:rPr>
            </w:pPr>
            <w:r>
              <w:rPr>
                <w:rFonts w:hint="eastAsia" w:ascii="宋体" w:hAnsi="宋体" w:cs="宋体"/>
                <w:sz w:val="24"/>
                <w:szCs w:val="24"/>
              </w:rPr>
              <w:t>注释：本格式条款仅作为双方签订合同的参考，为阐明各方的权利和义务，经协商可增加新的条款、修改相关条款，但不得与谈判文件、响应报价文件的实质性内容相背离。</w:t>
            </w:r>
          </w:p>
        </w:tc>
      </w:tr>
    </w:tbl>
    <w:p>
      <w:pPr>
        <w:pStyle w:val="5"/>
        <w:ind w:firstLine="0"/>
      </w:pPr>
    </w:p>
    <w:p>
      <w:pPr>
        <w:pStyle w:val="5"/>
        <w:ind w:firstLine="0"/>
      </w:pPr>
    </w:p>
    <w:p>
      <w:pPr>
        <w:autoSpaceDE/>
        <w:autoSpaceDN/>
        <w:snapToGrid w:val="0"/>
        <w:spacing w:beforeLines="50" w:afterLines="50" w:line="400" w:lineRule="atLeast"/>
        <w:ind w:left="-105" w:leftChars="-50" w:right="-105" w:rightChars="-50" w:firstLine="482" w:firstLineChars="200"/>
        <w:jc w:val="left"/>
        <w:textAlignment w:val="auto"/>
        <w:rPr>
          <w:rFonts w:ascii="宋体" w:hAnsi="宋体" w:cs="宋体"/>
          <w:sz w:val="24"/>
          <w:szCs w:val="24"/>
          <w:u w:val="single"/>
        </w:rPr>
      </w:pPr>
      <w:r>
        <w:rPr>
          <w:rFonts w:hint="eastAsia" w:ascii="宋体" w:hAnsi="宋体" w:cs="宋体"/>
          <w:b/>
          <w:sz w:val="24"/>
          <w:szCs w:val="24"/>
        </w:rPr>
        <w:t>甲方</w:t>
      </w:r>
      <w:r>
        <w:rPr>
          <w:rFonts w:hint="eastAsia" w:ascii="宋体" w:hAnsi="宋体" w:cs="宋体"/>
          <w:sz w:val="24"/>
          <w:szCs w:val="24"/>
        </w:rPr>
        <w:t>：</w:t>
      </w:r>
      <w:r>
        <w:rPr>
          <w:rFonts w:hint="eastAsia" w:ascii="宋体" w:hAnsi="宋体" w:cs="宋体"/>
          <w:sz w:val="24"/>
          <w:szCs w:val="24"/>
          <w:u w:val="single"/>
        </w:rPr>
        <w:t>厦门同集热电有限公司</w:t>
      </w:r>
    </w:p>
    <w:p>
      <w:pPr>
        <w:autoSpaceDE/>
        <w:autoSpaceDN/>
        <w:snapToGrid w:val="0"/>
        <w:spacing w:after="140" w:line="400" w:lineRule="atLeast"/>
        <w:ind w:left="-105" w:leftChars="-50" w:right="-105" w:rightChars="-50" w:firstLine="1200" w:firstLineChars="500"/>
        <w:jc w:val="left"/>
        <w:textAlignment w:val="auto"/>
        <w:rPr>
          <w:rFonts w:ascii="宋体" w:hAnsi="宋体" w:cs="宋体"/>
          <w:sz w:val="24"/>
          <w:szCs w:val="24"/>
          <w:u w:val="single"/>
        </w:rPr>
      </w:pPr>
      <w:r>
        <w:rPr>
          <w:rFonts w:hint="eastAsia" w:ascii="宋体" w:hAnsi="宋体" w:cs="宋体"/>
          <w:sz w:val="24"/>
          <w:szCs w:val="24"/>
          <w:u w:val="single"/>
        </w:rPr>
        <w:t>住所地：厦门市同安区美禾三路399号</w:t>
      </w:r>
    </w:p>
    <w:p>
      <w:pPr>
        <w:autoSpaceDE/>
        <w:autoSpaceDN/>
        <w:snapToGrid w:val="0"/>
        <w:spacing w:line="400" w:lineRule="atLeast"/>
        <w:ind w:left="-105" w:leftChars="-50" w:right="-105" w:rightChars="-50" w:firstLine="482" w:firstLineChars="200"/>
        <w:jc w:val="left"/>
        <w:textAlignment w:val="auto"/>
        <w:outlineLvl w:val="0"/>
        <w:rPr>
          <w:rFonts w:ascii="宋体" w:hAnsi="宋体" w:cs="宋体"/>
          <w:sz w:val="24"/>
          <w:szCs w:val="24"/>
          <w:u w:val="single"/>
        </w:rPr>
      </w:pPr>
      <w:r>
        <w:rPr>
          <w:rFonts w:hint="eastAsia" w:ascii="宋体" w:hAnsi="宋体" w:cs="宋体"/>
          <w:b/>
          <w:sz w:val="24"/>
          <w:szCs w:val="24"/>
        </w:rPr>
        <w:t>乙方</w:t>
      </w:r>
      <w:r>
        <w:rPr>
          <w:rFonts w:hint="eastAsia" w:ascii="宋体" w:hAnsi="宋体" w:cs="宋体"/>
          <w:b/>
          <w:bCs/>
          <w:sz w:val="24"/>
          <w:szCs w:val="24"/>
        </w:rPr>
        <w:t>：</w:t>
      </w:r>
    </w:p>
    <w:p>
      <w:pPr>
        <w:autoSpaceDE/>
        <w:autoSpaceDN/>
        <w:adjustRightInd/>
        <w:spacing w:beforeLines="50" w:afterLines="50" w:line="400" w:lineRule="atLeast"/>
        <w:ind w:left="-105" w:leftChars="-50" w:right="210" w:rightChars="100" w:firstLine="436" w:firstLineChars="182"/>
        <w:textAlignment w:val="auto"/>
        <w:rPr>
          <w:rFonts w:ascii="宋体" w:hAnsi="宋体" w:cs="宋体"/>
          <w:sz w:val="24"/>
          <w:szCs w:val="24"/>
          <w:u w:val="single"/>
        </w:rPr>
      </w:pPr>
    </w:p>
    <w:p>
      <w:pPr>
        <w:autoSpaceDE/>
        <w:autoSpaceDN/>
        <w:snapToGrid w:val="0"/>
        <w:spacing w:line="420" w:lineRule="exact"/>
        <w:ind w:firstLine="480" w:firstLineChars="200"/>
        <w:jc w:val="left"/>
        <w:textAlignment w:val="auto"/>
        <w:rPr>
          <w:rFonts w:ascii="宋体" w:hAnsi="宋体" w:cs="宋体"/>
          <w:sz w:val="24"/>
          <w:szCs w:val="24"/>
        </w:rPr>
      </w:pPr>
      <w:r>
        <w:rPr>
          <w:rFonts w:hint="eastAsia" w:ascii="宋体" w:hAnsi="宋体" w:cs="宋体"/>
          <w:sz w:val="24"/>
          <w:szCs w:val="24"/>
        </w:rPr>
        <w:t>根据《中华人民共和国民法典》及有关法律、法规相关规定，</w:t>
      </w:r>
      <w:r>
        <w:rPr>
          <w:rFonts w:hAnsi="宋体"/>
          <w:sz w:val="24"/>
          <w:szCs w:val="24"/>
        </w:rPr>
        <w:t>甲、乙双方本着精诚合作、互惠互利的原则，经友好协商，共同签订</w:t>
      </w:r>
      <w:r>
        <w:rPr>
          <w:rFonts w:hint="eastAsia" w:hAnsi="宋体"/>
          <w:sz w:val="24"/>
          <w:szCs w:val="24"/>
        </w:rPr>
        <w:t>《</w:t>
      </w:r>
      <w:r>
        <w:rPr>
          <w:rFonts w:hint="eastAsia" w:ascii="宋体" w:hAnsi="宋体"/>
          <w:sz w:val="24"/>
          <w:szCs w:val="24"/>
        </w:rPr>
        <w:t>2024年-2025年环保自行监测项目</w:t>
      </w:r>
      <w:r>
        <w:rPr>
          <w:rFonts w:hint="eastAsia" w:hAnsi="宋体"/>
          <w:sz w:val="24"/>
          <w:szCs w:val="24"/>
        </w:rPr>
        <w:t>》合同，</w:t>
      </w:r>
      <w:r>
        <w:rPr>
          <w:rFonts w:hint="eastAsia" w:ascii="宋体" w:hAnsi="宋体" w:cs="宋体"/>
          <w:sz w:val="24"/>
          <w:szCs w:val="24"/>
        </w:rPr>
        <w:t>供双方共同遵守。</w:t>
      </w:r>
    </w:p>
    <w:p>
      <w:pPr>
        <w:autoSpaceDE/>
        <w:autoSpaceDN/>
        <w:snapToGrid w:val="0"/>
        <w:spacing w:line="400" w:lineRule="atLeast"/>
        <w:ind w:left="-105" w:leftChars="-50" w:right="-105" w:rightChars="-50" w:firstLine="482" w:firstLineChars="200"/>
        <w:jc w:val="left"/>
        <w:textAlignment w:val="auto"/>
        <w:rPr>
          <w:rFonts w:ascii="宋体" w:hAnsi="宋体" w:cs="宋体"/>
          <w:b/>
          <w:sz w:val="24"/>
          <w:szCs w:val="24"/>
        </w:rPr>
      </w:pPr>
      <w:r>
        <w:rPr>
          <w:rFonts w:hint="eastAsia" w:ascii="宋体" w:hAnsi="宋体" w:cs="宋体"/>
          <w:b/>
          <w:sz w:val="24"/>
          <w:szCs w:val="24"/>
        </w:rPr>
        <w:t>一、项目概况：</w:t>
      </w:r>
    </w:p>
    <w:p>
      <w:pPr>
        <w:autoSpaceDE/>
        <w:autoSpaceDN/>
        <w:snapToGrid w:val="0"/>
        <w:spacing w:line="400" w:lineRule="atLeast"/>
        <w:ind w:left="-105" w:leftChars="-50" w:right="-105" w:rightChars="-50" w:firstLine="480" w:firstLineChars="200"/>
        <w:jc w:val="left"/>
        <w:textAlignment w:val="auto"/>
        <w:rPr>
          <w:rFonts w:ascii="宋体" w:hAnsi="宋体" w:cs="宋体"/>
          <w:sz w:val="24"/>
          <w:szCs w:val="24"/>
        </w:rPr>
      </w:pPr>
      <w:r>
        <w:rPr>
          <w:rFonts w:hint="eastAsia" w:ascii="宋体" w:hAnsi="宋体" w:cs="宋体"/>
          <w:sz w:val="24"/>
          <w:szCs w:val="24"/>
        </w:rPr>
        <w:t>1、项目名称：</w:t>
      </w:r>
      <w:r>
        <w:rPr>
          <w:rFonts w:hint="eastAsia" w:ascii="宋体" w:hAnsi="宋体"/>
          <w:sz w:val="24"/>
          <w:szCs w:val="24"/>
          <w:u w:val="single"/>
        </w:rPr>
        <w:t>2024年-2025年环保自行监测项目</w:t>
      </w:r>
      <w:r>
        <w:rPr>
          <w:rFonts w:hint="eastAsia" w:ascii="宋体" w:hAnsi="宋体" w:cs="宋体"/>
          <w:sz w:val="24"/>
          <w:szCs w:val="24"/>
          <w:u w:val="single"/>
        </w:rPr>
        <w:t xml:space="preserve">。 </w:t>
      </w:r>
    </w:p>
    <w:p>
      <w:pPr>
        <w:autoSpaceDE/>
        <w:autoSpaceDN/>
        <w:snapToGrid w:val="0"/>
        <w:spacing w:line="400" w:lineRule="atLeast"/>
        <w:ind w:right="-105" w:rightChars="-50" w:firstLine="720" w:firstLineChars="300"/>
        <w:jc w:val="left"/>
        <w:textAlignment w:val="auto"/>
        <w:rPr>
          <w:rFonts w:ascii="宋体" w:hAnsi="宋体" w:cs="宋体"/>
          <w:sz w:val="24"/>
          <w:szCs w:val="24"/>
          <w:u w:val="single"/>
        </w:rPr>
      </w:pPr>
      <w:r>
        <w:rPr>
          <w:rFonts w:hint="eastAsia" w:ascii="宋体" w:hAnsi="宋体" w:cs="宋体"/>
          <w:sz w:val="24"/>
          <w:szCs w:val="24"/>
        </w:rPr>
        <w:t>服务地点：</w:t>
      </w:r>
      <w:r>
        <w:rPr>
          <w:rFonts w:hint="eastAsia" w:ascii="宋体" w:hAnsi="宋体" w:cs="宋体"/>
          <w:sz w:val="24"/>
          <w:szCs w:val="24"/>
          <w:u w:val="single"/>
        </w:rPr>
        <w:t xml:space="preserve">厦门同集热电有限公司。 </w:t>
      </w:r>
    </w:p>
    <w:p>
      <w:pPr>
        <w:autoSpaceDE/>
        <w:autoSpaceDN/>
        <w:snapToGrid w:val="0"/>
        <w:spacing w:line="400" w:lineRule="atLeast"/>
        <w:ind w:left="-105" w:leftChars="-50" w:right="-105" w:rightChars="-50" w:firstLine="480" w:firstLineChars="200"/>
        <w:jc w:val="left"/>
        <w:textAlignment w:val="auto"/>
        <w:rPr>
          <w:rFonts w:ascii="宋体" w:hAnsi="宋体" w:cs="宋体"/>
          <w:sz w:val="24"/>
          <w:szCs w:val="24"/>
          <w:u w:val="single"/>
        </w:rPr>
      </w:pPr>
      <w:r>
        <w:rPr>
          <w:rFonts w:hint="eastAsia" w:ascii="宋体" w:hAnsi="宋体" w:cs="宋体"/>
          <w:sz w:val="24"/>
          <w:szCs w:val="24"/>
        </w:rPr>
        <w:t>2、服务内容：</w:t>
      </w:r>
      <w:r>
        <w:rPr>
          <w:rFonts w:hint="eastAsia" w:ascii="宋体" w:hAnsi="宋体" w:cs="宋体"/>
          <w:sz w:val="24"/>
          <w:szCs w:val="24"/>
          <w:u w:val="single"/>
        </w:rPr>
        <w:t>自行监测、燃煤锅炉烟气比对监测、天然气锅炉烟气比对监测。</w:t>
      </w:r>
    </w:p>
    <w:p>
      <w:pPr>
        <w:autoSpaceDE/>
        <w:autoSpaceDN/>
        <w:snapToGrid w:val="0"/>
        <w:spacing w:line="400" w:lineRule="atLeast"/>
        <w:ind w:left="-105" w:leftChars="-50" w:right="-105" w:rightChars="-50" w:firstLine="480" w:firstLineChars="200"/>
        <w:jc w:val="left"/>
        <w:textAlignment w:val="auto"/>
        <w:rPr>
          <w:rFonts w:ascii="宋体" w:hAnsi="宋体" w:cs="宋体"/>
          <w:sz w:val="24"/>
          <w:szCs w:val="24"/>
          <w:u w:val="single"/>
        </w:rPr>
      </w:pPr>
      <w:r>
        <w:rPr>
          <w:rFonts w:hint="eastAsia" w:ascii="宋体" w:hAnsi="宋体" w:cs="宋体"/>
          <w:sz w:val="24"/>
          <w:szCs w:val="24"/>
        </w:rPr>
        <w:t>3、服务要求：</w:t>
      </w:r>
      <w:r>
        <w:rPr>
          <w:rFonts w:hint="eastAsia" w:ascii="宋体" w:hAnsi="宋体" w:cs="宋体"/>
          <w:sz w:val="24"/>
          <w:szCs w:val="24"/>
          <w:u w:val="single"/>
        </w:rPr>
        <w:t>自行监测方案、燃煤锅炉烟气开展比对监测、天然气锅炉烟气比对监测满足招标文件及</w:t>
      </w:r>
      <w:r>
        <w:rPr>
          <w:rFonts w:hint="eastAsia"/>
          <w:sz w:val="24"/>
          <w:u w:val="single"/>
        </w:rPr>
        <w:t>HJ75-2017《固定污染源烟气（SO2、NOx、颗粒物）排放连</w:t>
      </w:r>
      <w:r>
        <w:rPr>
          <w:rFonts w:hint="eastAsia" w:ascii="宋体" w:hAnsi="宋体" w:cs="宋体"/>
          <w:sz w:val="24"/>
          <w:szCs w:val="24"/>
          <w:u w:val="single"/>
        </w:rPr>
        <w:t>续监测技术规范》等有关标准和规范要求监测。</w:t>
      </w:r>
    </w:p>
    <w:p>
      <w:pPr>
        <w:autoSpaceDE/>
        <w:autoSpaceDN/>
        <w:snapToGrid w:val="0"/>
        <w:spacing w:line="400" w:lineRule="atLeast"/>
        <w:ind w:left="-105" w:leftChars="-50" w:right="-105" w:rightChars="-50" w:firstLine="480" w:firstLineChars="200"/>
        <w:jc w:val="left"/>
        <w:textAlignment w:val="auto"/>
        <w:rPr>
          <w:rFonts w:ascii="宋体" w:hAnsi="宋体" w:cs="宋体"/>
          <w:sz w:val="24"/>
          <w:szCs w:val="24"/>
          <w:u w:val="single"/>
        </w:rPr>
      </w:pPr>
      <w:r>
        <w:rPr>
          <w:rFonts w:hint="eastAsia" w:ascii="宋体" w:hAnsi="宋体" w:cs="宋体"/>
          <w:sz w:val="24"/>
          <w:szCs w:val="24"/>
        </w:rPr>
        <w:t>4、承包方式：</w:t>
      </w:r>
      <w:r>
        <w:rPr>
          <w:rFonts w:hint="eastAsia" w:ascii="宋体" w:hAnsi="宋体" w:cs="宋体"/>
          <w:sz w:val="24"/>
          <w:szCs w:val="24"/>
          <w:u w:val="single"/>
        </w:rPr>
        <w:t xml:space="preserve">总承包 </w:t>
      </w:r>
    </w:p>
    <w:p>
      <w:pPr>
        <w:autoSpaceDE/>
        <w:autoSpaceDN/>
        <w:snapToGrid w:val="0"/>
        <w:spacing w:line="400" w:lineRule="atLeast"/>
        <w:ind w:left="-105" w:leftChars="-50" w:right="-105" w:rightChars="-50" w:firstLine="480" w:firstLineChars="200"/>
        <w:jc w:val="left"/>
        <w:textAlignment w:val="auto"/>
        <w:rPr>
          <w:rFonts w:ascii="宋体" w:hAnsi="宋体" w:cs="宋体"/>
          <w:sz w:val="24"/>
          <w:szCs w:val="24"/>
        </w:rPr>
      </w:pPr>
      <w:r>
        <w:rPr>
          <w:rFonts w:hint="eastAsia" w:ascii="宋体" w:hAnsi="宋体" w:cs="宋体"/>
          <w:sz w:val="24"/>
          <w:szCs w:val="24"/>
        </w:rPr>
        <w:t>5、服务期：</w:t>
      </w:r>
      <w:r>
        <w:rPr>
          <w:rFonts w:hint="eastAsia" w:ascii="宋体" w:hAnsi="宋体" w:cs="宋体"/>
          <w:sz w:val="24"/>
          <w:szCs w:val="24"/>
          <w:u w:val="single"/>
        </w:rPr>
        <w:t>合同签订之日起至2025年1</w:t>
      </w:r>
      <w:r>
        <w:rPr>
          <w:rFonts w:hint="eastAsia" w:ascii="宋体" w:hAnsi="宋体" w:cs="宋体"/>
          <w:sz w:val="24"/>
          <w:szCs w:val="24"/>
        </w:rPr>
        <w:t>2月31日。</w:t>
      </w:r>
    </w:p>
    <w:p>
      <w:pPr>
        <w:kinsoku w:val="0"/>
        <w:overflowPunct w:val="0"/>
        <w:adjustRightInd/>
        <w:spacing w:line="400" w:lineRule="atLeast"/>
        <w:textAlignment w:val="auto"/>
        <w:rPr>
          <w:rFonts w:ascii="宋体" w:hAnsi="宋体" w:cs="宋体"/>
          <w:spacing w:val="-4"/>
          <w:sz w:val="24"/>
          <w:szCs w:val="24"/>
        </w:rPr>
      </w:pPr>
      <w:r>
        <w:rPr>
          <w:rFonts w:hint="eastAsia" w:ascii="宋体" w:hAnsi="宋体" w:cs="宋体"/>
          <w:sz w:val="24"/>
          <w:szCs w:val="24"/>
        </w:rPr>
        <w:t>6、合同价款（含  %增值税专票）：</w:t>
      </w:r>
    </w:p>
    <w:tbl>
      <w:tblPr>
        <w:tblStyle w:val="13"/>
        <w:tblW w:w="9169" w:type="dxa"/>
        <w:tblInd w:w="0" w:type="dxa"/>
        <w:tblLayout w:type="fixed"/>
        <w:tblCellMar>
          <w:top w:w="0" w:type="dxa"/>
          <w:left w:w="0" w:type="dxa"/>
          <w:bottom w:w="0" w:type="dxa"/>
          <w:right w:w="0" w:type="dxa"/>
        </w:tblCellMar>
      </w:tblPr>
      <w:tblGrid>
        <w:gridCol w:w="677"/>
        <w:gridCol w:w="2892"/>
        <w:gridCol w:w="2085"/>
        <w:gridCol w:w="1544"/>
        <w:gridCol w:w="1971"/>
      </w:tblGrid>
      <w:tr>
        <w:tblPrEx>
          <w:tblCellMar>
            <w:top w:w="0" w:type="dxa"/>
            <w:left w:w="0" w:type="dxa"/>
            <w:bottom w:w="0" w:type="dxa"/>
            <w:right w:w="0" w:type="dxa"/>
          </w:tblCellMar>
        </w:tblPrEx>
        <w:trPr>
          <w:trHeight w:val="480" w:hRule="atLeast"/>
        </w:trPr>
        <w:tc>
          <w:tcPr>
            <w:tcW w:w="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序号</w:t>
            </w:r>
          </w:p>
        </w:tc>
        <w:tc>
          <w:tcPr>
            <w:tcW w:w="2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服务名称</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单价（元）</w:t>
            </w: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数量</w:t>
            </w:r>
          </w:p>
        </w:tc>
        <w:tc>
          <w:tcPr>
            <w:tcW w:w="19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合价（元）</w:t>
            </w:r>
          </w:p>
        </w:tc>
      </w:tr>
      <w:tr>
        <w:tblPrEx>
          <w:tblCellMar>
            <w:top w:w="0" w:type="dxa"/>
            <w:left w:w="0" w:type="dxa"/>
            <w:bottom w:w="0" w:type="dxa"/>
            <w:right w:w="0" w:type="dxa"/>
          </w:tblCellMar>
        </w:tblPrEx>
        <w:trPr>
          <w:trHeight w:val="560" w:hRule="atLeast"/>
        </w:trPr>
        <w:tc>
          <w:tcPr>
            <w:tcW w:w="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1</w:t>
            </w:r>
          </w:p>
        </w:tc>
        <w:tc>
          <w:tcPr>
            <w:tcW w:w="2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自行监测</w:t>
            </w:r>
          </w:p>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（服务周期为2024年1月1日至2025年12月31日）</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         元/季度</w:t>
            </w: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8季度</w:t>
            </w:r>
          </w:p>
        </w:tc>
        <w:tc>
          <w:tcPr>
            <w:tcW w:w="19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90" w:hRule="atLeast"/>
        </w:trPr>
        <w:tc>
          <w:tcPr>
            <w:tcW w:w="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2</w:t>
            </w:r>
          </w:p>
        </w:tc>
        <w:tc>
          <w:tcPr>
            <w:tcW w:w="2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锅炉烟气比对监测</w:t>
            </w:r>
          </w:p>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（服务周期为2024年1月1日至2025年12月31日）</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         元/台次</w:t>
            </w: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预计16台次</w:t>
            </w:r>
          </w:p>
        </w:tc>
        <w:tc>
          <w:tcPr>
            <w:tcW w:w="19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365" w:hRule="atLeast"/>
        </w:trPr>
        <w:tc>
          <w:tcPr>
            <w:tcW w:w="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3</w:t>
            </w:r>
          </w:p>
        </w:tc>
        <w:tc>
          <w:tcPr>
            <w:tcW w:w="2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szCs w:val="24"/>
              </w:rPr>
            </w:pPr>
            <w:r>
              <w:rPr>
                <w:rFonts w:hint="eastAsia" w:ascii="宋体" w:hAnsi="宋体" w:cs="宋体"/>
                <w:sz w:val="24"/>
                <w:szCs w:val="24"/>
              </w:rPr>
              <w:t>天然气锅炉烟气比对监测</w:t>
            </w:r>
          </w:p>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（服务周期为2024年10月1日至2025年12月31日）</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        元/季度</w:t>
            </w: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预计8季度</w:t>
            </w:r>
          </w:p>
        </w:tc>
        <w:tc>
          <w:tcPr>
            <w:tcW w:w="19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365" w:hRule="atLeast"/>
        </w:trPr>
        <w:tc>
          <w:tcPr>
            <w:tcW w:w="35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szCs w:val="24"/>
              </w:rPr>
            </w:pPr>
            <w:r>
              <w:rPr>
                <w:rFonts w:hint="eastAsia" w:ascii="宋体" w:hAnsi="宋体" w:cs="宋体"/>
                <w:color w:val="000000"/>
                <w:sz w:val="24"/>
                <w:szCs w:val="24"/>
              </w:rPr>
              <w:t>合计（元）</w:t>
            </w:r>
          </w:p>
        </w:tc>
        <w:tc>
          <w:tcPr>
            <w:tcW w:w="56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365" w:hRule="atLeast"/>
        </w:trPr>
        <w:tc>
          <w:tcPr>
            <w:tcW w:w="9169"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sz w:val="28"/>
                <w:szCs w:val="28"/>
              </w:rPr>
              <w:t>以上报价为含税价，本项目开具   ％增值税专票</w:t>
            </w:r>
          </w:p>
        </w:tc>
      </w:tr>
    </w:tbl>
    <w:p>
      <w:pPr>
        <w:kinsoku w:val="0"/>
        <w:overflowPunct w:val="0"/>
        <w:adjustRightInd/>
        <w:spacing w:line="400" w:lineRule="atLeast"/>
        <w:textAlignment w:val="auto"/>
        <w:rPr>
          <w:rFonts w:ascii="宋体" w:hAnsi="宋体" w:cs="宋体"/>
          <w:spacing w:val="-4"/>
          <w:sz w:val="24"/>
          <w:szCs w:val="24"/>
        </w:rPr>
      </w:pPr>
    </w:p>
    <w:p>
      <w:pPr>
        <w:autoSpaceDE/>
        <w:autoSpaceDN/>
        <w:snapToGrid w:val="0"/>
        <w:spacing w:line="400" w:lineRule="atLeast"/>
        <w:ind w:left="-105" w:leftChars="-50" w:right="-105" w:rightChars="-50" w:firstLine="480" w:firstLineChars="200"/>
        <w:jc w:val="left"/>
        <w:textAlignment w:val="auto"/>
        <w:rPr>
          <w:rFonts w:ascii="宋体" w:hAnsi="宋体" w:cs="宋体"/>
          <w:sz w:val="24"/>
          <w:szCs w:val="24"/>
        </w:rPr>
      </w:pPr>
      <w:r>
        <w:rPr>
          <w:rFonts w:hint="eastAsia" w:ascii="宋体" w:hAnsi="宋体" w:cs="宋体"/>
          <w:sz w:val="24"/>
          <w:szCs w:val="24"/>
        </w:rPr>
        <w:t>7、付款方式：</w:t>
      </w:r>
    </w:p>
    <w:p>
      <w:pPr>
        <w:autoSpaceDE/>
        <w:autoSpaceDN/>
        <w:snapToGrid w:val="0"/>
        <w:spacing w:line="400" w:lineRule="atLeast"/>
        <w:ind w:left="-105" w:leftChars="-50" w:right="-105" w:rightChars="-50" w:firstLine="480" w:firstLineChars="200"/>
        <w:jc w:val="left"/>
        <w:textAlignment w:val="auto"/>
        <w:rPr>
          <w:rFonts w:ascii="宋体" w:hAnsi="宋体" w:cs="宋体"/>
          <w:sz w:val="24"/>
          <w:szCs w:val="24"/>
        </w:rPr>
      </w:pPr>
      <w:r>
        <w:rPr>
          <w:rFonts w:hint="eastAsia" w:ascii="宋体" w:hAnsi="宋体" w:cs="宋体"/>
          <w:sz w:val="24"/>
          <w:szCs w:val="24"/>
        </w:rPr>
        <w:t>7.1合同正式签订生效后，检测费用按季度结算，根据实际发生的监测内容及分项报价进行结算付款。乙方提供监测报告和相应税率的增值税专用发票，开票信息填写齐全正确，如为电子发票，备注栏需备注成交方银行账号、开户行、收款人、复核人，并发送OFD版本和XM L版本电子档给采购方存档，</w:t>
      </w:r>
      <w:r>
        <w:rPr>
          <w:rFonts w:hint="eastAsia" w:ascii="宋体" w:hAnsi="宋体" w:cs="宋体"/>
          <w:spacing w:val="-4"/>
          <w:sz w:val="24"/>
          <w:szCs w:val="24"/>
        </w:rPr>
        <w:t>如国家税率调整，含税金额也做相应调整。</w:t>
      </w:r>
    </w:p>
    <w:p>
      <w:pPr>
        <w:autoSpaceDE/>
        <w:autoSpaceDN/>
        <w:snapToGrid w:val="0"/>
        <w:spacing w:line="400" w:lineRule="atLeast"/>
        <w:ind w:left="-105" w:leftChars="-50" w:right="-105" w:rightChars="-50" w:firstLine="480" w:firstLineChars="200"/>
        <w:jc w:val="left"/>
        <w:textAlignment w:val="auto"/>
        <w:rPr>
          <w:rFonts w:ascii="宋体" w:hAnsi="宋体" w:cs="宋体"/>
          <w:sz w:val="24"/>
          <w:szCs w:val="24"/>
        </w:rPr>
      </w:pPr>
      <w:r>
        <w:rPr>
          <w:rFonts w:hint="eastAsia" w:ascii="宋体" w:hAnsi="宋体" w:cs="宋体"/>
          <w:sz w:val="24"/>
          <w:szCs w:val="24"/>
        </w:rPr>
        <w:t>甲方收到乙方发票后10个工作日内支付。</w:t>
      </w:r>
    </w:p>
    <w:p>
      <w:pPr>
        <w:autoSpaceDE/>
        <w:autoSpaceDN/>
        <w:snapToGrid w:val="0"/>
        <w:spacing w:line="400" w:lineRule="atLeast"/>
        <w:ind w:left="-105" w:leftChars="-50" w:right="-105" w:rightChars="-50" w:firstLine="482" w:firstLineChars="200"/>
        <w:jc w:val="left"/>
        <w:textAlignment w:val="auto"/>
        <w:rPr>
          <w:rFonts w:ascii="宋体" w:hAnsi="宋体" w:cs="宋体"/>
          <w:b/>
          <w:sz w:val="24"/>
          <w:szCs w:val="24"/>
        </w:rPr>
      </w:pPr>
      <w:r>
        <w:rPr>
          <w:rFonts w:hint="eastAsia" w:ascii="宋体" w:hAnsi="宋体" w:cs="宋体"/>
          <w:b/>
          <w:sz w:val="24"/>
          <w:szCs w:val="24"/>
        </w:rPr>
        <w:t>二、双方现场代表：</w:t>
      </w:r>
    </w:p>
    <w:p>
      <w:pPr>
        <w:autoSpaceDE/>
        <w:autoSpaceDN/>
        <w:snapToGrid w:val="0"/>
        <w:spacing w:line="400" w:lineRule="atLeast"/>
        <w:ind w:left="-105" w:leftChars="-50" w:right="-105" w:rightChars="-50" w:firstLine="480" w:firstLineChars="200"/>
        <w:jc w:val="left"/>
        <w:textAlignment w:val="auto"/>
        <w:rPr>
          <w:rFonts w:ascii="宋体" w:hAnsi="宋体" w:cs="宋体"/>
          <w:sz w:val="24"/>
          <w:szCs w:val="24"/>
        </w:rPr>
      </w:pPr>
      <w:r>
        <w:rPr>
          <w:rFonts w:hint="eastAsia" w:ascii="宋体" w:hAnsi="宋体" w:cs="宋体"/>
          <w:sz w:val="24"/>
          <w:szCs w:val="24"/>
        </w:rPr>
        <w:t xml:space="preserve"> 1、甲方代表：  　职务 </w:t>
      </w:r>
      <w:r>
        <w:rPr>
          <w:rFonts w:hint="eastAsia" w:ascii="宋体" w:hAnsi="宋体" w:cs="宋体"/>
          <w:sz w:val="24"/>
          <w:szCs w:val="24"/>
          <w:u w:val="single"/>
        </w:rPr>
        <w:t xml:space="preserve"> 　　  　　　</w:t>
      </w:r>
    </w:p>
    <w:p>
      <w:pPr>
        <w:autoSpaceDE/>
        <w:autoSpaceDN/>
        <w:snapToGrid w:val="0"/>
        <w:spacing w:line="400" w:lineRule="atLeast"/>
        <w:ind w:left="-105" w:leftChars="-50" w:right="-105" w:rightChars="-50" w:firstLine="480" w:firstLineChars="200"/>
        <w:jc w:val="left"/>
        <w:textAlignment w:val="auto"/>
        <w:rPr>
          <w:rFonts w:ascii="宋体" w:hAnsi="宋体" w:cs="宋体"/>
          <w:sz w:val="24"/>
          <w:szCs w:val="24"/>
        </w:rPr>
      </w:pPr>
      <w:r>
        <w:rPr>
          <w:rFonts w:hint="eastAsia" w:ascii="宋体" w:hAnsi="宋体" w:cs="宋体"/>
          <w:sz w:val="24"/>
          <w:szCs w:val="24"/>
        </w:rPr>
        <w:t xml:space="preserve"> 2、乙方代表：    职务 </w:t>
      </w:r>
      <w:r>
        <w:rPr>
          <w:rFonts w:hint="eastAsia" w:ascii="宋体" w:hAnsi="宋体" w:cs="宋体"/>
          <w:sz w:val="24"/>
          <w:szCs w:val="24"/>
          <w:u w:val="single"/>
        </w:rPr>
        <w:t xml:space="preserve">         　  </w:t>
      </w:r>
    </w:p>
    <w:p>
      <w:pPr>
        <w:autoSpaceDE/>
        <w:autoSpaceDN/>
        <w:snapToGrid w:val="0"/>
        <w:spacing w:line="400" w:lineRule="atLeast"/>
        <w:ind w:left="-105" w:leftChars="-50" w:right="-105" w:rightChars="-50" w:firstLine="482" w:firstLineChars="200"/>
        <w:jc w:val="left"/>
        <w:textAlignment w:val="auto"/>
        <w:rPr>
          <w:rFonts w:ascii="宋体" w:hAnsi="宋体" w:cs="宋体"/>
          <w:b/>
          <w:sz w:val="24"/>
          <w:szCs w:val="24"/>
        </w:rPr>
      </w:pPr>
      <w:r>
        <w:rPr>
          <w:rFonts w:hint="eastAsia" w:ascii="宋体" w:hAnsi="宋体" w:cs="宋体"/>
          <w:b/>
          <w:sz w:val="24"/>
          <w:szCs w:val="24"/>
        </w:rPr>
        <w:t>三：服务</w:t>
      </w:r>
      <w:r>
        <w:rPr>
          <w:rFonts w:ascii="宋体" w:hAnsi="宋体" w:cs="宋体"/>
          <w:b/>
          <w:sz w:val="24"/>
          <w:szCs w:val="24"/>
        </w:rPr>
        <w:t>要求</w:t>
      </w:r>
    </w:p>
    <w:p>
      <w:pPr>
        <w:autoSpaceDE/>
        <w:autoSpaceDN/>
        <w:snapToGrid w:val="0"/>
        <w:spacing w:line="400" w:lineRule="atLeast"/>
        <w:ind w:left="-105" w:leftChars="-50" w:right="-105" w:rightChars="-50" w:firstLine="480" w:firstLineChars="200"/>
        <w:jc w:val="left"/>
        <w:textAlignment w:val="auto"/>
        <w:rPr>
          <w:rFonts w:ascii="宋体" w:hAnsi="宋体" w:cs="宋体"/>
          <w:sz w:val="24"/>
          <w:szCs w:val="24"/>
        </w:rPr>
      </w:pPr>
      <w:r>
        <w:rPr>
          <w:rFonts w:hint="eastAsia" w:ascii="宋体" w:hAnsi="宋体" w:cs="宋体"/>
          <w:sz w:val="24"/>
          <w:szCs w:val="24"/>
        </w:rPr>
        <w:t>1、严格按生态环境部门的相关要求执行；</w:t>
      </w:r>
    </w:p>
    <w:p>
      <w:pPr>
        <w:autoSpaceDE/>
        <w:autoSpaceDN/>
        <w:snapToGrid w:val="0"/>
        <w:spacing w:line="400" w:lineRule="atLeast"/>
        <w:ind w:left="-105" w:leftChars="-50" w:right="-105" w:rightChars="-50" w:firstLine="480" w:firstLineChars="200"/>
        <w:jc w:val="left"/>
        <w:textAlignment w:val="auto"/>
        <w:rPr>
          <w:rFonts w:ascii="宋体" w:hAnsi="宋体" w:cs="宋体"/>
          <w:sz w:val="24"/>
          <w:szCs w:val="24"/>
        </w:rPr>
      </w:pPr>
      <w:r>
        <w:rPr>
          <w:rFonts w:hint="eastAsia" w:ascii="宋体" w:hAnsi="宋体" w:cs="宋体"/>
          <w:sz w:val="24"/>
          <w:szCs w:val="24"/>
        </w:rPr>
        <w:t>2、按照甲方的自行监测方案对厂区进行环境监测，</w:t>
      </w:r>
      <w:r>
        <w:rPr>
          <w:rFonts w:hint="eastAsia"/>
          <w:sz w:val="24"/>
        </w:rPr>
        <w:t>依据HJ75-2017《固定污染源烟气（SO2、NOx、颗粒物）排放连续监测技术规范》对甲方开展环保监测，</w:t>
      </w:r>
      <w:r>
        <w:rPr>
          <w:rFonts w:hint="eastAsia" w:ascii="宋体" w:hAnsi="宋体" w:cs="宋体"/>
          <w:sz w:val="24"/>
          <w:szCs w:val="24"/>
        </w:rPr>
        <w:t>并在过程中接受甲方的监督和管理，保证检测结果的准确性；</w:t>
      </w:r>
    </w:p>
    <w:p>
      <w:pPr>
        <w:autoSpaceDE/>
        <w:autoSpaceDN/>
        <w:snapToGrid w:val="0"/>
        <w:spacing w:line="400" w:lineRule="atLeast"/>
        <w:ind w:left="-105" w:leftChars="-50" w:right="-105" w:rightChars="-50" w:firstLine="480" w:firstLineChars="200"/>
        <w:jc w:val="left"/>
        <w:textAlignment w:val="auto"/>
        <w:rPr>
          <w:rFonts w:ascii="宋体" w:hAnsi="宋体" w:cs="宋体"/>
          <w:sz w:val="24"/>
          <w:szCs w:val="24"/>
        </w:rPr>
      </w:pPr>
      <w:r>
        <w:rPr>
          <w:rFonts w:hint="eastAsia" w:ascii="宋体" w:hAnsi="宋体" w:cs="宋体"/>
          <w:sz w:val="24"/>
          <w:szCs w:val="24"/>
        </w:rPr>
        <w:t>3、每次检测的具体时间由双方协商确定。采样、监测完成后7个工作日内</w:t>
      </w:r>
      <w:r>
        <w:rPr>
          <w:rFonts w:hint="eastAsia" w:ascii="宋体" w:hAnsi="宋体"/>
          <w:sz w:val="24"/>
          <w:szCs w:val="24"/>
        </w:rPr>
        <w:t>分别出具服务监测项目（自行监测、燃煤锅炉比对监测</w:t>
      </w:r>
      <w:r>
        <w:rPr>
          <w:rFonts w:hint="eastAsia"/>
          <w:sz w:val="24"/>
        </w:rPr>
        <w:t>、</w:t>
      </w:r>
      <w:r>
        <w:rPr>
          <w:rFonts w:hint="eastAsia" w:ascii="宋体" w:hAnsi="宋体" w:cs="宋体"/>
          <w:sz w:val="24"/>
          <w:szCs w:val="24"/>
        </w:rPr>
        <w:t>天然气锅炉</w:t>
      </w:r>
      <w:r>
        <w:rPr>
          <w:rFonts w:hint="eastAsia" w:ascii="宋体" w:hAnsi="宋体"/>
          <w:sz w:val="24"/>
          <w:szCs w:val="24"/>
        </w:rPr>
        <w:t>比对监测等）且</w:t>
      </w:r>
      <w:r>
        <w:rPr>
          <w:rFonts w:hint="eastAsia" w:ascii="宋体" w:hAnsi="宋体" w:cs="宋体"/>
          <w:sz w:val="24"/>
          <w:szCs w:val="24"/>
        </w:rPr>
        <w:t>环保部门认可的“CMA”认证监测报告；</w:t>
      </w:r>
    </w:p>
    <w:p>
      <w:pPr>
        <w:autoSpaceDE/>
        <w:autoSpaceDN/>
        <w:snapToGrid w:val="0"/>
        <w:spacing w:line="400" w:lineRule="atLeast"/>
        <w:ind w:left="-105" w:leftChars="-50" w:right="-105" w:rightChars="-50" w:firstLine="480" w:firstLineChars="200"/>
        <w:jc w:val="left"/>
        <w:textAlignment w:val="auto"/>
        <w:rPr>
          <w:rFonts w:ascii="宋体" w:hAnsi="宋体" w:cs="宋体"/>
          <w:sz w:val="24"/>
          <w:szCs w:val="24"/>
        </w:rPr>
      </w:pPr>
      <w:r>
        <w:rPr>
          <w:rFonts w:hint="eastAsia" w:ascii="宋体" w:hAnsi="宋体" w:cs="宋体"/>
          <w:sz w:val="24"/>
          <w:szCs w:val="24"/>
        </w:rPr>
        <w:t>4、样品数量为预估数量，以实际监测项目为准进行费用结算；</w:t>
      </w:r>
    </w:p>
    <w:p>
      <w:pPr>
        <w:autoSpaceDE/>
        <w:autoSpaceDN/>
        <w:snapToGrid w:val="0"/>
        <w:spacing w:line="400" w:lineRule="atLeast"/>
        <w:ind w:left="-105" w:leftChars="-50" w:right="-105" w:rightChars="-50" w:firstLine="480" w:firstLineChars="200"/>
        <w:jc w:val="left"/>
        <w:textAlignment w:val="auto"/>
        <w:rPr>
          <w:rFonts w:ascii="宋体" w:hAnsi="宋体" w:cs="宋体"/>
          <w:sz w:val="24"/>
          <w:szCs w:val="24"/>
        </w:rPr>
      </w:pPr>
      <w:r>
        <w:rPr>
          <w:rFonts w:hint="eastAsia" w:ascii="宋体" w:hAnsi="宋体" w:cs="宋体"/>
          <w:sz w:val="24"/>
          <w:szCs w:val="24"/>
        </w:rPr>
        <w:t>5、以上项目要求同一检测单位承担，不得分包，所有工作内容均应符合国家有关的标准、规范、规定以及采购方要求。</w:t>
      </w:r>
    </w:p>
    <w:p>
      <w:pPr>
        <w:autoSpaceDE/>
        <w:autoSpaceDN/>
        <w:snapToGrid w:val="0"/>
        <w:spacing w:line="400" w:lineRule="atLeast"/>
        <w:ind w:left="-105" w:leftChars="-50" w:right="-105" w:rightChars="-50" w:firstLine="482" w:firstLineChars="200"/>
        <w:jc w:val="left"/>
        <w:textAlignment w:val="auto"/>
        <w:rPr>
          <w:rFonts w:ascii="宋体" w:hAnsi="宋体" w:cs="宋体"/>
          <w:b/>
          <w:sz w:val="24"/>
          <w:szCs w:val="24"/>
        </w:rPr>
      </w:pPr>
      <w:r>
        <w:rPr>
          <w:rFonts w:hint="eastAsia" w:ascii="宋体" w:hAnsi="宋体" w:cs="宋体"/>
          <w:b/>
          <w:sz w:val="24"/>
          <w:szCs w:val="24"/>
        </w:rPr>
        <w:t>四：服务内容</w:t>
      </w:r>
    </w:p>
    <w:p>
      <w:pPr>
        <w:pStyle w:val="20"/>
        <w:numPr>
          <w:ilvl w:val="0"/>
          <w:numId w:val="34"/>
        </w:numPr>
        <w:tabs>
          <w:tab w:val="left" w:pos="0"/>
        </w:tabs>
        <w:autoSpaceDE/>
        <w:autoSpaceDN/>
        <w:snapToGrid w:val="0"/>
        <w:spacing w:line="400" w:lineRule="atLeast"/>
        <w:ind w:right="105" w:rightChars="50" w:firstLineChars="0"/>
        <w:jc w:val="left"/>
        <w:textAlignment w:val="auto"/>
        <w:rPr>
          <w:rFonts w:ascii="宋体" w:hAnsi="宋体"/>
          <w:sz w:val="24"/>
          <w:szCs w:val="24"/>
        </w:rPr>
      </w:pPr>
      <w:r>
        <w:rPr>
          <w:rFonts w:hint="eastAsia" w:ascii="宋体" w:hAnsi="宋体"/>
          <w:sz w:val="24"/>
          <w:szCs w:val="24"/>
        </w:rPr>
        <w:t>企业环境自行监测（服务周期为2024年1月1日至2025年12月31日）。</w:t>
      </w:r>
    </w:p>
    <w:p>
      <w:pPr>
        <w:tabs>
          <w:tab w:val="left" w:pos="0"/>
        </w:tabs>
        <w:autoSpaceDE/>
        <w:autoSpaceDN/>
        <w:snapToGrid w:val="0"/>
        <w:spacing w:line="400" w:lineRule="atLeast"/>
        <w:ind w:right="105" w:rightChars="50" w:firstLine="480" w:firstLineChars="200"/>
        <w:jc w:val="left"/>
        <w:textAlignment w:val="auto"/>
        <w:rPr>
          <w:rFonts w:ascii="宋体" w:hAnsi="宋体"/>
          <w:sz w:val="24"/>
          <w:szCs w:val="24"/>
        </w:rPr>
      </w:pPr>
      <w:r>
        <w:rPr>
          <w:rFonts w:hint="eastAsia" w:ascii="宋体" w:hAnsi="宋体"/>
          <w:sz w:val="24"/>
          <w:szCs w:val="24"/>
        </w:rPr>
        <w:t>每个月20日之前完成当月监测内容的采样工作，每次检测的具体时间由双方协商确定。</w:t>
      </w:r>
    </w:p>
    <w:p>
      <w:pPr>
        <w:autoSpaceDE/>
        <w:autoSpaceDN/>
        <w:snapToGrid w:val="0"/>
        <w:spacing w:line="400" w:lineRule="atLeast"/>
        <w:ind w:right="-105" w:rightChars="-50"/>
        <w:jc w:val="center"/>
        <w:textAlignment w:val="auto"/>
        <w:rPr>
          <w:rFonts w:ascii="宋体" w:hAnsi="宋体" w:cs="宋体"/>
          <w:b/>
          <w:bCs/>
          <w:sz w:val="24"/>
          <w:szCs w:val="24"/>
        </w:rPr>
      </w:pPr>
      <w:r>
        <w:rPr>
          <w:rFonts w:hint="eastAsia" w:ascii="宋体" w:hAnsi="宋体" w:cs="宋体"/>
          <w:b/>
          <w:bCs/>
          <w:sz w:val="24"/>
          <w:szCs w:val="24"/>
        </w:rPr>
        <w:t>自行监测方案</w:t>
      </w:r>
    </w:p>
    <w:tbl>
      <w:tblPr>
        <w:tblStyle w:val="13"/>
        <w:tblW w:w="0" w:type="auto"/>
        <w:jc w:val="center"/>
        <w:tblLayout w:type="fixed"/>
        <w:tblCellMar>
          <w:top w:w="15" w:type="dxa"/>
          <w:left w:w="108" w:type="dxa"/>
          <w:bottom w:w="15" w:type="dxa"/>
          <w:right w:w="108" w:type="dxa"/>
        </w:tblCellMar>
      </w:tblPr>
      <w:tblGrid>
        <w:gridCol w:w="1651"/>
        <w:gridCol w:w="2700"/>
        <w:gridCol w:w="2761"/>
        <w:gridCol w:w="2176"/>
      </w:tblGrid>
      <w:tr>
        <w:tblPrEx>
          <w:tblCellMar>
            <w:top w:w="15" w:type="dxa"/>
            <w:left w:w="108" w:type="dxa"/>
            <w:bottom w:w="15" w:type="dxa"/>
            <w:right w:w="108" w:type="dxa"/>
          </w:tblCellMar>
        </w:tblPrEx>
        <w:trPr>
          <w:trHeight w:val="543" w:hRule="atLeast"/>
          <w:jc w:val="center"/>
        </w:trPr>
        <w:tc>
          <w:tcPr>
            <w:tcW w:w="1651" w:type="dxa"/>
            <w:tcBorders>
              <w:top w:val="single" w:color="000000" w:sz="4" w:space="0"/>
              <w:left w:val="single" w:color="000000" w:sz="4" w:space="0"/>
              <w:bottom w:val="single" w:color="000000" w:sz="4" w:space="0"/>
              <w:right w:val="single" w:color="000000" w:sz="4" w:space="0"/>
            </w:tcBorders>
            <w:vAlign w:val="center"/>
          </w:tcPr>
          <w:p>
            <w:pPr>
              <w:autoSpaceDE/>
              <w:autoSpaceDN/>
              <w:snapToGrid w:val="0"/>
              <w:spacing w:line="400" w:lineRule="atLeast"/>
              <w:ind w:right="-105" w:rightChars="-50" w:firstLine="210" w:firstLineChars="100"/>
              <w:jc w:val="center"/>
              <w:textAlignment w:val="auto"/>
              <w:rPr>
                <w:rFonts w:ascii="宋体" w:hAnsi="宋体" w:cs="宋体"/>
                <w:szCs w:val="21"/>
              </w:rPr>
            </w:pPr>
            <w:r>
              <w:rPr>
                <w:rFonts w:hint="eastAsia" w:ascii="宋体" w:hAnsi="宋体" w:cs="宋体"/>
                <w:szCs w:val="21"/>
              </w:rPr>
              <w:t>污染源类别</w:t>
            </w:r>
          </w:p>
        </w:tc>
        <w:tc>
          <w:tcPr>
            <w:tcW w:w="2700" w:type="dxa"/>
            <w:tcBorders>
              <w:top w:val="single" w:color="000000" w:sz="4" w:space="0"/>
              <w:left w:val="single" w:color="000000" w:sz="4" w:space="0"/>
              <w:bottom w:val="single" w:color="000000" w:sz="4" w:space="0"/>
              <w:right w:val="single" w:color="000000" w:sz="4" w:space="0"/>
            </w:tcBorders>
            <w:vAlign w:val="center"/>
          </w:tcPr>
          <w:p>
            <w:pPr>
              <w:autoSpaceDE/>
              <w:autoSpaceDN/>
              <w:snapToGrid w:val="0"/>
              <w:spacing w:line="400" w:lineRule="atLeast"/>
              <w:ind w:left="-105" w:leftChars="-50" w:right="-105" w:rightChars="-50" w:firstLine="420" w:firstLineChars="200"/>
              <w:jc w:val="center"/>
              <w:textAlignment w:val="auto"/>
              <w:rPr>
                <w:rFonts w:ascii="宋体" w:hAnsi="宋体" w:cs="宋体"/>
                <w:szCs w:val="21"/>
              </w:rPr>
            </w:pPr>
            <w:r>
              <w:rPr>
                <w:rFonts w:hint="eastAsia" w:ascii="宋体" w:hAnsi="宋体" w:cs="宋体"/>
                <w:szCs w:val="21"/>
              </w:rPr>
              <w:t>污染物名称</w:t>
            </w:r>
          </w:p>
        </w:tc>
        <w:tc>
          <w:tcPr>
            <w:tcW w:w="2761" w:type="dxa"/>
            <w:tcBorders>
              <w:top w:val="single" w:color="000000" w:sz="4" w:space="0"/>
              <w:left w:val="single" w:color="000000" w:sz="4" w:space="0"/>
              <w:bottom w:val="single" w:color="000000" w:sz="4" w:space="0"/>
              <w:right w:val="single" w:color="000000" w:sz="4" w:space="0"/>
            </w:tcBorders>
            <w:vAlign w:val="center"/>
          </w:tcPr>
          <w:p>
            <w:pPr>
              <w:autoSpaceDE/>
              <w:autoSpaceDN/>
              <w:snapToGrid w:val="0"/>
              <w:spacing w:line="400" w:lineRule="atLeast"/>
              <w:ind w:right="-105" w:rightChars="-50"/>
              <w:jc w:val="center"/>
              <w:textAlignment w:val="auto"/>
              <w:rPr>
                <w:rFonts w:ascii="宋体" w:hAnsi="宋体" w:cs="宋体"/>
                <w:szCs w:val="21"/>
              </w:rPr>
            </w:pPr>
            <w:r>
              <w:rPr>
                <w:rFonts w:hint="eastAsia" w:ascii="宋体" w:hAnsi="宋体" w:cs="宋体"/>
                <w:szCs w:val="21"/>
              </w:rPr>
              <w:t>手工监测采样方法及个数</w:t>
            </w:r>
          </w:p>
        </w:tc>
        <w:tc>
          <w:tcPr>
            <w:tcW w:w="2176" w:type="dxa"/>
            <w:tcBorders>
              <w:top w:val="single" w:color="000000" w:sz="4" w:space="0"/>
              <w:left w:val="single" w:color="000000" w:sz="4" w:space="0"/>
              <w:bottom w:val="single" w:color="000000" w:sz="4" w:space="0"/>
              <w:right w:val="single" w:color="000000" w:sz="4" w:space="0"/>
            </w:tcBorders>
            <w:vAlign w:val="center"/>
          </w:tcPr>
          <w:p>
            <w:pPr>
              <w:autoSpaceDE/>
              <w:autoSpaceDN/>
              <w:snapToGrid w:val="0"/>
              <w:spacing w:line="400" w:lineRule="atLeast"/>
              <w:ind w:left="-105" w:leftChars="-50" w:right="-105" w:rightChars="-50" w:firstLine="420" w:firstLineChars="200"/>
              <w:jc w:val="center"/>
              <w:textAlignment w:val="auto"/>
              <w:rPr>
                <w:rFonts w:ascii="宋体" w:hAnsi="宋体" w:cs="宋体"/>
                <w:szCs w:val="21"/>
              </w:rPr>
            </w:pPr>
            <w:r>
              <w:rPr>
                <w:rFonts w:hint="eastAsia" w:ascii="宋体" w:hAnsi="宋体" w:cs="宋体"/>
                <w:szCs w:val="21"/>
              </w:rPr>
              <w:t>手工监测频次</w:t>
            </w:r>
          </w:p>
        </w:tc>
      </w:tr>
      <w:tr>
        <w:tblPrEx>
          <w:tblCellMar>
            <w:top w:w="15" w:type="dxa"/>
            <w:left w:w="108" w:type="dxa"/>
            <w:bottom w:w="15" w:type="dxa"/>
            <w:right w:w="108" w:type="dxa"/>
          </w:tblCellMar>
        </w:tblPrEx>
        <w:trPr>
          <w:trHeight w:val="1874" w:hRule="atLeast"/>
          <w:jc w:val="center"/>
        </w:trPr>
        <w:tc>
          <w:tcPr>
            <w:tcW w:w="16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szCs w:val="21"/>
              </w:rPr>
              <w:t>生产废水</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szCs w:val="21"/>
              </w:rPr>
              <w:t>pH值、溶解性总固体、化学需氧量</w:t>
            </w: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szCs w:val="21"/>
              </w:rPr>
              <w:t>瞬时采样 至少3个瞬时样</w:t>
            </w:r>
          </w:p>
        </w:tc>
        <w:tc>
          <w:tcPr>
            <w:tcW w:w="2176" w:type="dxa"/>
            <w:tcBorders>
              <w:top w:val="single" w:color="000000" w:sz="4" w:space="0"/>
              <w:left w:val="single" w:color="000000" w:sz="4" w:space="0"/>
              <w:bottom w:val="single" w:color="000000" w:sz="4" w:space="0"/>
              <w:right w:val="single" w:color="000000" w:sz="4" w:space="0"/>
            </w:tcBorders>
            <w:vAlign w:val="center"/>
          </w:tcPr>
          <w:p>
            <w:pPr>
              <w:autoSpaceDE/>
              <w:autoSpaceDN/>
              <w:snapToGrid w:val="0"/>
              <w:spacing w:line="400" w:lineRule="atLeast"/>
              <w:ind w:right="-105" w:rightChars="-50"/>
              <w:jc w:val="center"/>
              <w:textAlignment w:val="auto"/>
              <w:rPr>
                <w:rFonts w:ascii="宋体" w:hAnsi="宋体" w:cs="宋体"/>
                <w:szCs w:val="21"/>
              </w:rPr>
            </w:pPr>
            <w:r>
              <w:rPr>
                <w:rFonts w:ascii="宋体" w:hAnsi="宋体" w:cs="宋体"/>
                <w:szCs w:val="21"/>
              </w:rPr>
              <w:t>1次/月</w:t>
            </w:r>
          </w:p>
        </w:tc>
      </w:tr>
      <w:tr>
        <w:tblPrEx>
          <w:tblCellMar>
            <w:top w:w="15" w:type="dxa"/>
            <w:left w:w="108" w:type="dxa"/>
            <w:bottom w:w="15" w:type="dxa"/>
            <w:right w:w="108" w:type="dxa"/>
          </w:tblCellMar>
        </w:tblPrEx>
        <w:trPr>
          <w:trHeight w:val="603" w:hRule="atLeast"/>
          <w:jc w:val="center"/>
        </w:trPr>
        <w:tc>
          <w:tcPr>
            <w:tcW w:w="16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szCs w:val="21"/>
              </w:rPr>
              <w:t>有组织废气</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szCs w:val="21"/>
              </w:rPr>
              <w:t>烟气黑度、汞及其化合物、氨（氨气）</w:t>
            </w: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szCs w:val="21"/>
              </w:rPr>
              <w:t>非连续采样 至少3个</w:t>
            </w:r>
          </w:p>
        </w:tc>
        <w:tc>
          <w:tcPr>
            <w:tcW w:w="2176" w:type="dxa"/>
            <w:tcBorders>
              <w:top w:val="single" w:color="000000" w:sz="4" w:space="0"/>
              <w:left w:val="single" w:color="000000" w:sz="4" w:space="0"/>
              <w:bottom w:val="single" w:color="000000" w:sz="4" w:space="0"/>
              <w:right w:val="single" w:color="000000" w:sz="4" w:space="0"/>
            </w:tcBorders>
            <w:vAlign w:val="center"/>
          </w:tcPr>
          <w:p>
            <w:pPr>
              <w:autoSpaceDE/>
              <w:autoSpaceDN/>
              <w:snapToGrid w:val="0"/>
              <w:spacing w:line="400" w:lineRule="atLeast"/>
              <w:ind w:left="-105" w:leftChars="-50" w:right="-105" w:rightChars="-50"/>
              <w:jc w:val="center"/>
              <w:textAlignment w:val="auto"/>
              <w:rPr>
                <w:rFonts w:ascii="宋体" w:hAnsi="宋体" w:cs="宋体"/>
                <w:szCs w:val="21"/>
              </w:rPr>
            </w:pPr>
            <w:r>
              <w:rPr>
                <w:rFonts w:ascii="宋体" w:hAnsi="宋体" w:cs="宋体"/>
                <w:szCs w:val="21"/>
              </w:rPr>
              <w:t>1次/季度/炉（</w:t>
            </w:r>
            <w:r>
              <w:rPr>
                <w:rFonts w:hint="eastAsia" w:ascii="宋体" w:hAnsi="宋体" w:cs="宋体"/>
                <w:szCs w:val="21"/>
              </w:rPr>
              <w:t>2</w:t>
            </w:r>
            <w:r>
              <w:rPr>
                <w:rFonts w:ascii="宋体" w:hAnsi="宋体" w:cs="宋体"/>
                <w:szCs w:val="21"/>
              </w:rPr>
              <w:t>台</w:t>
            </w:r>
            <w:r>
              <w:rPr>
                <w:rFonts w:hint="eastAsia" w:ascii="宋体" w:hAnsi="宋体" w:cs="宋体"/>
                <w:szCs w:val="21"/>
              </w:rPr>
              <w:t>燃煤</w:t>
            </w:r>
            <w:r>
              <w:rPr>
                <w:rFonts w:ascii="宋体" w:hAnsi="宋体" w:cs="宋体"/>
                <w:szCs w:val="21"/>
              </w:rPr>
              <w:t>炉）</w:t>
            </w:r>
          </w:p>
        </w:tc>
      </w:tr>
      <w:tr>
        <w:tblPrEx>
          <w:tblCellMar>
            <w:top w:w="15" w:type="dxa"/>
            <w:left w:w="108" w:type="dxa"/>
            <w:bottom w:w="15" w:type="dxa"/>
            <w:right w:w="108" w:type="dxa"/>
          </w:tblCellMar>
        </w:tblPrEx>
        <w:trPr>
          <w:trHeight w:val="603" w:hRule="atLeast"/>
          <w:jc w:val="center"/>
        </w:trPr>
        <w:tc>
          <w:tcPr>
            <w:tcW w:w="16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szCs w:val="21"/>
              </w:rPr>
              <w:t>有组织废气</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szCs w:val="21"/>
              </w:rPr>
              <w:t>二氧化硫、颗粒物</w:t>
            </w:r>
            <w:r>
              <w:rPr>
                <w:rStyle w:val="19"/>
                <w:rFonts w:hint="default"/>
              </w:rPr>
              <w:t>、烟气黑度</w:t>
            </w: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szCs w:val="21"/>
              </w:rPr>
              <w:t>非连续采样 至少3个</w:t>
            </w:r>
          </w:p>
        </w:tc>
        <w:tc>
          <w:tcPr>
            <w:tcW w:w="2176" w:type="dxa"/>
            <w:tcBorders>
              <w:top w:val="single" w:color="000000" w:sz="4" w:space="0"/>
              <w:left w:val="single" w:color="000000" w:sz="4" w:space="0"/>
              <w:bottom w:val="single" w:color="000000" w:sz="4" w:space="0"/>
              <w:right w:val="single" w:color="000000" w:sz="4" w:space="0"/>
            </w:tcBorders>
            <w:vAlign w:val="center"/>
          </w:tcPr>
          <w:p>
            <w:pPr>
              <w:autoSpaceDE/>
              <w:autoSpaceDN/>
              <w:snapToGrid w:val="0"/>
              <w:spacing w:line="400" w:lineRule="atLeast"/>
              <w:ind w:left="-105" w:leftChars="-50" w:right="-105" w:rightChars="-50"/>
              <w:jc w:val="center"/>
              <w:textAlignment w:val="auto"/>
              <w:rPr>
                <w:rFonts w:ascii="宋体" w:hAnsi="宋体" w:cs="宋体"/>
                <w:szCs w:val="21"/>
              </w:rPr>
            </w:pPr>
            <w:r>
              <w:rPr>
                <w:rFonts w:ascii="宋体" w:hAnsi="宋体" w:cs="宋体"/>
                <w:szCs w:val="21"/>
              </w:rPr>
              <w:t>1次/季度（</w:t>
            </w:r>
            <w:r>
              <w:rPr>
                <w:rFonts w:hint="eastAsia" w:ascii="宋体" w:hAnsi="宋体" w:cs="宋体"/>
                <w:szCs w:val="21"/>
              </w:rPr>
              <w:t>燃气</w:t>
            </w:r>
            <w:r>
              <w:rPr>
                <w:rFonts w:ascii="宋体" w:hAnsi="宋体" w:cs="宋体"/>
                <w:szCs w:val="21"/>
              </w:rPr>
              <w:t>炉）</w:t>
            </w:r>
          </w:p>
        </w:tc>
      </w:tr>
      <w:tr>
        <w:tblPrEx>
          <w:tblCellMar>
            <w:top w:w="15" w:type="dxa"/>
            <w:left w:w="108" w:type="dxa"/>
            <w:bottom w:w="15" w:type="dxa"/>
            <w:right w:w="108" w:type="dxa"/>
          </w:tblCellMar>
        </w:tblPrEx>
        <w:trPr>
          <w:trHeight w:val="603" w:hRule="atLeast"/>
          <w:jc w:val="center"/>
        </w:trPr>
        <w:tc>
          <w:tcPr>
            <w:tcW w:w="16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szCs w:val="21"/>
              </w:rPr>
              <w:t>无组织废气</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szCs w:val="21"/>
              </w:rPr>
              <w:t>氨（氨气）</w:t>
            </w: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szCs w:val="21"/>
              </w:rPr>
              <w:t>非连续采样 至少3个</w:t>
            </w:r>
          </w:p>
        </w:tc>
        <w:tc>
          <w:tcPr>
            <w:tcW w:w="2176" w:type="dxa"/>
            <w:tcBorders>
              <w:top w:val="single" w:color="000000" w:sz="4" w:space="0"/>
              <w:left w:val="single" w:color="000000" w:sz="4" w:space="0"/>
              <w:bottom w:val="single" w:color="000000" w:sz="4" w:space="0"/>
              <w:right w:val="single" w:color="000000" w:sz="4" w:space="0"/>
            </w:tcBorders>
            <w:vAlign w:val="center"/>
          </w:tcPr>
          <w:p>
            <w:pPr>
              <w:autoSpaceDE/>
              <w:autoSpaceDN/>
              <w:snapToGrid w:val="0"/>
              <w:spacing w:line="400" w:lineRule="atLeast"/>
              <w:ind w:right="-105" w:rightChars="-50"/>
              <w:jc w:val="center"/>
              <w:textAlignment w:val="auto"/>
              <w:rPr>
                <w:rFonts w:ascii="宋体" w:hAnsi="宋体" w:cs="宋体"/>
                <w:szCs w:val="21"/>
              </w:rPr>
            </w:pPr>
            <w:r>
              <w:rPr>
                <w:rFonts w:ascii="宋体" w:hAnsi="宋体" w:cs="宋体"/>
                <w:szCs w:val="21"/>
              </w:rPr>
              <w:t>1次/季</w:t>
            </w:r>
            <w:r>
              <w:rPr>
                <w:rFonts w:hint="eastAsia" w:ascii="宋体" w:hAnsi="宋体" w:cs="宋体"/>
                <w:szCs w:val="21"/>
              </w:rPr>
              <w:t>（4个点）</w:t>
            </w:r>
          </w:p>
        </w:tc>
      </w:tr>
      <w:tr>
        <w:tblPrEx>
          <w:tblCellMar>
            <w:top w:w="15" w:type="dxa"/>
            <w:left w:w="108" w:type="dxa"/>
            <w:bottom w:w="15" w:type="dxa"/>
            <w:right w:w="108" w:type="dxa"/>
          </w:tblCellMar>
        </w:tblPrEx>
        <w:trPr>
          <w:trHeight w:val="603" w:hRule="atLeast"/>
          <w:jc w:val="center"/>
        </w:trPr>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szCs w:val="21"/>
              </w:rPr>
              <w:t>颗粒物、非甲烷总烃（厂界）</w:t>
            </w: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szCs w:val="21"/>
              </w:rPr>
              <w:t>非连续采样 至少3个</w:t>
            </w:r>
          </w:p>
        </w:tc>
        <w:tc>
          <w:tcPr>
            <w:tcW w:w="2176" w:type="dxa"/>
            <w:tcBorders>
              <w:top w:val="single" w:color="000000" w:sz="4" w:space="0"/>
              <w:left w:val="single" w:color="000000" w:sz="4" w:space="0"/>
              <w:bottom w:val="single" w:color="000000" w:sz="4" w:space="0"/>
              <w:right w:val="single" w:color="000000" w:sz="4" w:space="0"/>
            </w:tcBorders>
            <w:vAlign w:val="center"/>
          </w:tcPr>
          <w:p>
            <w:pPr>
              <w:autoSpaceDE/>
              <w:autoSpaceDN/>
              <w:snapToGrid w:val="0"/>
              <w:spacing w:line="400" w:lineRule="atLeast"/>
              <w:ind w:right="-105" w:rightChars="-50"/>
              <w:jc w:val="center"/>
              <w:textAlignment w:val="auto"/>
              <w:rPr>
                <w:rFonts w:ascii="宋体" w:hAnsi="宋体" w:cs="宋体"/>
                <w:szCs w:val="21"/>
              </w:rPr>
            </w:pPr>
            <w:r>
              <w:rPr>
                <w:rFonts w:ascii="宋体" w:hAnsi="宋体" w:cs="宋体"/>
                <w:szCs w:val="21"/>
              </w:rPr>
              <w:t>1次/季</w:t>
            </w:r>
            <w:r>
              <w:rPr>
                <w:rFonts w:hint="eastAsia" w:ascii="宋体" w:hAnsi="宋体" w:cs="宋体"/>
                <w:szCs w:val="21"/>
              </w:rPr>
              <w:t>（4个点）</w:t>
            </w:r>
          </w:p>
        </w:tc>
      </w:tr>
      <w:tr>
        <w:tblPrEx>
          <w:tblCellMar>
            <w:top w:w="15" w:type="dxa"/>
            <w:left w:w="108" w:type="dxa"/>
            <w:bottom w:w="15" w:type="dxa"/>
            <w:right w:w="108" w:type="dxa"/>
          </w:tblCellMar>
        </w:tblPrEx>
        <w:trPr>
          <w:trHeight w:val="603" w:hRule="atLeast"/>
          <w:jc w:val="center"/>
        </w:trPr>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szCs w:val="21"/>
              </w:rPr>
              <w:t>非甲烷总烃（油库）</w:t>
            </w: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szCs w:val="21"/>
              </w:rPr>
              <w:t>非连续采样 至少3个</w:t>
            </w:r>
          </w:p>
        </w:tc>
        <w:tc>
          <w:tcPr>
            <w:tcW w:w="2176" w:type="dxa"/>
            <w:tcBorders>
              <w:top w:val="single" w:color="000000" w:sz="4" w:space="0"/>
              <w:left w:val="single" w:color="000000" w:sz="4" w:space="0"/>
              <w:bottom w:val="single" w:color="000000" w:sz="4" w:space="0"/>
              <w:right w:val="single" w:color="000000" w:sz="4" w:space="0"/>
            </w:tcBorders>
            <w:vAlign w:val="center"/>
          </w:tcPr>
          <w:p>
            <w:pPr>
              <w:autoSpaceDE/>
              <w:autoSpaceDN/>
              <w:snapToGrid w:val="0"/>
              <w:spacing w:line="400" w:lineRule="atLeast"/>
              <w:ind w:right="-105" w:rightChars="-50"/>
              <w:jc w:val="center"/>
              <w:textAlignment w:val="auto"/>
              <w:rPr>
                <w:rFonts w:ascii="宋体" w:hAnsi="宋体" w:cs="宋体"/>
                <w:szCs w:val="21"/>
              </w:rPr>
            </w:pPr>
            <w:r>
              <w:rPr>
                <w:rFonts w:ascii="宋体" w:hAnsi="宋体" w:cs="宋体"/>
                <w:szCs w:val="21"/>
              </w:rPr>
              <w:t>1次/季</w:t>
            </w:r>
            <w:r>
              <w:rPr>
                <w:rFonts w:hint="eastAsia" w:ascii="宋体" w:hAnsi="宋体" w:cs="宋体"/>
                <w:szCs w:val="21"/>
              </w:rPr>
              <w:t>（4个点）</w:t>
            </w:r>
          </w:p>
        </w:tc>
      </w:tr>
      <w:tr>
        <w:tblPrEx>
          <w:tblCellMar>
            <w:top w:w="15" w:type="dxa"/>
            <w:left w:w="108" w:type="dxa"/>
            <w:bottom w:w="15" w:type="dxa"/>
            <w:right w:w="108" w:type="dxa"/>
          </w:tblCellMar>
        </w:tblPrEx>
        <w:trPr>
          <w:trHeight w:val="603" w:hRule="atLeast"/>
          <w:jc w:val="center"/>
        </w:trPr>
        <w:tc>
          <w:tcPr>
            <w:tcW w:w="16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szCs w:val="21"/>
              </w:rPr>
              <w:t>噪声</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szCs w:val="21"/>
              </w:rPr>
              <w:t>厂界噪声</w:t>
            </w:r>
          </w:p>
        </w:tc>
        <w:tc>
          <w:tcPr>
            <w:tcW w:w="2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color w:val="000000"/>
                <w:sz w:val="22"/>
                <w:szCs w:val="22"/>
              </w:rPr>
              <w:t>昼夜</w:t>
            </w:r>
          </w:p>
        </w:tc>
        <w:tc>
          <w:tcPr>
            <w:tcW w:w="2176" w:type="dxa"/>
            <w:tcBorders>
              <w:top w:val="single" w:color="000000" w:sz="4" w:space="0"/>
              <w:left w:val="single" w:color="000000" w:sz="4" w:space="0"/>
              <w:bottom w:val="single" w:color="000000" w:sz="4" w:space="0"/>
              <w:right w:val="single" w:color="000000" w:sz="4" w:space="0"/>
            </w:tcBorders>
            <w:vAlign w:val="center"/>
          </w:tcPr>
          <w:p>
            <w:pPr>
              <w:autoSpaceDE/>
              <w:autoSpaceDN/>
              <w:snapToGrid w:val="0"/>
              <w:spacing w:line="400" w:lineRule="atLeast"/>
              <w:ind w:right="-105" w:rightChars="-50"/>
              <w:jc w:val="center"/>
              <w:textAlignment w:val="auto"/>
              <w:rPr>
                <w:rFonts w:ascii="宋体" w:hAnsi="宋体" w:cs="宋体"/>
                <w:szCs w:val="21"/>
              </w:rPr>
            </w:pPr>
            <w:r>
              <w:rPr>
                <w:rFonts w:ascii="宋体" w:hAnsi="宋体" w:cs="宋体"/>
                <w:szCs w:val="21"/>
              </w:rPr>
              <w:t>1次/</w:t>
            </w:r>
            <w:r>
              <w:rPr>
                <w:rFonts w:hint="eastAsia" w:ascii="宋体" w:hAnsi="宋体" w:cs="宋体"/>
                <w:szCs w:val="21"/>
              </w:rPr>
              <w:t>季度</w:t>
            </w:r>
          </w:p>
        </w:tc>
      </w:tr>
    </w:tbl>
    <w:p>
      <w:pPr>
        <w:autoSpaceDE/>
        <w:autoSpaceDN/>
        <w:snapToGrid w:val="0"/>
        <w:spacing w:line="400" w:lineRule="atLeast"/>
        <w:ind w:right="-105" w:rightChars="-50"/>
        <w:textAlignment w:val="auto"/>
        <w:rPr>
          <w:rFonts w:ascii="宋体" w:hAnsi="宋体" w:cs="宋体"/>
          <w:b/>
          <w:bCs/>
          <w:sz w:val="24"/>
          <w:szCs w:val="24"/>
        </w:rPr>
      </w:pPr>
    </w:p>
    <w:p>
      <w:pPr>
        <w:pStyle w:val="20"/>
        <w:numPr>
          <w:ilvl w:val="0"/>
          <w:numId w:val="34"/>
        </w:numPr>
        <w:tabs>
          <w:tab w:val="left" w:pos="0"/>
        </w:tabs>
        <w:autoSpaceDE/>
        <w:autoSpaceDN/>
        <w:snapToGrid w:val="0"/>
        <w:spacing w:line="400" w:lineRule="atLeast"/>
        <w:ind w:right="105" w:rightChars="50" w:firstLineChars="0"/>
        <w:jc w:val="left"/>
        <w:textAlignment w:val="auto"/>
        <w:rPr>
          <w:rFonts w:ascii="宋体" w:hAnsi="宋体"/>
          <w:sz w:val="24"/>
          <w:szCs w:val="24"/>
        </w:rPr>
      </w:pPr>
      <w:r>
        <w:rPr>
          <w:rFonts w:hint="eastAsia" w:ascii="宋体" w:hAnsi="宋体"/>
          <w:sz w:val="24"/>
          <w:szCs w:val="24"/>
        </w:rPr>
        <w:t>燃煤锅炉烟气比对监测（服务周期为2024年1月1日至2025年12月31日）</w:t>
      </w:r>
    </w:p>
    <w:p>
      <w:pPr>
        <w:pStyle w:val="4"/>
        <w:spacing w:line="400" w:lineRule="atLeast"/>
        <w:ind w:firstLine="520" w:firstLineChars="200"/>
        <w:jc w:val="both"/>
        <w:textAlignment w:val="auto"/>
        <w:rPr>
          <w:rFonts w:ascii="宋体" w:hAnsi="宋体" w:eastAsia="宋体" w:cs="宋体"/>
          <w:bCs/>
          <w:sz w:val="24"/>
          <w:szCs w:val="24"/>
        </w:rPr>
      </w:pPr>
      <w:r>
        <w:rPr>
          <w:rFonts w:hint="eastAsia" w:ascii="宋体" w:hAnsi="宋体" w:eastAsia="宋体" w:cs="宋体"/>
          <w:b w:val="0"/>
          <w:bCs/>
          <w:sz w:val="24"/>
          <w:szCs w:val="24"/>
        </w:rPr>
        <w:t>采购方根据每季度锅炉生产运行情况确定比对监测时间及比对检测的锅炉。</w:t>
      </w:r>
    </w:p>
    <w:p>
      <w:pPr>
        <w:pStyle w:val="5"/>
        <w:rPr>
          <w:rFonts w:ascii="宋体" w:hAnsi="宋体" w:cs="宋体"/>
          <w:bCs/>
          <w:sz w:val="24"/>
          <w:szCs w:val="24"/>
        </w:rPr>
      </w:pPr>
    </w:p>
    <w:p>
      <w:pPr>
        <w:pStyle w:val="4"/>
        <w:spacing w:line="400" w:lineRule="atLeast"/>
        <w:jc w:val="center"/>
        <w:textAlignment w:val="auto"/>
        <w:rPr>
          <w:rFonts w:ascii="宋体" w:hAnsi="宋体" w:eastAsia="宋体"/>
          <w:b w:val="0"/>
          <w:sz w:val="24"/>
          <w:szCs w:val="24"/>
        </w:rPr>
      </w:pPr>
      <w:r>
        <w:rPr>
          <w:rFonts w:hint="eastAsia" w:ascii="宋体" w:hAnsi="宋体" w:cs="宋体"/>
          <w:sz w:val="24"/>
          <w:szCs w:val="24"/>
        </w:rPr>
        <w:t>比对监测方案</w:t>
      </w:r>
    </w:p>
    <w:tbl>
      <w:tblPr>
        <w:tblStyle w:val="13"/>
        <w:tblW w:w="0" w:type="auto"/>
        <w:jc w:val="center"/>
        <w:tblLayout w:type="fixed"/>
        <w:tblCellMar>
          <w:top w:w="0" w:type="dxa"/>
          <w:left w:w="108" w:type="dxa"/>
          <w:bottom w:w="0" w:type="dxa"/>
          <w:right w:w="108" w:type="dxa"/>
        </w:tblCellMar>
      </w:tblPr>
      <w:tblGrid>
        <w:gridCol w:w="1338"/>
        <w:gridCol w:w="1469"/>
        <w:gridCol w:w="2760"/>
        <w:gridCol w:w="2151"/>
        <w:gridCol w:w="1570"/>
      </w:tblGrid>
      <w:tr>
        <w:tblPrEx>
          <w:tblCellMar>
            <w:top w:w="0" w:type="dxa"/>
            <w:left w:w="108" w:type="dxa"/>
            <w:bottom w:w="0" w:type="dxa"/>
            <w:right w:w="108" w:type="dxa"/>
          </w:tblCellMar>
        </w:tblPrEx>
        <w:trPr>
          <w:trHeight w:val="600" w:hRule="atLeast"/>
          <w:jc w:val="center"/>
        </w:trPr>
        <w:tc>
          <w:tcPr>
            <w:tcW w:w="1338"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监测项目</w:t>
            </w:r>
          </w:p>
        </w:tc>
        <w:tc>
          <w:tcPr>
            <w:tcW w:w="1469" w:type="dxa"/>
            <w:tcBorders>
              <w:top w:val="single" w:color="auto" w:sz="4" w:space="0"/>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监测频率</w:t>
            </w:r>
          </w:p>
        </w:tc>
        <w:tc>
          <w:tcPr>
            <w:tcW w:w="2760" w:type="dxa"/>
            <w:tcBorders>
              <w:top w:val="single" w:color="auto" w:sz="4" w:space="0"/>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监测方法</w:t>
            </w:r>
          </w:p>
        </w:tc>
        <w:tc>
          <w:tcPr>
            <w:tcW w:w="2151" w:type="dxa"/>
            <w:tcBorders>
              <w:top w:val="single" w:color="auto" w:sz="4" w:space="0"/>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样品数量（个）</w:t>
            </w:r>
          </w:p>
        </w:tc>
        <w:tc>
          <w:tcPr>
            <w:tcW w:w="1570" w:type="dxa"/>
            <w:tcBorders>
              <w:top w:val="single" w:color="auto" w:sz="4" w:space="0"/>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其他说明</w:t>
            </w:r>
          </w:p>
        </w:tc>
      </w:tr>
      <w:tr>
        <w:trPr>
          <w:trHeight w:val="840" w:hRule="atLeast"/>
          <w:jc w:val="center"/>
        </w:trPr>
        <w:tc>
          <w:tcPr>
            <w:tcW w:w="1338" w:type="dxa"/>
            <w:tcBorders>
              <w:top w:val="nil"/>
              <w:left w:val="single" w:color="auto" w:sz="4" w:space="0"/>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二氧化硫</w:t>
            </w:r>
          </w:p>
        </w:tc>
        <w:tc>
          <w:tcPr>
            <w:tcW w:w="1469" w:type="dxa"/>
            <w:tcBorders>
              <w:top w:val="nil"/>
              <w:left w:val="nil"/>
              <w:bottom w:val="single" w:color="auto" w:sz="4" w:space="0"/>
              <w:right w:val="single" w:color="auto" w:sz="4" w:space="0"/>
            </w:tcBorders>
            <w:vAlign w:val="center"/>
          </w:tcPr>
          <w:p>
            <w:pPr>
              <w:widowControl/>
              <w:autoSpaceDE/>
              <w:autoSpaceDN/>
              <w:adjustRightInd/>
              <w:spacing w:line="240" w:lineRule="auto"/>
              <w:jc w:val="left"/>
              <w:textAlignment w:val="auto"/>
              <w:rPr>
                <w:rFonts w:ascii="宋体" w:hAnsi="宋体" w:cs="宋体"/>
                <w:color w:val="000000"/>
                <w:szCs w:val="21"/>
              </w:rPr>
            </w:pPr>
            <w:r>
              <w:rPr>
                <w:rFonts w:hint="eastAsia" w:ascii="宋体" w:hAnsi="宋体" w:cs="宋体"/>
                <w:color w:val="000000"/>
                <w:szCs w:val="21"/>
              </w:rPr>
              <w:t>监测一天，每天测定9个数据</w:t>
            </w:r>
          </w:p>
        </w:tc>
        <w:tc>
          <w:tcPr>
            <w:tcW w:w="276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HJ57-2017《固定污染源废气 二氧化硫的测定 定电位电解法》</w:t>
            </w:r>
          </w:p>
        </w:tc>
        <w:tc>
          <w:tcPr>
            <w:tcW w:w="2151" w:type="dxa"/>
            <w:tcBorders>
              <w:top w:val="nil"/>
              <w:left w:val="nil"/>
              <w:bottom w:val="single" w:color="auto" w:sz="4" w:space="0"/>
              <w:right w:val="single" w:color="auto" w:sz="4" w:space="0"/>
            </w:tcBorders>
            <w:noWrap/>
            <w:vAlign w:val="center"/>
          </w:tcPr>
          <w:p>
            <w:pPr>
              <w:widowControl/>
              <w:autoSpaceDE/>
              <w:autoSpaceDN/>
              <w:adjustRightInd/>
              <w:spacing w:line="240" w:lineRule="auto"/>
              <w:jc w:val="left"/>
              <w:textAlignment w:val="auto"/>
              <w:rPr>
                <w:rFonts w:ascii="宋体" w:hAnsi="宋体" w:cs="宋体"/>
                <w:color w:val="000000"/>
                <w:sz w:val="22"/>
                <w:szCs w:val="22"/>
              </w:rPr>
            </w:pPr>
            <w:r>
              <w:rPr>
                <w:rFonts w:hint="eastAsia" w:ascii="宋体" w:hAnsi="宋体" w:cs="宋体"/>
                <w:color w:val="000000"/>
                <w:sz w:val="22"/>
                <w:szCs w:val="22"/>
              </w:rPr>
              <w:t>1次/季度/炉（2台炉）</w:t>
            </w:r>
          </w:p>
        </w:tc>
        <w:tc>
          <w:tcPr>
            <w:tcW w:w="157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排放浓度≤35mg/m</w:t>
            </w:r>
            <w:r>
              <w:rPr>
                <w:rFonts w:hint="eastAsia" w:ascii="宋体" w:hAnsi="宋体" w:cs="宋体"/>
                <w:color w:val="000000"/>
                <w:szCs w:val="21"/>
                <w:vertAlign w:val="superscript"/>
              </w:rPr>
              <w:t>3</w:t>
            </w:r>
          </w:p>
        </w:tc>
      </w:tr>
      <w:tr>
        <w:tblPrEx>
          <w:tblCellMar>
            <w:top w:w="0" w:type="dxa"/>
            <w:left w:w="108" w:type="dxa"/>
            <w:bottom w:w="0" w:type="dxa"/>
            <w:right w:w="108" w:type="dxa"/>
          </w:tblCellMar>
        </w:tblPrEx>
        <w:trPr>
          <w:trHeight w:val="840" w:hRule="atLeast"/>
          <w:jc w:val="center"/>
        </w:trPr>
        <w:tc>
          <w:tcPr>
            <w:tcW w:w="1338" w:type="dxa"/>
            <w:tcBorders>
              <w:top w:val="nil"/>
              <w:left w:val="single" w:color="auto" w:sz="4" w:space="0"/>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氮氧化物</w:t>
            </w:r>
          </w:p>
        </w:tc>
        <w:tc>
          <w:tcPr>
            <w:tcW w:w="1469" w:type="dxa"/>
            <w:tcBorders>
              <w:top w:val="nil"/>
              <w:left w:val="nil"/>
              <w:bottom w:val="single" w:color="auto" w:sz="4" w:space="0"/>
              <w:right w:val="single" w:color="auto" w:sz="4" w:space="0"/>
            </w:tcBorders>
            <w:vAlign w:val="center"/>
          </w:tcPr>
          <w:p>
            <w:pPr>
              <w:widowControl/>
              <w:autoSpaceDE/>
              <w:autoSpaceDN/>
              <w:adjustRightInd/>
              <w:spacing w:line="240" w:lineRule="auto"/>
              <w:jc w:val="left"/>
              <w:textAlignment w:val="auto"/>
              <w:rPr>
                <w:rFonts w:ascii="宋体" w:hAnsi="宋体" w:cs="宋体"/>
                <w:color w:val="000000"/>
                <w:szCs w:val="21"/>
              </w:rPr>
            </w:pPr>
            <w:r>
              <w:rPr>
                <w:rFonts w:hint="eastAsia" w:ascii="宋体" w:hAnsi="宋体" w:cs="宋体"/>
                <w:color w:val="000000"/>
                <w:szCs w:val="21"/>
              </w:rPr>
              <w:t>监测一天，每天测定9个数据</w:t>
            </w:r>
          </w:p>
        </w:tc>
        <w:tc>
          <w:tcPr>
            <w:tcW w:w="276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HJ693-2014《固定污染源废气 氮氧化物硫的测定 定电位电解法》</w:t>
            </w:r>
          </w:p>
        </w:tc>
        <w:tc>
          <w:tcPr>
            <w:tcW w:w="2151" w:type="dxa"/>
            <w:tcBorders>
              <w:top w:val="nil"/>
              <w:left w:val="nil"/>
              <w:bottom w:val="single" w:color="auto" w:sz="4" w:space="0"/>
              <w:right w:val="single" w:color="auto" w:sz="4" w:space="0"/>
            </w:tcBorders>
            <w:noWrap/>
            <w:vAlign w:val="center"/>
          </w:tcPr>
          <w:p>
            <w:pPr>
              <w:widowControl/>
              <w:autoSpaceDE/>
              <w:autoSpaceDN/>
              <w:adjustRightInd/>
              <w:spacing w:line="240" w:lineRule="auto"/>
              <w:jc w:val="left"/>
              <w:textAlignment w:val="auto"/>
              <w:rPr>
                <w:rFonts w:ascii="宋体" w:hAnsi="宋体" w:cs="宋体"/>
                <w:color w:val="000000"/>
                <w:sz w:val="22"/>
                <w:szCs w:val="22"/>
              </w:rPr>
            </w:pPr>
            <w:r>
              <w:rPr>
                <w:rFonts w:hint="eastAsia" w:ascii="宋体" w:hAnsi="宋体" w:cs="宋体"/>
                <w:color w:val="000000"/>
                <w:sz w:val="22"/>
                <w:szCs w:val="22"/>
              </w:rPr>
              <w:t>1次/季度/炉（2台炉）</w:t>
            </w:r>
          </w:p>
        </w:tc>
        <w:tc>
          <w:tcPr>
            <w:tcW w:w="157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排放浓度≤50mg/m</w:t>
            </w:r>
            <w:r>
              <w:rPr>
                <w:rFonts w:hint="eastAsia" w:ascii="宋体" w:hAnsi="宋体" w:cs="宋体"/>
                <w:color w:val="000000"/>
                <w:szCs w:val="21"/>
                <w:vertAlign w:val="superscript"/>
              </w:rPr>
              <w:t>3</w:t>
            </w:r>
          </w:p>
        </w:tc>
      </w:tr>
      <w:tr>
        <w:tblPrEx>
          <w:tblCellMar>
            <w:top w:w="0" w:type="dxa"/>
            <w:left w:w="108" w:type="dxa"/>
            <w:bottom w:w="0" w:type="dxa"/>
            <w:right w:w="108" w:type="dxa"/>
          </w:tblCellMar>
        </w:tblPrEx>
        <w:trPr>
          <w:trHeight w:val="840" w:hRule="atLeast"/>
          <w:jc w:val="center"/>
        </w:trPr>
        <w:tc>
          <w:tcPr>
            <w:tcW w:w="1338" w:type="dxa"/>
            <w:tcBorders>
              <w:top w:val="nil"/>
              <w:left w:val="single" w:color="auto" w:sz="4" w:space="0"/>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颗粒物</w:t>
            </w:r>
          </w:p>
        </w:tc>
        <w:tc>
          <w:tcPr>
            <w:tcW w:w="1469" w:type="dxa"/>
            <w:tcBorders>
              <w:top w:val="nil"/>
              <w:left w:val="nil"/>
              <w:bottom w:val="single" w:color="auto" w:sz="4" w:space="0"/>
              <w:right w:val="single" w:color="auto" w:sz="4" w:space="0"/>
            </w:tcBorders>
            <w:vAlign w:val="center"/>
          </w:tcPr>
          <w:p>
            <w:pPr>
              <w:widowControl/>
              <w:autoSpaceDE/>
              <w:autoSpaceDN/>
              <w:adjustRightInd/>
              <w:spacing w:line="240" w:lineRule="auto"/>
              <w:jc w:val="left"/>
              <w:textAlignment w:val="auto"/>
              <w:rPr>
                <w:rFonts w:ascii="宋体" w:hAnsi="宋体" w:cs="宋体"/>
                <w:color w:val="000000"/>
                <w:szCs w:val="21"/>
              </w:rPr>
            </w:pPr>
            <w:r>
              <w:rPr>
                <w:rFonts w:hint="eastAsia" w:ascii="宋体" w:hAnsi="宋体" w:cs="宋体"/>
                <w:color w:val="000000"/>
                <w:szCs w:val="21"/>
              </w:rPr>
              <w:t>监测一天，每天测定9个数据</w:t>
            </w:r>
          </w:p>
        </w:tc>
        <w:tc>
          <w:tcPr>
            <w:tcW w:w="276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HJ836-2017《固定污染源废气 低浓度颗粒物的测定 重量法》</w:t>
            </w:r>
          </w:p>
        </w:tc>
        <w:tc>
          <w:tcPr>
            <w:tcW w:w="2151" w:type="dxa"/>
            <w:tcBorders>
              <w:top w:val="nil"/>
              <w:left w:val="nil"/>
              <w:bottom w:val="single" w:color="auto" w:sz="4" w:space="0"/>
              <w:right w:val="single" w:color="auto" w:sz="4" w:space="0"/>
            </w:tcBorders>
            <w:noWrap/>
            <w:vAlign w:val="center"/>
          </w:tcPr>
          <w:p>
            <w:pPr>
              <w:widowControl/>
              <w:autoSpaceDE/>
              <w:autoSpaceDN/>
              <w:adjustRightInd/>
              <w:spacing w:line="240" w:lineRule="auto"/>
              <w:jc w:val="left"/>
              <w:textAlignment w:val="auto"/>
              <w:rPr>
                <w:rFonts w:ascii="宋体" w:hAnsi="宋体" w:cs="宋体"/>
                <w:color w:val="000000"/>
                <w:sz w:val="22"/>
                <w:szCs w:val="22"/>
              </w:rPr>
            </w:pPr>
            <w:r>
              <w:rPr>
                <w:rFonts w:hint="eastAsia" w:ascii="宋体" w:hAnsi="宋体" w:cs="宋体"/>
                <w:color w:val="000000"/>
                <w:sz w:val="22"/>
                <w:szCs w:val="22"/>
              </w:rPr>
              <w:t>1次/季度/炉（2台炉）</w:t>
            </w:r>
          </w:p>
        </w:tc>
        <w:tc>
          <w:tcPr>
            <w:tcW w:w="157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排放浓度≤10mg/m</w:t>
            </w:r>
            <w:r>
              <w:rPr>
                <w:rFonts w:hint="eastAsia" w:ascii="宋体" w:hAnsi="宋体" w:cs="宋体"/>
                <w:color w:val="000000"/>
                <w:szCs w:val="21"/>
                <w:vertAlign w:val="superscript"/>
              </w:rPr>
              <w:t>3</w:t>
            </w:r>
          </w:p>
        </w:tc>
      </w:tr>
      <w:tr>
        <w:tblPrEx>
          <w:tblCellMar>
            <w:top w:w="0" w:type="dxa"/>
            <w:left w:w="108" w:type="dxa"/>
            <w:bottom w:w="0" w:type="dxa"/>
            <w:right w:w="108" w:type="dxa"/>
          </w:tblCellMar>
        </w:tblPrEx>
        <w:trPr>
          <w:trHeight w:val="840" w:hRule="atLeast"/>
          <w:jc w:val="center"/>
        </w:trPr>
        <w:tc>
          <w:tcPr>
            <w:tcW w:w="1338" w:type="dxa"/>
            <w:tcBorders>
              <w:top w:val="nil"/>
              <w:left w:val="single" w:color="auto" w:sz="4" w:space="0"/>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含氧量</w:t>
            </w:r>
          </w:p>
        </w:tc>
        <w:tc>
          <w:tcPr>
            <w:tcW w:w="1469" w:type="dxa"/>
            <w:tcBorders>
              <w:top w:val="nil"/>
              <w:left w:val="nil"/>
              <w:bottom w:val="single" w:color="auto" w:sz="4" w:space="0"/>
              <w:right w:val="single" w:color="auto" w:sz="4" w:space="0"/>
            </w:tcBorders>
            <w:vAlign w:val="center"/>
          </w:tcPr>
          <w:p>
            <w:pPr>
              <w:widowControl/>
              <w:autoSpaceDE/>
              <w:autoSpaceDN/>
              <w:adjustRightInd/>
              <w:spacing w:line="240" w:lineRule="auto"/>
              <w:jc w:val="left"/>
              <w:textAlignment w:val="auto"/>
              <w:rPr>
                <w:rFonts w:ascii="宋体" w:hAnsi="宋体" w:cs="宋体"/>
                <w:color w:val="000000"/>
                <w:szCs w:val="21"/>
              </w:rPr>
            </w:pPr>
            <w:r>
              <w:rPr>
                <w:rFonts w:hint="eastAsia" w:ascii="宋体" w:hAnsi="宋体" w:cs="宋体"/>
                <w:color w:val="000000"/>
                <w:szCs w:val="21"/>
              </w:rPr>
              <w:t>监测一天，每天测定9个数据</w:t>
            </w:r>
          </w:p>
        </w:tc>
        <w:tc>
          <w:tcPr>
            <w:tcW w:w="276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GB/T16157-1996《固定污染物源排气中颗粒物测定与气态污染物采样方法》</w:t>
            </w:r>
          </w:p>
        </w:tc>
        <w:tc>
          <w:tcPr>
            <w:tcW w:w="2151" w:type="dxa"/>
            <w:tcBorders>
              <w:top w:val="nil"/>
              <w:left w:val="nil"/>
              <w:bottom w:val="single" w:color="auto" w:sz="4" w:space="0"/>
              <w:right w:val="single" w:color="auto" w:sz="4" w:space="0"/>
            </w:tcBorders>
            <w:noWrap/>
            <w:vAlign w:val="center"/>
          </w:tcPr>
          <w:p>
            <w:pPr>
              <w:widowControl/>
              <w:autoSpaceDE/>
              <w:autoSpaceDN/>
              <w:adjustRightInd/>
              <w:spacing w:line="240" w:lineRule="auto"/>
              <w:jc w:val="left"/>
              <w:textAlignment w:val="auto"/>
              <w:rPr>
                <w:rFonts w:ascii="宋体" w:hAnsi="宋体" w:cs="宋体"/>
                <w:color w:val="000000"/>
                <w:sz w:val="22"/>
                <w:szCs w:val="22"/>
              </w:rPr>
            </w:pPr>
            <w:r>
              <w:rPr>
                <w:rFonts w:hint="eastAsia" w:ascii="宋体" w:hAnsi="宋体" w:cs="宋体"/>
                <w:color w:val="000000"/>
                <w:sz w:val="22"/>
                <w:szCs w:val="22"/>
              </w:rPr>
              <w:t>1次/季度/炉（2台炉）</w:t>
            </w:r>
          </w:p>
        </w:tc>
        <w:tc>
          <w:tcPr>
            <w:tcW w:w="157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840" w:hRule="atLeast"/>
          <w:jc w:val="center"/>
        </w:trPr>
        <w:tc>
          <w:tcPr>
            <w:tcW w:w="1338" w:type="dxa"/>
            <w:tcBorders>
              <w:top w:val="nil"/>
              <w:left w:val="single" w:color="auto" w:sz="4" w:space="0"/>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流速</w:t>
            </w:r>
          </w:p>
        </w:tc>
        <w:tc>
          <w:tcPr>
            <w:tcW w:w="1469" w:type="dxa"/>
            <w:tcBorders>
              <w:top w:val="nil"/>
              <w:left w:val="nil"/>
              <w:bottom w:val="single" w:color="auto" w:sz="4" w:space="0"/>
              <w:right w:val="single" w:color="auto" w:sz="4" w:space="0"/>
            </w:tcBorders>
            <w:vAlign w:val="center"/>
          </w:tcPr>
          <w:p>
            <w:pPr>
              <w:widowControl/>
              <w:autoSpaceDE/>
              <w:autoSpaceDN/>
              <w:adjustRightInd/>
              <w:spacing w:line="240" w:lineRule="auto"/>
              <w:jc w:val="left"/>
              <w:textAlignment w:val="auto"/>
              <w:rPr>
                <w:rFonts w:ascii="宋体" w:hAnsi="宋体" w:cs="宋体"/>
                <w:color w:val="000000"/>
                <w:szCs w:val="21"/>
              </w:rPr>
            </w:pPr>
            <w:r>
              <w:rPr>
                <w:rFonts w:hint="eastAsia" w:ascii="宋体" w:hAnsi="宋体" w:cs="宋体"/>
                <w:color w:val="000000"/>
                <w:szCs w:val="21"/>
              </w:rPr>
              <w:t>监测一天，每天测定5个数据</w:t>
            </w:r>
          </w:p>
        </w:tc>
        <w:tc>
          <w:tcPr>
            <w:tcW w:w="276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GB/T16157-1996《固定污染物源排气中颗粒物测定与气态污染物采样方法》</w:t>
            </w:r>
          </w:p>
        </w:tc>
        <w:tc>
          <w:tcPr>
            <w:tcW w:w="2151" w:type="dxa"/>
            <w:tcBorders>
              <w:top w:val="nil"/>
              <w:left w:val="nil"/>
              <w:bottom w:val="single" w:color="auto" w:sz="4" w:space="0"/>
              <w:right w:val="single" w:color="auto" w:sz="4" w:space="0"/>
            </w:tcBorders>
            <w:noWrap/>
            <w:vAlign w:val="center"/>
          </w:tcPr>
          <w:p>
            <w:pPr>
              <w:widowControl/>
              <w:autoSpaceDE/>
              <w:autoSpaceDN/>
              <w:adjustRightInd/>
              <w:spacing w:line="240" w:lineRule="auto"/>
              <w:jc w:val="left"/>
              <w:textAlignment w:val="auto"/>
              <w:rPr>
                <w:rFonts w:ascii="宋体" w:hAnsi="宋体" w:cs="宋体"/>
                <w:color w:val="000000"/>
                <w:sz w:val="22"/>
                <w:szCs w:val="22"/>
              </w:rPr>
            </w:pPr>
            <w:r>
              <w:rPr>
                <w:rFonts w:hint="eastAsia" w:ascii="宋体" w:hAnsi="宋体" w:cs="宋体"/>
                <w:color w:val="000000"/>
                <w:sz w:val="22"/>
                <w:szCs w:val="22"/>
              </w:rPr>
              <w:t>1次/季度/炉（2台炉）</w:t>
            </w:r>
          </w:p>
        </w:tc>
        <w:tc>
          <w:tcPr>
            <w:tcW w:w="157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840" w:hRule="atLeast"/>
          <w:jc w:val="center"/>
        </w:trPr>
        <w:tc>
          <w:tcPr>
            <w:tcW w:w="1338" w:type="dxa"/>
            <w:tcBorders>
              <w:top w:val="nil"/>
              <w:left w:val="single" w:color="auto" w:sz="4" w:space="0"/>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烟温</w:t>
            </w:r>
          </w:p>
        </w:tc>
        <w:tc>
          <w:tcPr>
            <w:tcW w:w="1469" w:type="dxa"/>
            <w:tcBorders>
              <w:top w:val="nil"/>
              <w:left w:val="nil"/>
              <w:bottom w:val="single" w:color="auto" w:sz="4" w:space="0"/>
              <w:right w:val="single" w:color="auto" w:sz="4" w:space="0"/>
            </w:tcBorders>
            <w:vAlign w:val="center"/>
          </w:tcPr>
          <w:p>
            <w:pPr>
              <w:widowControl/>
              <w:autoSpaceDE/>
              <w:autoSpaceDN/>
              <w:adjustRightInd/>
              <w:spacing w:line="240" w:lineRule="auto"/>
              <w:jc w:val="left"/>
              <w:textAlignment w:val="auto"/>
              <w:rPr>
                <w:rFonts w:ascii="宋体" w:hAnsi="宋体" w:cs="宋体"/>
                <w:color w:val="000000"/>
                <w:szCs w:val="21"/>
              </w:rPr>
            </w:pPr>
            <w:r>
              <w:rPr>
                <w:rFonts w:hint="eastAsia" w:ascii="宋体" w:hAnsi="宋体" w:cs="宋体"/>
                <w:color w:val="000000"/>
                <w:szCs w:val="21"/>
              </w:rPr>
              <w:t>监测一天，每天测定5个数据</w:t>
            </w:r>
          </w:p>
        </w:tc>
        <w:tc>
          <w:tcPr>
            <w:tcW w:w="276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GB/T16157-1996《固定污染物源排气中颗粒物测定与气态污染物采样方法》</w:t>
            </w:r>
          </w:p>
        </w:tc>
        <w:tc>
          <w:tcPr>
            <w:tcW w:w="2151" w:type="dxa"/>
            <w:tcBorders>
              <w:top w:val="nil"/>
              <w:left w:val="nil"/>
              <w:bottom w:val="single" w:color="auto" w:sz="4" w:space="0"/>
              <w:right w:val="single" w:color="auto" w:sz="4" w:space="0"/>
            </w:tcBorders>
            <w:noWrap/>
            <w:vAlign w:val="center"/>
          </w:tcPr>
          <w:p>
            <w:pPr>
              <w:widowControl/>
              <w:autoSpaceDE/>
              <w:autoSpaceDN/>
              <w:adjustRightInd/>
              <w:spacing w:line="240" w:lineRule="auto"/>
              <w:jc w:val="left"/>
              <w:textAlignment w:val="auto"/>
              <w:rPr>
                <w:rFonts w:ascii="宋体" w:hAnsi="宋体" w:cs="宋体"/>
                <w:color w:val="000000"/>
                <w:sz w:val="22"/>
                <w:szCs w:val="22"/>
              </w:rPr>
            </w:pPr>
            <w:r>
              <w:rPr>
                <w:rFonts w:hint="eastAsia" w:ascii="宋体" w:hAnsi="宋体" w:cs="宋体"/>
                <w:color w:val="000000"/>
                <w:sz w:val="22"/>
                <w:szCs w:val="22"/>
              </w:rPr>
              <w:t>1次/季度/炉（2台炉）</w:t>
            </w:r>
          </w:p>
        </w:tc>
        <w:tc>
          <w:tcPr>
            <w:tcW w:w="157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840" w:hRule="atLeast"/>
          <w:jc w:val="center"/>
        </w:trPr>
        <w:tc>
          <w:tcPr>
            <w:tcW w:w="1338" w:type="dxa"/>
            <w:tcBorders>
              <w:top w:val="nil"/>
              <w:left w:val="single" w:color="auto" w:sz="4" w:space="0"/>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湿度</w:t>
            </w:r>
          </w:p>
        </w:tc>
        <w:tc>
          <w:tcPr>
            <w:tcW w:w="1469" w:type="dxa"/>
            <w:tcBorders>
              <w:top w:val="nil"/>
              <w:left w:val="nil"/>
              <w:bottom w:val="single" w:color="auto" w:sz="4" w:space="0"/>
              <w:right w:val="single" w:color="auto" w:sz="4" w:space="0"/>
            </w:tcBorders>
            <w:vAlign w:val="center"/>
          </w:tcPr>
          <w:p>
            <w:pPr>
              <w:widowControl/>
              <w:autoSpaceDE/>
              <w:autoSpaceDN/>
              <w:adjustRightInd/>
              <w:spacing w:line="240" w:lineRule="auto"/>
              <w:jc w:val="left"/>
              <w:textAlignment w:val="auto"/>
              <w:rPr>
                <w:rFonts w:ascii="宋体" w:hAnsi="宋体" w:cs="宋体"/>
                <w:color w:val="000000"/>
                <w:szCs w:val="21"/>
              </w:rPr>
            </w:pPr>
            <w:r>
              <w:rPr>
                <w:rFonts w:hint="eastAsia" w:ascii="宋体" w:hAnsi="宋体" w:cs="宋体"/>
                <w:color w:val="000000"/>
                <w:szCs w:val="21"/>
              </w:rPr>
              <w:t>监测一天，每天测定5个数据</w:t>
            </w:r>
          </w:p>
        </w:tc>
        <w:tc>
          <w:tcPr>
            <w:tcW w:w="276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GB/T16157-1996《固定污染物源排气中颗粒物测定与气态污染物采样方法》</w:t>
            </w:r>
          </w:p>
        </w:tc>
        <w:tc>
          <w:tcPr>
            <w:tcW w:w="2151" w:type="dxa"/>
            <w:tcBorders>
              <w:top w:val="nil"/>
              <w:left w:val="nil"/>
              <w:bottom w:val="single" w:color="auto" w:sz="4" w:space="0"/>
              <w:right w:val="single" w:color="auto" w:sz="4" w:space="0"/>
            </w:tcBorders>
            <w:noWrap/>
            <w:vAlign w:val="center"/>
          </w:tcPr>
          <w:p>
            <w:pPr>
              <w:widowControl/>
              <w:autoSpaceDE/>
              <w:autoSpaceDN/>
              <w:adjustRightInd/>
              <w:spacing w:line="240" w:lineRule="auto"/>
              <w:jc w:val="left"/>
              <w:textAlignment w:val="auto"/>
              <w:rPr>
                <w:rFonts w:ascii="宋体" w:hAnsi="宋体" w:cs="宋体"/>
                <w:color w:val="000000"/>
                <w:sz w:val="22"/>
                <w:szCs w:val="22"/>
              </w:rPr>
            </w:pPr>
            <w:r>
              <w:rPr>
                <w:rFonts w:hint="eastAsia" w:ascii="宋体" w:hAnsi="宋体" w:cs="宋体"/>
                <w:color w:val="000000"/>
                <w:sz w:val="22"/>
                <w:szCs w:val="22"/>
              </w:rPr>
              <w:t>1次/季度/炉（2台炉）</w:t>
            </w:r>
          </w:p>
        </w:tc>
        <w:tc>
          <w:tcPr>
            <w:tcW w:w="157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　</w:t>
            </w:r>
          </w:p>
        </w:tc>
      </w:tr>
    </w:tbl>
    <w:p>
      <w:pPr>
        <w:kinsoku w:val="0"/>
        <w:overflowPunct w:val="0"/>
        <w:adjustRightInd/>
        <w:spacing w:line="400" w:lineRule="atLeast"/>
        <w:textAlignment w:val="auto"/>
        <w:rPr>
          <w:rFonts w:ascii="宋体" w:hAnsi="宋体" w:cs="宋体"/>
          <w:spacing w:val="-4"/>
          <w:sz w:val="24"/>
          <w:szCs w:val="24"/>
        </w:rPr>
      </w:pPr>
    </w:p>
    <w:p>
      <w:pPr>
        <w:tabs>
          <w:tab w:val="left" w:pos="0"/>
        </w:tabs>
        <w:autoSpaceDE/>
        <w:autoSpaceDN/>
        <w:snapToGrid w:val="0"/>
        <w:spacing w:line="400" w:lineRule="atLeast"/>
        <w:ind w:right="105" w:rightChars="50"/>
        <w:jc w:val="left"/>
        <w:textAlignment w:val="auto"/>
        <w:rPr>
          <w:rFonts w:ascii="宋体" w:hAnsi="宋体"/>
          <w:sz w:val="24"/>
          <w:szCs w:val="24"/>
        </w:rPr>
      </w:pPr>
      <w:r>
        <w:rPr>
          <w:rFonts w:hint="eastAsia" w:ascii="宋体" w:hAnsi="宋体"/>
          <w:sz w:val="24"/>
          <w:szCs w:val="24"/>
        </w:rPr>
        <w:t>3、燃气锅炉烟气比对监测（服务周期为2024年1月1日至2025年12月31日）</w:t>
      </w:r>
    </w:p>
    <w:p>
      <w:pPr>
        <w:pStyle w:val="4"/>
        <w:spacing w:line="400" w:lineRule="atLeast"/>
        <w:ind w:firstLine="520" w:firstLineChars="200"/>
        <w:jc w:val="both"/>
        <w:textAlignment w:val="auto"/>
        <w:rPr>
          <w:rFonts w:ascii="宋体" w:hAnsi="宋体" w:eastAsia="宋体" w:cs="宋体"/>
          <w:bCs/>
          <w:sz w:val="24"/>
          <w:szCs w:val="24"/>
        </w:rPr>
      </w:pPr>
      <w:r>
        <w:rPr>
          <w:rFonts w:hint="eastAsia" w:ascii="宋体" w:hAnsi="宋体" w:eastAsia="宋体" w:cs="宋体"/>
          <w:b w:val="0"/>
          <w:bCs/>
          <w:sz w:val="24"/>
          <w:szCs w:val="24"/>
        </w:rPr>
        <w:t>采购方根据每季度锅炉生产运行情况确定比对监测时间及比对检测的锅炉。</w:t>
      </w:r>
    </w:p>
    <w:p>
      <w:pPr>
        <w:pStyle w:val="5"/>
        <w:rPr>
          <w:rFonts w:ascii="宋体" w:hAnsi="宋体" w:cs="宋体"/>
          <w:bCs/>
          <w:sz w:val="24"/>
          <w:szCs w:val="24"/>
        </w:rPr>
      </w:pPr>
    </w:p>
    <w:p>
      <w:pPr>
        <w:pStyle w:val="4"/>
        <w:spacing w:line="400" w:lineRule="atLeast"/>
        <w:jc w:val="center"/>
        <w:textAlignment w:val="auto"/>
        <w:rPr>
          <w:rFonts w:ascii="宋体" w:hAnsi="宋体" w:eastAsia="宋体"/>
          <w:b w:val="0"/>
          <w:sz w:val="24"/>
          <w:szCs w:val="24"/>
        </w:rPr>
      </w:pPr>
      <w:r>
        <w:rPr>
          <w:rFonts w:hint="eastAsia" w:ascii="宋体" w:hAnsi="宋体" w:cs="宋体"/>
          <w:sz w:val="24"/>
          <w:szCs w:val="24"/>
        </w:rPr>
        <w:t>比对监测方案</w:t>
      </w:r>
    </w:p>
    <w:tbl>
      <w:tblPr>
        <w:tblStyle w:val="13"/>
        <w:tblW w:w="0" w:type="auto"/>
        <w:jc w:val="center"/>
        <w:tblLayout w:type="fixed"/>
        <w:tblCellMar>
          <w:top w:w="0" w:type="dxa"/>
          <w:left w:w="108" w:type="dxa"/>
          <w:bottom w:w="0" w:type="dxa"/>
          <w:right w:w="108" w:type="dxa"/>
        </w:tblCellMar>
      </w:tblPr>
      <w:tblGrid>
        <w:gridCol w:w="1338"/>
        <w:gridCol w:w="1469"/>
        <w:gridCol w:w="2760"/>
        <w:gridCol w:w="2151"/>
        <w:gridCol w:w="1570"/>
      </w:tblGrid>
      <w:tr>
        <w:tblPrEx>
          <w:tblCellMar>
            <w:top w:w="0" w:type="dxa"/>
            <w:left w:w="108" w:type="dxa"/>
            <w:bottom w:w="0" w:type="dxa"/>
            <w:right w:w="108" w:type="dxa"/>
          </w:tblCellMar>
        </w:tblPrEx>
        <w:trPr>
          <w:trHeight w:val="600" w:hRule="atLeast"/>
          <w:jc w:val="center"/>
        </w:trPr>
        <w:tc>
          <w:tcPr>
            <w:tcW w:w="1338"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监测项目</w:t>
            </w:r>
          </w:p>
        </w:tc>
        <w:tc>
          <w:tcPr>
            <w:tcW w:w="1469" w:type="dxa"/>
            <w:tcBorders>
              <w:top w:val="single" w:color="auto" w:sz="4" w:space="0"/>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监测频率</w:t>
            </w:r>
          </w:p>
        </w:tc>
        <w:tc>
          <w:tcPr>
            <w:tcW w:w="2760" w:type="dxa"/>
            <w:tcBorders>
              <w:top w:val="single" w:color="auto" w:sz="4" w:space="0"/>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监测方法</w:t>
            </w:r>
          </w:p>
        </w:tc>
        <w:tc>
          <w:tcPr>
            <w:tcW w:w="2151" w:type="dxa"/>
            <w:tcBorders>
              <w:top w:val="single" w:color="auto" w:sz="4" w:space="0"/>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样品数量（个）</w:t>
            </w:r>
          </w:p>
        </w:tc>
        <w:tc>
          <w:tcPr>
            <w:tcW w:w="1570" w:type="dxa"/>
            <w:tcBorders>
              <w:top w:val="single" w:color="auto" w:sz="4" w:space="0"/>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其他说明</w:t>
            </w:r>
          </w:p>
        </w:tc>
      </w:tr>
      <w:tr>
        <w:tblPrEx>
          <w:tblCellMar>
            <w:top w:w="0" w:type="dxa"/>
            <w:left w:w="108" w:type="dxa"/>
            <w:bottom w:w="0" w:type="dxa"/>
            <w:right w:w="108" w:type="dxa"/>
          </w:tblCellMar>
        </w:tblPrEx>
        <w:trPr>
          <w:trHeight w:val="840" w:hRule="atLeast"/>
          <w:jc w:val="center"/>
        </w:trPr>
        <w:tc>
          <w:tcPr>
            <w:tcW w:w="1338" w:type="dxa"/>
            <w:tcBorders>
              <w:top w:val="nil"/>
              <w:left w:val="single" w:color="auto" w:sz="4" w:space="0"/>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二氧化硫</w:t>
            </w:r>
          </w:p>
        </w:tc>
        <w:tc>
          <w:tcPr>
            <w:tcW w:w="1469" w:type="dxa"/>
            <w:tcBorders>
              <w:top w:val="nil"/>
              <w:left w:val="nil"/>
              <w:bottom w:val="single" w:color="auto" w:sz="4" w:space="0"/>
              <w:right w:val="single" w:color="auto" w:sz="4" w:space="0"/>
            </w:tcBorders>
            <w:vAlign w:val="center"/>
          </w:tcPr>
          <w:p>
            <w:pPr>
              <w:widowControl/>
              <w:autoSpaceDE/>
              <w:autoSpaceDN/>
              <w:adjustRightInd/>
              <w:spacing w:line="240" w:lineRule="auto"/>
              <w:jc w:val="left"/>
              <w:textAlignment w:val="auto"/>
              <w:rPr>
                <w:rFonts w:ascii="宋体" w:hAnsi="宋体" w:cs="宋体"/>
                <w:color w:val="000000"/>
                <w:szCs w:val="21"/>
              </w:rPr>
            </w:pPr>
            <w:r>
              <w:rPr>
                <w:rFonts w:hint="eastAsia" w:ascii="宋体" w:hAnsi="宋体" w:cs="宋体"/>
                <w:color w:val="000000"/>
                <w:szCs w:val="21"/>
              </w:rPr>
              <w:t>监测一天，每天测定9个数据</w:t>
            </w:r>
          </w:p>
        </w:tc>
        <w:tc>
          <w:tcPr>
            <w:tcW w:w="276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HJ57-2017《固定污染源废气 二氧化硫的测定 定电位电解法》</w:t>
            </w:r>
          </w:p>
        </w:tc>
        <w:tc>
          <w:tcPr>
            <w:tcW w:w="2151" w:type="dxa"/>
            <w:tcBorders>
              <w:top w:val="nil"/>
              <w:left w:val="nil"/>
              <w:bottom w:val="single" w:color="auto" w:sz="4" w:space="0"/>
              <w:right w:val="single" w:color="auto" w:sz="4" w:space="0"/>
            </w:tcBorders>
            <w:noWrap/>
            <w:vAlign w:val="center"/>
          </w:tcPr>
          <w:p>
            <w:pPr>
              <w:widowControl/>
              <w:autoSpaceDE/>
              <w:autoSpaceDN/>
              <w:adjustRightInd/>
              <w:spacing w:line="240" w:lineRule="auto"/>
              <w:jc w:val="left"/>
              <w:textAlignment w:val="auto"/>
              <w:rPr>
                <w:rFonts w:ascii="宋体" w:hAnsi="宋体" w:cs="宋体"/>
                <w:color w:val="000000"/>
                <w:sz w:val="22"/>
                <w:szCs w:val="22"/>
              </w:rPr>
            </w:pPr>
            <w:r>
              <w:rPr>
                <w:rFonts w:hint="eastAsia" w:ascii="宋体" w:hAnsi="宋体" w:cs="宋体"/>
                <w:color w:val="000000"/>
                <w:sz w:val="22"/>
                <w:szCs w:val="22"/>
              </w:rPr>
              <w:t>1次/季度</w:t>
            </w:r>
          </w:p>
        </w:tc>
        <w:tc>
          <w:tcPr>
            <w:tcW w:w="157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排放浓度≤50mg/m</w:t>
            </w:r>
            <w:r>
              <w:rPr>
                <w:rFonts w:hint="eastAsia" w:ascii="宋体" w:hAnsi="宋体" w:cs="宋体"/>
                <w:color w:val="000000"/>
                <w:szCs w:val="21"/>
                <w:vertAlign w:val="superscript"/>
              </w:rPr>
              <w:t>3</w:t>
            </w:r>
          </w:p>
        </w:tc>
      </w:tr>
      <w:tr>
        <w:tblPrEx>
          <w:tblCellMar>
            <w:top w:w="0" w:type="dxa"/>
            <w:left w:w="108" w:type="dxa"/>
            <w:bottom w:w="0" w:type="dxa"/>
            <w:right w:w="108" w:type="dxa"/>
          </w:tblCellMar>
        </w:tblPrEx>
        <w:trPr>
          <w:trHeight w:val="840" w:hRule="atLeast"/>
          <w:jc w:val="center"/>
        </w:trPr>
        <w:tc>
          <w:tcPr>
            <w:tcW w:w="1338" w:type="dxa"/>
            <w:tcBorders>
              <w:top w:val="nil"/>
              <w:left w:val="single" w:color="auto" w:sz="4" w:space="0"/>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氮氧化物</w:t>
            </w:r>
          </w:p>
        </w:tc>
        <w:tc>
          <w:tcPr>
            <w:tcW w:w="1469" w:type="dxa"/>
            <w:tcBorders>
              <w:top w:val="nil"/>
              <w:left w:val="nil"/>
              <w:bottom w:val="single" w:color="auto" w:sz="4" w:space="0"/>
              <w:right w:val="single" w:color="auto" w:sz="4" w:space="0"/>
            </w:tcBorders>
            <w:vAlign w:val="center"/>
          </w:tcPr>
          <w:p>
            <w:pPr>
              <w:widowControl/>
              <w:autoSpaceDE/>
              <w:autoSpaceDN/>
              <w:adjustRightInd/>
              <w:spacing w:line="240" w:lineRule="auto"/>
              <w:jc w:val="left"/>
              <w:textAlignment w:val="auto"/>
              <w:rPr>
                <w:rFonts w:ascii="宋体" w:hAnsi="宋体" w:cs="宋体"/>
                <w:color w:val="000000"/>
                <w:szCs w:val="21"/>
              </w:rPr>
            </w:pPr>
            <w:r>
              <w:rPr>
                <w:rFonts w:hint="eastAsia" w:ascii="宋体" w:hAnsi="宋体" w:cs="宋体"/>
                <w:color w:val="000000"/>
                <w:szCs w:val="21"/>
              </w:rPr>
              <w:t>监测一天，每天测定9个数据</w:t>
            </w:r>
          </w:p>
        </w:tc>
        <w:tc>
          <w:tcPr>
            <w:tcW w:w="276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HJ693-2014《固定污染源废气 氮氧化物硫的测定 定电位电解法》</w:t>
            </w:r>
          </w:p>
        </w:tc>
        <w:tc>
          <w:tcPr>
            <w:tcW w:w="2151" w:type="dxa"/>
            <w:tcBorders>
              <w:top w:val="nil"/>
              <w:left w:val="nil"/>
              <w:bottom w:val="single" w:color="auto" w:sz="4" w:space="0"/>
              <w:right w:val="single" w:color="auto" w:sz="4" w:space="0"/>
            </w:tcBorders>
            <w:noWrap/>
            <w:vAlign w:val="center"/>
          </w:tcPr>
          <w:p>
            <w:pPr>
              <w:widowControl/>
              <w:autoSpaceDE/>
              <w:autoSpaceDN/>
              <w:adjustRightInd/>
              <w:spacing w:line="240" w:lineRule="auto"/>
              <w:jc w:val="left"/>
              <w:textAlignment w:val="auto"/>
              <w:rPr>
                <w:rFonts w:ascii="宋体" w:hAnsi="宋体" w:cs="宋体"/>
                <w:color w:val="000000"/>
                <w:sz w:val="22"/>
                <w:szCs w:val="22"/>
              </w:rPr>
            </w:pPr>
            <w:r>
              <w:rPr>
                <w:rFonts w:hint="eastAsia" w:ascii="宋体" w:hAnsi="宋体" w:cs="宋体"/>
                <w:color w:val="000000"/>
                <w:sz w:val="22"/>
                <w:szCs w:val="22"/>
              </w:rPr>
              <w:t>1次/季度</w:t>
            </w:r>
          </w:p>
        </w:tc>
        <w:tc>
          <w:tcPr>
            <w:tcW w:w="157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排放浓度≤150mg/m</w:t>
            </w:r>
            <w:r>
              <w:rPr>
                <w:rFonts w:hint="eastAsia" w:ascii="宋体" w:hAnsi="宋体" w:cs="宋体"/>
                <w:color w:val="000000"/>
                <w:szCs w:val="21"/>
                <w:vertAlign w:val="superscript"/>
              </w:rPr>
              <w:t>3</w:t>
            </w:r>
          </w:p>
        </w:tc>
      </w:tr>
      <w:tr>
        <w:tblPrEx>
          <w:tblCellMar>
            <w:top w:w="0" w:type="dxa"/>
            <w:left w:w="108" w:type="dxa"/>
            <w:bottom w:w="0" w:type="dxa"/>
            <w:right w:w="108" w:type="dxa"/>
          </w:tblCellMar>
        </w:tblPrEx>
        <w:trPr>
          <w:trHeight w:val="840" w:hRule="atLeast"/>
          <w:jc w:val="center"/>
        </w:trPr>
        <w:tc>
          <w:tcPr>
            <w:tcW w:w="1338" w:type="dxa"/>
            <w:tcBorders>
              <w:top w:val="nil"/>
              <w:left w:val="single" w:color="auto" w:sz="4" w:space="0"/>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含氧量</w:t>
            </w:r>
          </w:p>
        </w:tc>
        <w:tc>
          <w:tcPr>
            <w:tcW w:w="1469" w:type="dxa"/>
            <w:tcBorders>
              <w:top w:val="nil"/>
              <w:left w:val="nil"/>
              <w:bottom w:val="single" w:color="auto" w:sz="4" w:space="0"/>
              <w:right w:val="single" w:color="auto" w:sz="4" w:space="0"/>
            </w:tcBorders>
            <w:vAlign w:val="center"/>
          </w:tcPr>
          <w:p>
            <w:pPr>
              <w:widowControl/>
              <w:autoSpaceDE/>
              <w:autoSpaceDN/>
              <w:adjustRightInd/>
              <w:spacing w:line="240" w:lineRule="auto"/>
              <w:jc w:val="left"/>
              <w:textAlignment w:val="auto"/>
              <w:rPr>
                <w:rFonts w:ascii="宋体" w:hAnsi="宋体" w:cs="宋体"/>
                <w:color w:val="000000"/>
                <w:szCs w:val="21"/>
              </w:rPr>
            </w:pPr>
            <w:r>
              <w:rPr>
                <w:rFonts w:hint="eastAsia" w:ascii="宋体" w:hAnsi="宋体" w:cs="宋体"/>
                <w:color w:val="000000"/>
                <w:szCs w:val="21"/>
              </w:rPr>
              <w:t>监测一天，每天测定9个数据</w:t>
            </w:r>
          </w:p>
        </w:tc>
        <w:tc>
          <w:tcPr>
            <w:tcW w:w="276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GB/T16157-1996《固定污染物源排气中颗粒物测定与气态污染物采样方法》</w:t>
            </w:r>
          </w:p>
        </w:tc>
        <w:tc>
          <w:tcPr>
            <w:tcW w:w="2151" w:type="dxa"/>
            <w:tcBorders>
              <w:top w:val="nil"/>
              <w:left w:val="nil"/>
              <w:bottom w:val="single" w:color="auto" w:sz="4" w:space="0"/>
              <w:right w:val="single" w:color="auto" w:sz="4" w:space="0"/>
            </w:tcBorders>
            <w:noWrap/>
            <w:vAlign w:val="center"/>
          </w:tcPr>
          <w:p>
            <w:pPr>
              <w:widowControl/>
              <w:autoSpaceDE/>
              <w:autoSpaceDN/>
              <w:adjustRightInd/>
              <w:spacing w:line="240" w:lineRule="auto"/>
              <w:jc w:val="left"/>
              <w:textAlignment w:val="auto"/>
              <w:rPr>
                <w:rFonts w:ascii="宋体" w:hAnsi="宋体" w:cs="宋体"/>
                <w:color w:val="000000"/>
                <w:sz w:val="22"/>
                <w:szCs w:val="22"/>
              </w:rPr>
            </w:pPr>
            <w:r>
              <w:rPr>
                <w:rFonts w:hint="eastAsia" w:ascii="宋体" w:hAnsi="宋体" w:cs="宋体"/>
                <w:color w:val="000000"/>
                <w:sz w:val="22"/>
                <w:szCs w:val="22"/>
              </w:rPr>
              <w:t>1次/季度</w:t>
            </w:r>
          </w:p>
        </w:tc>
        <w:tc>
          <w:tcPr>
            <w:tcW w:w="157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840" w:hRule="atLeast"/>
          <w:jc w:val="center"/>
        </w:trPr>
        <w:tc>
          <w:tcPr>
            <w:tcW w:w="1338" w:type="dxa"/>
            <w:tcBorders>
              <w:top w:val="nil"/>
              <w:left w:val="single" w:color="auto" w:sz="4" w:space="0"/>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流速</w:t>
            </w:r>
          </w:p>
        </w:tc>
        <w:tc>
          <w:tcPr>
            <w:tcW w:w="1469" w:type="dxa"/>
            <w:tcBorders>
              <w:top w:val="nil"/>
              <w:left w:val="nil"/>
              <w:bottom w:val="single" w:color="auto" w:sz="4" w:space="0"/>
              <w:right w:val="single" w:color="auto" w:sz="4" w:space="0"/>
            </w:tcBorders>
            <w:vAlign w:val="center"/>
          </w:tcPr>
          <w:p>
            <w:pPr>
              <w:widowControl/>
              <w:autoSpaceDE/>
              <w:autoSpaceDN/>
              <w:adjustRightInd/>
              <w:spacing w:line="240" w:lineRule="auto"/>
              <w:jc w:val="left"/>
              <w:textAlignment w:val="auto"/>
              <w:rPr>
                <w:rFonts w:ascii="宋体" w:hAnsi="宋体" w:cs="宋体"/>
                <w:color w:val="000000"/>
                <w:szCs w:val="21"/>
              </w:rPr>
            </w:pPr>
            <w:r>
              <w:rPr>
                <w:rFonts w:hint="eastAsia" w:ascii="宋体" w:hAnsi="宋体" w:cs="宋体"/>
                <w:color w:val="000000"/>
                <w:szCs w:val="21"/>
              </w:rPr>
              <w:t>监测一天，每天测定5个数据</w:t>
            </w:r>
          </w:p>
        </w:tc>
        <w:tc>
          <w:tcPr>
            <w:tcW w:w="276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GB/T16157-1996《固定污染物源排气中颗粒物测定与气态污染物采样方法》</w:t>
            </w:r>
          </w:p>
        </w:tc>
        <w:tc>
          <w:tcPr>
            <w:tcW w:w="2151" w:type="dxa"/>
            <w:tcBorders>
              <w:top w:val="nil"/>
              <w:left w:val="nil"/>
              <w:bottom w:val="single" w:color="auto" w:sz="4" w:space="0"/>
              <w:right w:val="single" w:color="auto" w:sz="4" w:space="0"/>
            </w:tcBorders>
            <w:noWrap/>
            <w:vAlign w:val="center"/>
          </w:tcPr>
          <w:p>
            <w:pPr>
              <w:widowControl/>
              <w:autoSpaceDE/>
              <w:autoSpaceDN/>
              <w:adjustRightInd/>
              <w:spacing w:line="240" w:lineRule="auto"/>
              <w:jc w:val="left"/>
              <w:textAlignment w:val="auto"/>
              <w:rPr>
                <w:rFonts w:ascii="宋体" w:hAnsi="宋体" w:cs="宋体"/>
                <w:color w:val="000000"/>
                <w:sz w:val="22"/>
                <w:szCs w:val="22"/>
              </w:rPr>
            </w:pPr>
            <w:r>
              <w:rPr>
                <w:rFonts w:hint="eastAsia" w:ascii="宋体" w:hAnsi="宋体" w:cs="宋体"/>
                <w:color w:val="000000"/>
                <w:sz w:val="22"/>
                <w:szCs w:val="22"/>
              </w:rPr>
              <w:t>1次/季度</w:t>
            </w:r>
          </w:p>
        </w:tc>
        <w:tc>
          <w:tcPr>
            <w:tcW w:w="157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840" w:hRule="atLeast"/>
          <w:jc w:val="center"/>
        </w:trPr>
        <w:tc>
          <w:tcPr>
            <w:tcW w:w="1338" w:type="dxa"/>
            <w:tcBorders>
              <w:top w:val="nil"/>
              <w:left w:val="single" w:color="auto" w:sz="4" w:space="0"/>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烟温</w:t>
            </w:r>
          </w:p>
        </w:tc>
        <w:tc>
          <w:tcPr>
            <w:tcW w:w="1469" w:type="dxa"/>
            <w:tcBorders>
              <w:top w:val="nil"/>
              <w:left w:val="nil"/>
              <w:bottom w:val="single" w:color="auto" w:sz="4" w:space="0"/>
              <w:right w:val="single" w:color="auto" w:sz="4" w:space="0"/>
            </w:tcBorders>
            <w:vAlign w:val="center"/>
          </w:tcPr>
          <w:p>
            <w:pPr>
              <w:widowControl/>
              <w:autoSpaceDE/>
              <w:autoSpaceDN/>
              <w:adjustRightInd/>
              <w:spacing w:line="240" w:lineRule="auto"/>
              <w:jc w:val="left"/>
              <w:textAlignment w:val="auto"/>
              <w:rPr>
                <w:rFonts w:ascii="宋体" w:hAnsi="宋体" w:cs="宋体"/>
                <w:color w:val="000000"/>
                <w:szCs w:val="21"/>
              </w:rPr>
            </w:pPr>
            <w:r>
              <w:rPr>
                <w:rFonts w:hint="eastAsia" w:ascii="宋体" w:hAnsi="宋体" w:cs="宋体"/>
                <w:color w:val="000000"/>
                <w:szCs w:val="21"/>
              </w:rPr>
              <w:t>监测一天，每天测定5个数据</w:t>
            </w:r>
          </w:p>
        </w:tc>
        <w:tc>
          <w:tcPr>
            <w:tcW w:w="276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GB/T16157-1996《固定污染物源排气中颗粒物测定与气态污染物采样方法》</w:t>
            </w:r>
          </w:p>
        </w:tc>
        <w:tc>
          <w:tcPr>
            <w:tcW w:w="2151" w:type="dxa"/>
            <w:tcBorders>
              <w:top w:val="nil"/>
              <w:left w:val="nil"/>
              <w:bottom w:val="single" w:color="auto" w:sz="4" w:space="0"/>
              <w:right w:val="single" w:color="auto" w:sz="4" w:space="0"/>
            </w:tcBorders>
            <w:noWrap/>
            <w:vAlign w:val="center"/>
          </w:tcPr>
          <w:p>
            <w:pPr>
              <w:widowControl/>
              <w:autoSpaceDE/>
              <w:autoSpaceDN/>
              <w:adjustRightInd/>
              <w:spacing w:line="240" w:lineRule="auto"/>
              <w:jc w:val="left"/>
              <w:textAlignment w:val="auto"/>
              <w:rPr>
                <w:rFonts w:ascii="宋体" w:hAnsi="宋体" w:cs="宋体"/>
                <w:color w:val="000000"/>
                <w:sz w:val="22"/>
                <w:szCs w:val="22"/>
              </w:rPr>
            </w:pPr>
            <w:r>
              <w:rPr>
                <w:rFonts w:hint="eastAsia" w:ascii="宋体" w:hAnsi="宋体" w:cs="宋体"/>
                <w:color w:val="000000"/>
                <w:sz w:val="22"/>
                <w:szCs w:val="22"/>
              </w:rPr>
              <w:t>1次/季度</w:t>
            </w:r>
          </w:p>
        </w:tc>
        <w:tc>
          <w:tcPr>
            <w:tcW w:w="157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840" w:hRule="atLeast"/>
          <w:jc w:val="center"/>
        </w:trPr>
        <w:tc>
          <w:tcPr>
            <w:tcW w:w="1338" w:type="dxa"/>
            <w:tcBorders>
              <w:top w:val="nil"/>
              <w:left w:val="single" w:color="auto" w:sz="4" w:space="0"/>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湿度</w:t>
            </w:r>
          </w:p>
        </w:tc>
        <w:tc>
          <w:tcPr>
            <w:tcW w:w="1469" w:type="dxa"/>
            <w:tcBorders>
              <w:top w:val="nil"/>
              <w:left w:val="nil"/>
              <w:bottom w:val="single" w:color="auto" w:sz="4" w:space="0"/>
              <w:right w:val="single" w:color="auto" w:sz="4" w:space="0"/>
            </w:tcBorders>
            <w:vAlign w:val="center"/>
          </w:tcPr>
          <w:p>
            <w:pPr>
              <w:widowControl/>
              <w:autoSpaceDE/>
              <w:autoSpaceDN/>
              <w:adjustRightInd/>
              <w:spacing w:line="240" w:lineRule="auto"/>
              <w:jc w:val="left"/>
              <w:textAlignment w:val="auto"/>
              <w:rPr>
                <w:rFonts w:ascii="宋体" w:hAnsi="宋体" w:cs="宋体"/>
                <w:color w:val="000000"/>
                <w:szCs w:val="21"/>
              </w:rPr>
            </w:pPr>
            <w:r>
              <w:rPr>
                <w:rFonts w:hint="eastAsia" w:ascii="宋体" w:hAnsi="宋体" w:cs="宋体"/>
                <w:color w:val="000000"/>
                <w:szCs w:val="21"/>
              </w:rPr>
              <w:t>监测一天，每天测定5个数据</w:t>
            </w:r>
          </w:p>
        </w:tc>
        <w:tc>
          <w:tcPr>
            <w:tcW w:w="276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GB/T16157-1996《固定污染物源排气中颗粒物测定与气态污染物采样方法》</w:t>
            </w:r>
          </w:p>
        </w:tc>
        <w:tc>
          <w:tcPr>
            <w:tcW w:w="2151" w:type="dxa"/>
            <w:tcBorders>
              <w:top w:val="nil"/>
              <w:left w:val="nil"/>
              <w:bottom w:val="single" w:color="auto" w:sz="4" w:space="0"/>
              <w:right w:val="single" w:color="auto" w:sz="4" w:space="0"/>
            </w:tcBorders>
            <w:noWrap/>
            <w:vAlign w:val="center"/>
          </w:tcPr>
          <w:p>
            <w:pPr>
              <w:widowControl/>
              <w:autoSpaceDE/>
              <w:autoSpaceDN/>
              <w:adjustRightInd/>
              <w:spacing w:line="240" w:lineRule="auto"/>
              <w:jc w:val="left"/>
              <w:textAlignment w:val="auto"/>
              <w:rPr>
                <w:rFonts w:ascii="宋体" w:hAnsi="宋体" w:cs="宋体"/>
                <w:color w:val="000000"/>
                <w:sz w:val="22"/>
                <w:szCs w:val="22"/>
              </w:rPr>
            </w:pPr>
            <w:r>
              <w:rPr>
                <w:rFonts w:hint="eastAsia" w:ascii="宋体" w:hAnsi="宋体" w:cs="宋体"/>
                <w:color w:val="000000"/>
                <w:sz w:val="22"/>
                <w:szCs w:val="22"/>
              </w:rPr>
              <w:t>1次/季度</w:t>
            </w:r>
          </w:p>
        </w:tc>
        <w:tc>
          <w:tcPr>
            <w:tcW w:w="1570" w:type="dxa"/>
            <w:tcBorders>
              <w:top w:val="nil"/>
              <w:left w:val="nil"/>
              <w:bottom w:val="single" w:color="auto" w:sz="4" w:space="0"/>
              <w:right w:val="single" w:color="auto" w:sz="4" w:space="0"/>
            </w:tcBorders>
            <w:vAlign w:val="center"/>
          </w:tcPr>
          <w:p>
            <w:pPr>
              <w:widowControl/>
              <w:autoSpaceDE/>
              <w:autoSpaceDN/>
              <w:adjustRightInd/>
              <w:spacing w:line="240" w:lineRule="auto"/>
              <w:jc w:val="center"/>
              <w:textAlignment w:val="auto"/>
              <w:rPr>
                <w:rFonts w:ascii="宋体" w:hAnsi="宋体" w:cs="宋体"/>
                <w:color w:val="000000"/>
                <w:szCs w:val="21"/>
              </w:rPr>
            </w:pPr>
            <w:r>
              <w:rPr>
                <w:rFonts w:hint="eastAsia" w:ascii="宋体" w:hAnsi="宋体" w:cs="宋体"/>
                <w:color w:val="000000"/>
                <w:szCs w:val="21"/>
              </w:rPr>
              <w:t>　</w:t>
            </w:r>
          </w:p>
        </w:tc>
      </w:tr>
    </w:tbl>
    <w:p>
      <w:pPr>
        <w:autoSpaceDE/>
        <w:autoSpaceDN/>
        <w:snapToGrid w:val="0"/>
        <w:spacing w:line="400" w:lineRule="atLeast"/>
        <w:ind w:left="-105" w:leftChars="-50" w:right="-105" w:rightChars="-50" w:firstLine="482" w:firstLineChars="200"/>
        <w:jc w:val="left"/>
        <w:textAlignment w:val="auto"/>
        <w:rPr>
          <w:rFonts w:ascii="宋体" w:hAnsi="宋体" w:cs="宋体"/>
          <w:b/>
          <w:sz w:val="24"/>
          <w:szCs w:val="24"/>
        </w:rPr>
      </w:pPr>
    </w:p>
    <w:p>
      <w:pPr>
        <w:autoSpaceDE/>
        <w:autoSpaceDN/>
        <w:snapToGrid w:val="0"/>
        <w:spacing w:line="400" w:lineRule="atLeast"/>
        <w:ind w:left="-105" w:leftChars="-50" w:right="-105" w:rightChars="-50" w:firstLine="482" w:firstLineChars="200"/>
        <w:jc w:val="left"/>
        <w:textAlignment w:val="auto"/>
        <w:rPr>
          <w:rFonts w:ascii="宋体" w:hAnsi="宋体" w:cs="宋体"/>
          <w:b/>
          <w:sz w:val="24"/>
          <w:szCs w:val="24"/>
        </w:rPr>
      </w:pPr>
      <w:r>
        <w:rPr>
          <w:rFonts w:hint="eastAsia" w:ascii="宋体" w:hAnsi="宋体" w:cs="宋体"/>
          <w:b/>
          <w:sz w:val="24"/>
          <w:szCs w:val="24"/>
        </w:rPr>
        <w:t>五：甲乙双方责任和义务</w:t>
      </w:r>
    </w:p>
    <w:p>
      <w:pPr>
        <w:autoSpaceDE/>
        <w:autoSpaceDN/>
        <w:snapToGrid w:val="0"/>
        <w:spacing w:line="400" w:lineRule="atLeast"/>
        <w:ind w:left="-105" w:leftChars="-50" w:right="-105" w:rightChars="-50" w:firstLine="480" w:firstLineChars="200"/>
        <w:jc w:val="left"/>
        <w:textAlignment w:val="auto"/>
        <w:rPr>
          <w:rFonts w:ascii="宋体" w:hAnsi="宋体" w:cs="宋体"/>
          <w:sz w:val="24"/>
          <w:szCs w:val="24"/>
        </w:rPr>
      </w:pPr>
      <w:r>
        <w:rPr>
          <w:rFonts w:hint="eastAsia" w:ascii="宋体" w:hAnsi="宋体" w:cs="宋体"/>
          <w:sz w:val="24"/>
          <w:szCs w:val="24"/>
        </w:rPr>
        <w:t>1、甲方责任和义务</w:t>
      </w:r>
    </w:p>
    <w:p>
      <w:pPr>
        <w:autoSpaceDE/>
        <w:autoSpaceDN/>
        <w:snapToGrid w:val="0"/>
        <w:spacing w:line="400" w:lineRule="atLeast"/>
        <w:ind w:left="-105" w:leftChars="-50" w:right="-105" w:rightChars="-50" w:firstLine="480" w:firstLineChars="200"/>
        <w:jc w:val="left"/>
        <w:textAlignment w:val="auto"/>
        <w:rPr>
          <w:rFonts w:ascii="宋体" w:hAnsi="宋体" w:cs="宋体"/>
          <w:sz w:val="24"/>
          <w:szCs w:val="24"/>
        </w:rPr>
      </w:pPr>
      <w:r>
        <w:rPr>
          <w:rFonts w:hint="eastAsia" w:ascii="宋体" w:hAnsi="宋体" w:cs="宋体"/>
          <w:sz w:val="24"/>
          <w:szCs w:val="24"/>
        </w:rPr>
        <w:t>（1）在现场采样时为乙方采样人员提供采样所需的工作条件，并安排1名熟悉情况的人员配合现场采样。</w:t>
      </w:r>
    </w:p>
    <w:p>
      <w:pPr>
        <w:autoSpaceDE/>
        <w:autoSpaceDN/>
        <w:snapToGrid w:val="0"/>
        <w:spacing w:line="400" w:lineRule="atLeast"/>
        <w:ind w:left="-105" w:leftChars="-50" w:right="-105" w:rightChars="-50" w:firstLine="480" w:firstLineChars="200"/>
        <w:jc w:val="left"/>
        <w:textAlignment w:val="auto"/>
        <w:rPr>
          <w:rFonts w:ascii="宋体" w:hAnsi="宋体" w:cs="宋体"/>
          <w:sz w:val="24"/>
          <w:szCs w:val="24"/>
        </w:rPr>
      </w:pPr>
      <w:r>
        <w:rPr>
          <w:rFonts w:hint="eastAsia" w:ascii="宋体" w:hAnsi="宋体" w:cs="宋体"/>
          <w:sz w:val="24"/>
          <w:szCs w:val="24"/>
        </w:rPr>
        <w:t>（2）依据本协议规定付款。</w:t>
      </w:r>
    </w:p>
    <w:p>
      <w:pPr>
        <w:autoSpaceDE/>
        <w:autoSpaceDN/>
        <w:snapToGrid w:val="0"/>
        <w:spacing w:line="400" w:lineRule="atLeast"/>
        <w:ind w:left="-105" w:leftChars="-50" w:right="-105" w:rightChars="-50" w:firstLine="480" w:firstLineChars="200"/>
        <w:jc w:val="left"/>
        <w:textAlignment w:val="auto"/>
        <w:rPr>
          <w:rFonts w:ascii="宋体" w:hAnsi="宋体" w:cs="宋体"/>
          <w:sz w:val="24"/>
          <w:szCs w:val="24"/>
        </w:rPr>
      </w:pPr>
      <w:r>
        <w:rPr>
          <w:rFonts w:hint="eastAsia" w:ascii="宋体" w:hAnsi="宋体" w:cs="宋体"/>
          <w:sz w:val="24"/>
          <w:szCs w:val="24"/>
        </w:rPr>
        <w:t xml:space="preserve">2、乙方责任和义务   </w:t>
      </w:r>
    </w:p>
    <w:p>
      <w:pPr>
        <w:autoSpaceDE/>
        <w:autoSpaceDN/>
        <w:snapToGrid w:val="0"/>
        <w:spacing w:line="400" w:lineRule="atLeast"/>
        <w:ind w:left="-105" w:leftChars="-50" w:right="-105" w:rightChars="-50" w:firstLine="480" w:firstLineChars="200"/>
        <w:jc w:val="left"/>
        <w:textAlignment w:val="auto"/>
        <w:rPr>
          <w:rFonts w:ascii="宋体" w:hAnsi="宋体" w:cs="宋体"/>
          <w:sz w:val="24"/>
          <w:szCs w:val="24"/>
        </w:rPr>
      </w:pPr>
      <w:r>
        <w:rPr>
          <w:rFonts w:hint="eastAsia" w:ascii="宋体" w:hAnsi="宋体" w:cs="宋体"/>
          <w:sz w:val="24"/>
          <w:szCs w:val="24"/>
        </w:rPr>
        <w:t>（1）接受甲方的安排，在甲方具备采样条件的情况下委派专业的采样人员到甲方进行现场采样。</w:t>
      </w:r>
    </w:p>
    <w:p>
      <w:pPr>
        <w:autoSpaceDE/>
        <w:autoSpaceDN/>
        <w:snapToGrid w:val="0"/>
        <w:spacing w:line="400" w:lineRule="atLeast"/>
        <w:ind w:left="-105" w:leftChars="-50" w:right="-105" w:rightChars="-50" w:firstLine="480" w:firstLineChars="200"/>
        <w:jc w:val="left"/>
        <w:textAlignment w:val="auto"/>
        <w:rPr>
          <w:rFonts w:ascii="宋体" w:hAnsi="宋体" w:cs="宋体"/>
          <w:sz w:val="24"/>
          <w:szCs w:val="24"/>
        </w:rPr>
      </w:pPr>
      <w:r>
        <w:rPr>
          <w:rFonts w:hint="eastAsia" w:ascii="宋体" w:hAnsi="宋体" w:cs="宋体"/>
          <w:sz w:val="24"/>
          <w:szCs w:val="24"/>
        </w:rPr>
        <w:t>（2）对履行本协议过程中所知悉的甲方的商业秘密（包括但不限于甲方所提供的资料、最终的检测结果等）承担保密义务，且该保密义务应当不受时间限制而持续有效。</w:t>
      </w:r>
    </w:p>
    <w:p>
      <w:pPr>
        <w:autoSpaceDE/>
        <w:autoSpaceDN/>
        <w:snapToGrid w:val="0"/>
        <w:spacing w:line="400" w:lineRule="atLeast"/>
        <w:ind w:left="-105" w:leftChars="-50" w:right="-105" w:rightChars="-50" w:firstLine="480" w:firstLineChars="200"/>
        <w:jc w:val="left"/>
        <w:textAlignment w:val="auto"/>
        <w:rPr>
          <w:rFonts w:ascii="宋体" w:hAnsi="宋体" w:cs="宋体"/>
          <w:sz w:val="24"/>
          <w:szCs w:val="24"/>
        </w:rPr>
      </w:pPr>
      <w:r>
        <w:rPr>
          <w:rFonts w:hint="eastAsia" w:ascii="宋体" w:hAnsi="宋体" w:cs="宋体"/>
          <w:sz w:val="24"/>
          <w:szCs w:val="24"/>
        </w:rPr>
        <w:t>（3）乙方确保具备履行本协议的相关资质及技能。</w:t>
      </w:r>
    </w:p>
    <w:p>
      <w:pPr>
        <w:autoSpaceDE/>
        <w:autoSpaceDN/>
        <w:snapToGrid w:val="0"/>
        <w:spacing w:line="400" w:lineRule="atLeast"/>
        <w:ind w:left="-105" w:leftChars="-50" w:right="-105" w:rightChars="-50" w:firstLine="480" w:firstLineChars="200"/>
        <w:jc w:val="left"/>
        <w:textAlignment w:val="auto"/>
        <w:rPr>
          <w:rFonts w:ascii="宋体" w:hAnsi="宋体" w:cs="宋体"/>
          <w:sz w:val="24"/>
          <w:szCs w:val="24"/>
        </w:rPr>
      </w:pPr>
      <w:r>
        <w:rPr>
          <w:rFonts w:hint="eastAsia" w:ascii="宋体" w:hAnsi="宋体" w:cs="宋体"/>
          <w:sz w:val="24"/>
          <w:szCs w:val="24"/>
        </w:rPr>
        <w:t>（4）乙方在完成每次采样后7个工作日内向甲方</w:t>
      </w:r>
      <w:r>
        <w:rPr>
          <w:rFonts w:hint="eastAsia" w:ascii="宋体" w:hAnsi="宋体"/>
          <w:sz w:val="24"/>
          <w:szCs w:val="24"/>
        </w:rPr>
        <w:t>分别出具服务监测项目</w:t>
      </w:r>
      <w:r>
        <w:rPr>
          <w:rFonts w:hint="eastAsia" w:ascii="宋体" w:hAnsi="宋体" w:cs="宋体"/>
          <w:sz w:val="24"/>
          <w:szCs w:val="24"/>
        </w:rPr>
        <w:t>的“CMA”认证监测报告。</w:t>
      </w:r>
    </w:p>
    <w:p>
      <w:pPr>
        <w:autoSpaceDE/>
        <w:autoSpaceDN/>
        <w:snapToGrid w:val="0"/>
        <w:spacing w:line="400" w:lineRule="atLeast"/>
        <w:ind w:left="-105" w:leftChars="-50" w:right="-105" w:rightChars="-50" w:firstLine="482" w:firstLineChars="200"/>
        <w:jc w:val="left"/>
        <w:textAlignment w:val="auto"/>
        <w:rPr>
          <w:rFonts w:ascii="宋体" w:hAnsi="宋体" w:cs="宋体"/>
          <w:b/>
          <w:sz w:val="24"/>
          <w:szCs w:val="24"/>
        </w:rPr>
      </w:pPr>
      <w:r>
        <w:rPr>
          <w:rFonts w:hint="eastAsia" w:ascii="宋体" w:hAnsi="宋体" w:cs="宋体"/>
          <w:b/>
          <w:sz w:val="24"/>
          <w:szCs w:val="24"/>
        </w:rPr>
        <w:t>六、纠份解决办法：</w:t>
      </w:r>
    </w:p>
    <w:p>
      <w:pPr>
        <w:autoSpaceDE/>
        <w:autoSpaceDN/>
        <w:snapToGrid w:val="0"/>
        <w:spacing w:line="400" w:lineRule="atLeast"/>
        <w:ind w:left="-105" w:leftChars="-50" w:right="-105" w:rightChars="-50" w:firstLine="480" w:firstLineChars="200"/>
        <w:jc w:val="left"/>
        <w:textAlignment w:val="auto"/>
        <w:rPr>
          <w:rFonts w:ascii="宋体" w:hAnsi="宋体" w:cs="宋体"/>
          <w:sz w:val="24"/>
          <w:szCs w:val="24"/>
        </w:rPr>
      </w:pPr>
      <w:r>
        <w:rPr>
          <w:rFonts w:hint="eastAsia" w:ascii="宋体" w:hAnsi="宋体" w:cs="宋体"/>
          <w:sz w:val="24"/>
          <w:szCs w:val="24"/>
        </w:rPr>
        <w:t>本合同执行过程中如有争议，应首先由甲、乙双方友好协商解决；协商不成，双方约定提交甲方所在地有管辖权的人民法院解决。所有对本合同的变更，需以双方共同达成的书面补充协议为准。</w:t>
      </w:r>
    </w:p>
    <w:p>
      <w:pPr>
        <w:autoSpaceDE/>
        <w:autoSpaceDN/>
        <w:snapToGrid w:val="0"/>
        <w:spacing w:line="400" w:lineRule="atLeast"/>
        <w:ind w:left="-105" w:leftChars="-50" w:right="-105" w:rightChars="-50" w:firstLine="482" w:firstLineChars="200"/>
        <w:jc w:val="left"/>
        <w:textAlignment w:val="auto"/>
        <w:rPr>
          <w:rFonts w:ascii="宋体" w:hAnsi="宋体" w:cs="宋体"/>
          <w:b/>
          <w:sz w:val="24"/>
          <w:szCs w:val="24"/>
        </w:rPr>
      </w:pPr>
      <w:r>
        <w:rPr>
          <w:rFonts w:hint="eastAsia" w:ascii="宋体" w:hAnsi="宋体" w:cs="宋体"/>
          <w:b/>
          <w:sz w:val="24"/>
          <w:szCs w:val="24"/>
        </w:rPr>
        <w:t>七、合同生效：</w:t>
      </w:r>
    </w:p>
    <w:p>
      <w:pPr>
        <w:autoSpaceDE/>
        <w:autoSpaceDN/>
        <w:snapToGrid w:val="0"/>
        <w:spacing w:line="400" w:lineRule="atLeast"/>
        <w:ind w:left="-105" w:leftChars="-50" w:right="-105" w:rightChars="-50" w:firstLine="480" w:firstLineChars="200"/>
        <w:jc w:val="left"/>
        <w:textAlignment w:val="auto"/>
        <w:rPr>
          <w:rFonts w:ascii="宋体" w:hAnsi="宋体" w:cs="宋体"/>
          <w:sz w:val="24"/>
          <w:szCs w:val="24"/>
        </w:rPr>
      </w:pPr>
      <w:r>
        <w:rPr>
          <w:rFonts w:hint="eastAsia" w:ascii="宋体" w:hAnsi="宋体" w:cs="宋体"/>
          <w:sz w:val="24"/>
          <w:szCs w:val="24"/>
        </w:rPr>
        <w:t xml:space="preserve"> 1、合同订立时间</w:t>
      </w:r>
      <w:r>
        <w:rPr>
          <w:rFonts w:hint="eastAsia" w:ascii="宋体" w:hAnsi="宋体" w:cs="宋体"/>
          <w:sz w:val="24"/>
          <w:szCs w:val="24"/>
          <w:u w:val="single"/>
        </w:rPr>
        <w:t>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autoSpaceDE/>
        <w:autoSpaceDN/>
        <w:snapToGrid w:val="0"/>
        <w:spacing w:line="400" w:lineRule="atLeast"/>
        <w:ind w:left="-105" w:leftChars="-50" w:right="-105" w:rightChars="-50" w:firstLine="480" w:firstLineChars="200"/>
        <w:jc w:val="left"/>
        <w:textAlignment w:val="auto"/>
        <w:rPr>
          <w:rFonts w:ascii="宋体" w:hAnsi="宋体" w:cs="宋体"/>
          <w:sz w:val="24"/>
          <w:szCs w:val="24"/>
        </w:rPr>
      </w:pPr>
      <w:r>
        <w:rPr>
          <w:rFonts w:hint="eastAsia" w:ascii="宋体" w:hAnsi="宋体" w:cs="宋体"/>
          <w:sz w:val="24"/>
          <w:szCs w:val="24"/>
        </w:rPr>
        <w:t xml:space="preserve"> 2、合同订立地点：</w:t>
      </w:r>
      <w:r>
        <w:rPr>
          <w:rFonts w:hint="eastAsia" w:ascii="宋体" w:hAnsi="宋体" w:cs="宋体"/>
          <w:sz w:val="24"/>
          <w:szCs w:val="24"/>
          <w:u w:val="single"/>
        </w:rPr>
        <w:t>厦门同集热电有限公司</w:t>
      </w:r>
    </w:p>
    <w:p>
      <w:pPr>
        <w:autoSpaceDE/>
        <w:autoSpaceDN/>
        <w:snapToGrid w:val="0"/>
        <w:spacing w:line="400" w:lineRule="atLeast"/>
        <w:ind w:left="-105" w:leftChars="-50" w:right="-105" w:rightChars="-50" w:firstLine="480" w:firstLineChars="200"/>
        <w:jc w:val="left"/>
        <w:textAlignment w:val="auto"/>
        <w:rPr>
          <w:rFonts w:ascii="宋体" w:hAnsi="宋体" w:cs="宋体"/>
          <w:sz w:val="24"/>
          <w:szCs w:val="24"/>
        </w:rPr>
      </w:pPr>
      <w:r>
        <w:rPr>
          <w:rFonts w:hint="eastAsia" w:ascii="宋体" w:hAnsi="宋体" w:cs="宋体"/>
          <w:sz w:val="24"/>
          <w:szCs w:val="24"/>
        </w:rPr>
        <w:t xml:space="preserve"> 3、本合同一式四份，甲乙方双各持两份，具有同等的法律效力。</w:t>
      </w:r>
    </w:p>
    <w:p>
      <w:pPr>
        <w:autoSpaceDE/>
        <w:autoSpaceDN/>
        <w:snapToGrid w:val="0"/>
        <w:spacing w:line="400" w:lineRule="atLeast"/>
        <w:ind w:left="-105" w:leftChars="-50" w:right="-105" w:rightChars="-50" w:firstLine="480" w:firstLineChars="200"/>
        <w:jc w:val="left"/>
        <w:textAlignment w:val="auto"/>
        <w:rPr>
          <w:rFonts w:ascii="宋体" w:hAnsi="宋体" w:cs="宋体"/>
          <w:b/>
          <w:bCs/>
          <w:sz w:val="24"/>
          <w:szCs w:val="24"/>
        </w:rPr>
      </w:pPr>
      <w:r>
        <w:rPr>
          <w:rFonts w:hint="eastAsia" w:ascii="宋体" w:hAnsi="宋体" w:cs="宋体"/>
          <w:sz w:val="24"/>
          <w:szCs w:val="24"/>
        </w:rPr>
        <w:t xml:space="preserve"> 4、本合同双方约定：自双方代表签字，加盖公章或合同专用章即生效；服务周期结束，服务费用结清后终止。</w:t>
      </w:r>
    </w:p>
    <w:p>
      <w:pPr>
        <w:autoSpaceDE/>
        <w:autoSpaceDN/>
        <w:adjustRightInd/>
        <w:spacing w:beforeLines="50" w:afterLines="50" w:line="400" w:lineRule="atLeast"/>
        <w:ind w:left="105" w:leftChars="50" w:right="-210" w:rightChars="-100" w:firstLine="198"/>
        <w:textAlignment w:val="auto"/>
        <w:rPr>
          <w:rFonts w:ascii="宋体" w:hAnsi="宋体" w:cs="宋体"/>
          <w:b/>
          <w:bCs/>
          <w:sz w:val="24"/>
          <w:szCs w:val="24"/>
        </w:rPr>
      </w:pPr>
      <w:r>
        <w:rPr>
          <w:rFonts w:hint="eastAsia" w:ascii="宋体" w:hAnsi="宋体" w:cs="宋体"/>
          <w:b/>
          <w:bCs/>
          <w:sz w:val="24"/>
          <w:szCs w:val="24"/>
        </w:rPr>
        <w:t>双方签署页：（以下无正文）</w:t>
      </w:r>
    </w:p>
    <w:p>
      <w:pPr>
        <w:autoSpaceDE/>
        <w:autoSpaceDN/>
        <w:adjustRightInd/>
        <w:spacing w:beforeLines="50" w:afterLines="50" w:line="400" w:lineRule="atLeast"/>
        <w:ind w:left="420" w:leftChars="200" w:right="-210" w:rightChars="-100"/>
        <w:jc w:val="left"/>
        <w:textAlignment w:val="auto"/>
        <w:rPr>
          <w:rFonts w:ascii="宋体" w:hAnsi="宋体" w:cs="宋体"/>
          <w:sz w:val="24"/>
          <w:szCs w:val="24"/>
        </w:rPr>
      </w:pPr>
      <w:r>
        <w:rPr>
          <w:rFonts w:hint="eastAsia" w:ascii="宋体" w:hAnsi="宋体" w:cs="宋体"/>
          <w:sz w:val="24"/>
          <w:szCs w:val="24"/>
        </w:rPr>
        <w:t>甲方：                                  乙方：</w:t>
      </w:r>
    </w:p>
    <w:p>
      <w:pPr>
        <w:tabs>
          <w:tab w:val="left" w:pos="4920"/>
        </w:tabs>
        <w:autoSpaceDE/>
        <w:autoSpaceDN/>
        <w:adjustRightInd/>
        <w:spacing w:beforeLines="50" w:afterLines="50" w:line="400" w:lineRule="atLeast"/>
        <w:ind w:left="105" w:leftChars="50" w:right="-210" w:rightChars="-100" w:firstLine="316" w:firstLineChars="132"/>
        <w:jc w:val="left"/>
        <w:textAlignment w:val="auto"/>
        <w:rPr>
          <w:rFonts w:ascii="宋体" w:hAnsi="宋体" w:cs="宋体"/>
          <w:sz w:val="24"/>
          <w:szCs w:val="24"/>
        </w:rPr>
      </w:pPr>
      <w:r>
        <w:rPr>
          <w:rFonts w:hint="eastAsia" w:ascii="宋体" w:hAnsi="宋体" w:cs="宋体"/>
          <w:sz w:val="24"/>
          <w:szCs w:val="24"/>
        </w:rPr>
        <w:t>代表：                                  代表：</w:t>
      </w:r>
    </w:p>
    <w:p>
      <w:pPr>
        <w:tabs>
          <w:tab w:val="left" w:pos="5040"/>
        </w:tabs>
        <w:autoSpaceDE/>
        <w:autoSpaceDN/>
        <w:adjustRightInd/>
        <w:spacing w:beforeLines="50" w:afterLines="50" w:line="400" w:lineRule="atLeast"/>
        <w:ind w:left="105" w:leftChars="50" w:right="-210" w:rightChars="-100" w:firstLine="316" w:firstLineChars="132"/>
        <w:jc w:val="left"/>
        <w:textAlignment w:val="auto"/>
        <w:rPr>
          <w:rFonts w:ascii="宋体" w:hAnsi="宋体" w:cs="宋体"/>
          <w:sz w:val="24"/>
          <w:szCs w:val="24"/>
        </w:rPr>
      </w:pPr>
      <w:r>
        <w:rPr>
          <w:rFonts w:hint="eastAsia" w:ascii="宋体" w:hAnsi="宋体" w:cs="宋体"/>
          <w:sz w:val="24"/>
          <w:szCs w:val="24"/>
        </w:rPr>
        <w:t xml:space="preserve">电话：  </w:t>
      </w:r>
      <w:r>
        <w:rPr>
          <w:rFonts w:hint="eastAsia" w:ascii="宋体" w:hAnsi="宋体" w:cs="宋体"/>
          <w:sz w:val="24"/>
          <w:szCs w:val="24"/>
        </w:rPr>
        <w:tab/>
      </w:r>
      <w:r>
        <w:rPr>
          <w:rFonts w:hint="eastAsia" w:ascii="宋体" w:hAnsi="宋体" w:cs="宋体"/>
          <w:sz w:val="24"/>
          <w:szCs w:val="24"/>
        </w:rPr>
        <w:t xml:space="preserve">  电话：</w:t>
      </w:r>
    </w:p>
    <w:p>
      <w:pPr>
        <w:tabs>
          <w:tab w:val="left" w:pos="5040"/>
        </w:tabs>
        <w:autoSpaceDE/>
        <w:autoSpaceDN/>
        <w:adjustRightInd/>
        <w:spacing w:beforeLines="50" w:afterLines="50" w:line="400" w:lineRule="atLeast"/>
        <w:ind w:left="105" w:leftChars="50" w:right="-210" w:rightChars="-100" w:firstLine="316" w:firstLineChars="132"/>
        <w:jc w:val="left"/>
        <w:textAlignment w:val="auto"/>
        <w:rPr>
          <w:rFonts w:ascii="宋体" w:hAnsi="宋体" w:cs="宋体"/>
          <w:sz w:val="24"/>
          <w:szCs w:val="24"/>
        </w:rPr>
      </w:pPr>
      <w:r>
        <w:rPr>
          <w:rFonts w:hint="eastAsia" w:ascii="宋体" w:hAnsi="宋体" w:cs="宋体"/>
          <w:sz w:val="24"/>
          <w:szCs w:val="24"/>
        </w:rPr>
        <w:t>邮政编码：                              邮政编码：</w:t>
      </w:r>
    </w:p>
    <w:p>
      <w:pPr>
        <w:tabs>
          <w:tab w:val="left" w:pos="5040"/>
        </w:tabs>
        <w:autoSpaceDE/>
        <w:autoSpaceDN/>
        <w:adjustRightInd/>
        <w:spacing w:beforeLines="50" w:afterLines="50" w:line="400" w:lineRule="atLeast"/>
        <w:ind w:left="105" w:leftChars="50" w:right="-210" w:rightChars="-100" w:firstLine="316" w:firstLineChars="132"/>
        <w:jc w:val="left"/>
        <w:textAlignment w:val="auto"/>
        <w:rPr>
          <w:rFonts w:ascii="宋体" w:hAnsi="宋体" w:cs="宋体"/>
          <w:sz w:val="24"/>
          <w:szCs w:val="24"/>
        </w:rPr>
      </w:pPr>
      <w:r>
        <w:rPr>
          <w:rFonts w:hint="eastAsia" w:ascii="宋体" w:hAnsi="宋体" w:cs="宋体"/>
          <w:sz w:val="24"/>
          <w:szCs w:val="24"/>
        </w:rPr>
        <w:t xml:space="preserve">传真：  </w:t>
      </w:r>
      <w:r>
        <w:rPr>
          <w:rFonts w:hint="eastAsia" w:ascii="宋体" w:hAnsi="宋体" w:cs="宋体"/>
          <w:sz w:val="24"/>
          <w:szCs w:val="24"/>
        </w:rPr>
        <w:tab/>
      </w:r>
      <w:r>
        <w:rPr>
          <w:rFonts w:hint="eastAsia" w:ascii="宋体" w:hAnsi="宋体" w:cs="宋体"/>
          <w:sz w:val="24"/>
          <w:szCs w:val="24"/>
        </w:rPr>
        <w:t xml:space="preserve">  传真：</w:t>
      </w:r>
    </w:p>
    <w:p>
      <w:pPr>
        <w:tabs>
          <w:tab w:val="left" w:pos="4680"/>
        </w:tabs>
        <w:autoSpaceDE/>
        <w:autoSpaceDN/>
        <w:adjustRightInd/>
        <w:spacing w:beforeLines="50" w:afterLines="50" w:line="400" w:lineRule="atLeast"/>
        <w:ind w:left="105" w:leftChars="50" w:right="-210" w:rightChars="-100" w:firstLine="316" w:firstLineChars="132"/>
        <w:jc w:val="left"/>
        <w:textAlignment w:val="auto"/>
        <w:rPr>
          <w:rFonts w:ascii="宋体" w:hAnsi="宋体" w:cs="宋体"/>
          <w:sz w:val="24"/>
          <w:szCs w:val="24"/>
        </w:rPr>
      </w:pPr>
      <w:r>
        <w:rPr>
          <w:rFonts w:hint="eastAsia" w:ascii="宋体" w:hAnsi="宋体" w:cs="宋体"/>
          <w:sz w:val="24"/>
          <w:szCs w:val="24"/>
        </w:rPr>
        <w:t>开户银行：                               开户银行：</w:t>
      </w:r>
    </w:p>
    <w:p>
      <w:pPr>
        <w:tabs>
          <w:tab w:val="left" w:pos="4680"/>
        </w:tabs>
        <w:autoSpaceDE/>
        <w:autoSpaceDN/>
        <w:adjustRightInd/>
        <w:spacing w:beforeLines="50" w:afterLines="50" w:line="400" w:lineRule="atLeast"/>
        <w:ind w:left="105" w:leftChars="50" w:right="-210" w:rightChars="-100" w:firstLine="316" w:firstLineChars="132"/>
        <w:jc w:val="left"/>
        <w:textAlignment w:val="auto"/>
        <w:rPr>
          <w:rFonts w:ascii="宋体" w:hAnsi="宋体" w:cs="宋体"/>
          <w:sz w:val="24"/>
          <w:szCs w:val="24"/>
        </w:rPr>
      </w:pPr>
      <w:r>
        <w:rPr>
          <w:rFonts w:hint="eastAsia" w:ascii="宋体" w:hAnsi="宋体" w:cs="宋体"/>
          <w:sz w:val="24"/>
          <w:szCs w:val="24"/>
        </w:rPr>
        <w:t>帐号：                                   帐号</w:t>
      </w:r>
    </w:p>
    <w:p>
      <w:pPr>
        <w:tabs>
          <w:tab w:val="left" w:pos="4680"/>
        </w:tabs>
        <w:kinsoku w:val="0"/>
        <w:overflowPunct w:val="0"/>
        <w:adjustRightInd/>
        <w:spacing w:line="400" w:lineRule="atLeast"/>
        <w:jc w:val="left"/>
        <w:textAlignment w:val="auto"/>
        <w:rPr>
          <w:rFonts w:ascii="宋体" w:hAnsi="宋体" w:cs="宋体"/>
          <w:sz w:val="24"/>
          <w:szCs w:val="24"/>
        </w:rPr>
      </w:pPr>
    </w:p>
    <w:p>
      <w:pPr>
        <w:tabs>
          <w:tab w:val="left" w:pos="4680"/>
        </w:tabs>
        <w:kinsoku w:val="0"/>
        <w:overflowPunct w:val="0"/>
        <w:adjustRightInd/>
        <w:spacing w:line="400" w:lineRule="atLeast"/>
        <w:ind w:firstLine="316" w:firstLineChars="132"/>
        <w:jc w:val="left"/>
        <w:textAlignment w:val="auto"/>
        <w:rPr>
          <w:rFonts w:ascii="宋体" w:hAnsi="宋体" w:cs="宋体"/>
          <w:sz w:val="24"/>
          <w:szCs w:val="24"/>
        </w:rPr>
      </w:pPr>
    </w:p>
    <w:p>
      <w:pPr>
        <w:tabs>
          <w:tab w:val="left" w:pos="4680"/>
        </w:tabs>
        <w:kinsoku w:val="0"/>
        <w:overflowPunct w:val="0"/>
        <w:adjustRightInd/>
        <w:spacing w:line="400" w:lineRule="atLeast"/>
        <w:ind w:firstLine="316" w:firstLineChars="132"/>
        <w:jc w:val="left"/>
        <w:textAlignment w:val="auto"/>
        <w:rPr>
          <w:rFonts w:ascii="宋体" w:hAnsi="宋体" w:cs="宋体"/>
          <w:sz w:val="24"/>
          <w:szCs w:val="24"/>
        </w:rPr>
      </w:pPr>
    </w:p>
    <w:p>
      <w:pPr>
        <w:tabs>
          <w:tab w:val="left" w:pos="4680"/>
        </w:tabs>
        <w:kinsoku w:val="0"/>
        <w:overflowPunct w:val="0"/>
        <w:adjustRightInd/>
        <w:spacing w:line="400" w:lineRule="atLeast"/>
        <w:ind w:firstLine="316" w:firstLineChars="132"/>
        <w:jc w:val="left"/>
        <w:textAlignment w:val="auto"/>
        <w:rPr>
          <w:rFonts w:ascii="宋体" w:hAnsi="宋体" w:cs="宋体"/>
          <w:sz w:val="24"/>
          <w:szCs w:val="24"/>
        </w:rPr>
      </w:pPr>
    </w:p>
    <w:p>
      <w:pPr>
        <w:tabs>
          <w:tab w:val="left" w:pos="4680"/>
        </w:tabs>
        <w:kinsoku w:val="0"/>
        <w:overflowPunct w:val="0"/>
        <w:adjustRightInd/>
        <w:spacing w:line="400" w:lineRule="atLeast"/>
        <w:ind w:firstLine="316" w:firstLineChars="132"/>
        <w:jc w:val="left"/>
        <w:textAlignment w:val="auto"/>
        <w:rPr>
          <w:rFonts w:ascii="宋体" w:hAnsi="宋体" w:cs="宋体"/>
          <w:sz w:val="24"/>
          <w:szCs w:val="24"/>
        </w:rPr>
      </w:pPr>
    </w:p>
    <w:p>
      <w:pPr>
        <w:tabs>
          <w:tab w:val="left" w:pos="4680"/>
        </w:tabs>
        <w:kinsoku w:val="0"/>
        <w:overflowPunct w:val="0"/>
        <w:adjustRightInd/>
        <w:spacing w:line="400" w:lineRule="atLeast"/>
        <w:ind w:firstLine="316" w:firstLineChars="132"/>
        <w:jc w:val="left"/>
        <w:textAlignment w:val="auto"/>
        <w:rPr>
          <w:rFonts w:ascii="宋体" w:hAnsi="宋体" w:cs="宋体"/>
          <w:sz w:val="24"/>
          <w:szCs w:val="24"/>
        </w:rPr>
      </w:pPr>
    </w:p>
    <w:p>
      <w:pPr>
        <w:pStyle w:val="2"/>
        <w:rPr>
          <w:rFonts w:hAnsi="宋体" w:cs="宋体"/>
          <w:sz w:val="24"/>
          <w:szCs w:val="24"/>
        </w:rPr>
      </w:pPr>
    </w:p>
    <w:p>
      <w:pPr>
        <w:pStyle w:val="2"/>
        <w:rPr>
          <w:rFonts w:hAnsi="宋体" w:cs="宋体"/>
          <w:sz w:val="24"/>
          <w:szCs w:val="24"/>
        </w:rPr>
      </w:pPr>
    </w:p>
    <w:p>
      <w:pPr>
        <w:tabs>
          <w:tab w:val="left" w:pos="4680"/>
        </w:tabs>
        <w:kinsoku w:val="0"/>
        <w:overflowPunct w:val="0"/>
        <w:adjustRightInd/>
        <w:spacing w:line="400" w:lineRule="atLeast"/>
        <w:ind w:firstLine="316" w:firstLineChars="132"/>
        <w:jc w:val="left"/>
        <w:textAlignment w:val="auto"/>
        <w:rPr>
          <w:ins w:id="0" w:author="Happy" w:date="2023-12-07T15:27:40Z"/>
          <w:rFonts w:ascii="宋体" w:hAnsi="宋体" w:cs="宋体"/>
          <w:sz w:val="24"/>
          <w:szCs w:val="24"/>
        </w:rPr>
      </w:pPr>
    </w:p>
    <w:p>
      <w:pPr>
        <w:pStyle w:val="2"/>
        <w:rPr>
          <w:ins w:id="1" w:author="Happy" w:date="2023-12-07T15:27:40Z"/>
          <w:rFonts w:ascii="宋体" w:hAnsi="宋体" w:cs="宋体"/>
          <w:sz w:val="24"/>
          <w:szCs w:val="24"/>
        </w:rPr>
      </w:pPr>
    </w:p>
    <w:p>
      <w:pPr>
        <w:pStyle w:val="2"/>
        <w:rPr>
          <w:ins w:id="2" w:author="Happy" w:date="2023-12-07T15:27:40Z"/>
          <w:rFonts w:ascii="宋体" w:hAnsi="宋体" w:cs="宋体"/>
          <w:sz w:val="24"/>
          <w:szCs w:val="24"/>
        </w:rPr>
      </w:pPr>
    </w:p>
    <w:p>
      <w:pPr>
        <w:pStyle w:val="2"/>
        <w:rPr>
          <w:ins w:id="3" w:author="Happy" w:date="2023-12-07T15:27:40Z"/>
          <w:rFonts w:ascii="宋体" w:hAnsi="宋体" w:cs="宋体"/>
          <w:sz w:val="24"/>
          <w:szCs w:val="24"/>
        </w:rPr>
      </w:pPr>
    </w:p>
    <w:p>
      <w:pPr>
        <w:pStyle w:val="2"/>
        <w:rPr>
          <w:ins w:id="4" w:author="Happy" w:date="2023-12-07T15:27:41Z"/>
          <w:rFonts w:ascii="宋体" w:hAnsi="宋体" w:cs="宋体"/>
          <w:sz w:val="24"/>
          <w:szCs w:val="24"/>
        </w:rPr>
      </w:pPr>
    </w:p>
    <w:p>
      <w:pPr>
        <w:pStyle w:val="2"/>
        <w:rPr>
          <w:ins w:id="5" w:author="Happy" w:date="2023-12-07T15:27:41Z"/>
          <w:rFonts w:ascii="宋体" w:hAnsi="宋体" w:cs="宋体"/>
          <w:sz w:val="24"/>
          <w:szCs w:val="24"/>
        </w:rPr>
      </w:pPr>
    </w:p>
    <w:p>
      <w:pPr>
        <w:pStyle w:val="2"/>
        <w:rPr>
          <w:ins w:id="6" w:author="Happy" w:date="2023-12-07T15:27:41Z"/>
          <w:rFonts w:ascii="宋体" w:hAnsi="宋体" w:cs="宋体"/>
          <w:sz w:val="24"/>
          <w:szCs w:val="24"/>
        </w:rPr>
      </w:pPr>
    </w:p>
    <w:p>
      <w:pPr>
        <w:pStyle w:val="2"/>
        <w:rPr>
          <w:ins w:id="7" w:author="Happy" w:date="2023-12-07T15:27:42Z"/>
          <w:rFonts w:ascii="宋体" w:hAnsi="宋体" w:cs="宋体"/>
          <w:sz w:val="24"/>
          <w:szCs w:val="24"/>
        </w:rPr>
      </w:pPr>
    </w:p>
    <w:p>
      <w:pPr>
        <w:pStyle w:val="2"/>
        <w:rPr>
          <w:ins w:id="8" w:author="Happy" w:date="2023-12-07T15:27:42Z"/>
          <w:rFonts w:ascii="宋体" w:hAnsi="宋体" w:cs="宋体"/>
          <w:sz w:val="24"/>
          <w:szCs w:val="24"/>
        </w:rPr>
      </w:pPr>
    </w:p>
    <w:p>
      <w:pPr>
        <w:pStyle w:val="2"/>
        <w:rPr>
          <w:rFonts w:ascii="宋体" w:hAnsi="宋体" w:cs="宋体"/>
          <w:sz w:val="24"/>
          <w:szCs w:val="24"/>
        </w:rPr>
      </w:pPr>
    </w:p>
    <w:p>
      <w:pPr>
        <w:tabs>
          <w:tab w:val="left" w:pos="4680"/>
        </w:tabs>
        <w:kinsoku w:val="0"/>
        <w:overflowPunct w:val="0"/>
        <w:adjustRightInd/>
        <w:spacing w:line="400" w:lineRule="atLeast"/>
        <w:ind w:firstLine="316" w:firstLineChars="132"/>
        <w:jc w:val="left"/>
        <w:textAlignment w:val="auto"/>
        <w:rPr>
          <w:rFonts w:ascii="宋体" w:hAnsi="宋体" w:cs="宋体"/>
          <w:sz w:val="24"/>
          <w:szCs w:val="24"/>
        </w:rPr>
      </w:pPr>
    </w:p>
    <w:p>
      <w:pPr>
        <w:tabs>
          <w:tab w:val="left" w:pos="4680"/>
        </w:tabs>
        <w:kinsoku w:val="0"/>
        <w:overflowPunct w:val="0"/>
        <w:adjustRightInd/>
        <w:spacing w:line="400" w:lineRule="atLeast"/>
        <w:ind w:firstLine="316" w:firstLineChars="132"/>
        <w:jc w:val="left"/>
        <w:textAlignment w:val="auto"/>
        <w:rPr>
          <w:rFonts w:ascii="宋体" w:hAnsi="宋体" w:cs="宋体"/>
          <w:sz w:val="24"/>
          <w:szCs w:val="24"/>
        </w:rPr>
      </w:pPr>
    </w:p>
    <w:p>
      <w:pPr>
        <w:pStyle w:val="2"/>
      </w:pPr>
    </w:p>
    <w:p>
      <w:pPr>
        <w:pStyle w:val="4"/>
        <w:keepNext w:val="0"/>
        <w:keepLines w:val="0"/>
        <w:kinsoku w:val="0"/>
        <w:overflowPunct w:val="0"/>
        <w:autoSpaceDE w:val="0"/>
        <w:autoSpaceDN w:val="0"/>
        <w:adjustRightInd/>
        <w:spacing w:line="400" w:lineRule="atLeast"/>
        <w:ind w:firstLine="522" w:firstLineChars="200"/>
        <w:jc w:val="center"/>
        <w:textAlignment w:val="auto"/>
        <w:rPr>
          <w:rFonts w:ascii="宋体" w:hAnsi="宋体" w:eastAsia="宋体"/>
          <w:bCs/>
          <w:sz w:val="24"/>
          <w:szCs w:val="24"/>
        </w:rPr>
      </w:pPr>
      <w:r>
        <w:rPr>
          <w:rFonts w:hint="eastAsia" w:ascii="宋体" w:hAnsi="宋体" w:eastAsia="宋体"/>
          <w:bCs/>
          <w:sz w:val="24"/>
          <w:szCs w:val="24"/>
        </w:rPr>
        <w:t>第五部分 报价文件格式</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000" w:type="pct"/>
            <w:noWrap/>
          </w:tcPr>
          <w:p>
            <w:pPr>
              <w:kinsoku w:val="0"/>
              <w:overflowPunct w:val="0"/>
              <w:adjustRightInd/>
              <w:spacing w:line="400" w:lineRule="atLeast"/>
              <w:rPr>
                <w:rFonts w:ascii="宋体" w:hAnsi="宋体"/>
                <w:sz w:val="24"/>
              </w:rPr>
            </w:pPr>
            <w:r>
              <w:rPr>
                <w:rFonts w:hint="eastAsia" w:ascii="宋体" w:hAnsi="宋体"/>
                <w:sz w:val="24"/>
              </w:rPr>
              <w:t xml:space="preserve">注释： </w:t>
            </w:r>
          </w:p>
          <w:p>
            <w:pPr>
              <w:kinsoku w:val="0"/>
              <w:overflowPunct w:val="0"/>
              <w:adjustRightInd/>
              <w:spacing w:line="400" w:lineRule="atLeast"/>
              <w:ind w:firstLine="480"/>
              <w:rPr>
                <w:rFonts w:ascii="宋体" w:hAnsi="宋体"/>
                <w:sz w:val="24"/>
              </w:rPr>
            </w:pPr>
            <w:r>
              <w:rPr>
                <w:rFonts w:hint="eastAsia" w:ascii="宋体" w:hAnsi="宋体"/>
                <w:sz w:val="24"/>
              </w:rPr>
              <w:t>《报价文件格式》是报价方的部分报价文件格式和签订合同时所需文件的格式。报价方参照这些格式文件制作报价文件。</w:t>
            </w:r>
          </w:p>
        </w:tc>
      </w:tr>
    </w:tbl>
    <w:p>
      <w:pPr>
        <w:kinsoku w:val="0"/>
        <w:overflowPunct w:val="0"/>
        <w:adjustRightInd/>
        <w:spacing w:line="400" w:lineRule="atLeast"/>
        <w:rPr>
          <w:rFonts w:ascii="宋体" w:hAnsi="宋体"/>
          <w:b/>
          <w:sz w:val="36"/>
        </w:rPr>
      </w:pPr>
    </w:p>
    <w:p>
      <w:pPr>
        <w:kinsoku w:val="0"/>
        <w:overflowPunct w:val="0"/>
        <w:adjustRightInd/>
        <w:spacing w:line="400" w:lineRule="atLeast"/>
        <w:jc w:val="center"/>
        <w:outlineLvl w:val="0"/>
        <w:rPr>
          <w:rFonts w:ascii="宋体" w:hAnsi="宋体"/>
          <w:b/>
          <w:sz w:val="44"/>
          <w:szCs w:val="44"/>
        </w:rPr>
      </w:pPr>
      <w:r>
        <w:rPr>
          <w:rFonts w:hint="eastAsia" w:ascii="宋体" w:hAnsi="宋体"/>
          <w:b/>
          <w:sz w:val="44"/>
          <w:szCs w:val="44"/>
        </w:rPr>
        <w:t>厦门同集热电有限公司</w:t>
      </w:r>
    </w:p>
    <w:p>
      <w:pPr>
        <w:kinsoku w:val="0"/>
        <w:overflowPunct w:val="0"/>
        <w:adjustRightInd/>
        <w:spacing w:line="400" w:lineRule="atLeast"/>
        <w:jc w:val="center"/>
        <w:outlineLvl w:val="0"/>
        <w:rPr>
          <w:rFonts w:ascii="宋体" w:hAnsi="宋体"/>
          <w:b/>
          <w:sz w:val="44"/>
          <w:szCs w:val="44"/>
        </w:rPr>
      </w:pPr>
      <w:r>
        <w:rPr>
          <w:rFonts w:hint="eastAsia" w:ascii="宋体" w:hAnsi="宋体"/>
          <w:b/>
          <w:sz w:val="44"/>
          <w:szCs w:val="44"/>
        </w:rPr>
        <w:t>2024年-2025年环保自行监测项目</w:t>
      </w:r>
    </w:p>
    <w:p>
      <w:pPr>
        <w:kinsoku w:val="0"/>
        <w:overflowPunct w:val="0"/>
        <w:adjustRightInd/>
        <w:spacing w:line="400" w:lineRule="atLeast"/>
        <w:jc w:val="center"/>
        <w:outlineLvl w:val="0"/>
        <w:rPr>
          <w:rFonts w:ascii="宋体" w:hAnsi="宋体"/>
          <w:b/>
          <w:sz w:val="44"/>
          <w:szCs w:val="44"/>
        </w:rPr>
      </w:pPr>
    </w:p>
    <w:p>
      <w:pPr>
        <w:kinsoku w:val="0"/>
        <w:overflowPunct w:val="0"/>
        <w:adjustRightInd/>
        <w:spacing w:line="400" w:lineRule="atLeast"/>
        <w:jc w:val="center"/>
        <w:outlineLvl w:val="0"/>
        <w:rPr>
          <w:rFonts w:ascii="宋体" w:hAnsi="宋体"/>
          <w:b/>
          <w:sz w:val="44"/>
          <w:szCs w:val="44"/>
        </w:rPr>
      </w:pPr>
      <w:r>
        <w:rPr>
          <w:rFonts w:hint="eastAsia" w:ascii="宋体" w:hAnsi="宋体"/>
          <w:b/>
          <w:sz w:val="44"/>
          <w:szCs w:val="44"/>
        </w:rPr>
        <w:t>响应报价文件</w:t>
      </w:r>
    </w:p>
    <w:p>
      <w:pPr>
        <w:kinsoku w:val="0"/>
        <w:overflowPunct w:val="0"/>
        <w:adjustRightInd/>
        <w:spacing w:line="400" w:lineRule="atLeast"/>
        <w:ind w:firstLine="1446" w:firstLineChars="400"/>
        <w:rPr>
          <w:rFonts w:ascii="宋体" w:hAnsi="宋体"/>
          <w:b/>
          <w:sz w:val="36"/>
        </w:rPr>
      </w:pPr>
    </w:p>
    <w:p>
      <w:pPr>
        <w:kinsoku w:val="0"/>
        <w:overflowPunct w:val="0"/>
        <w:adjustRightInd/>
        <w:spacing w:line="400" w:lineRule="atLeast"/>
        <w:ind w:firstLine="1807" w:firstLineChars="500"/>
        <w:outlineLvl w:val="0"/>
        <w:rPr>
          <w:rFonts w:ascii="宋体" w:hAnsi="宋体"/>
          <w:b/>
          <w:sz w:val="36"/>
        </w:rPr>
      </w:pPr>
      <w:r>
        <w:rPr>
          <w:rFonts w:hint="eastAsia" w:ascii="宋体" w:hAnsi="宋体"/>
          <w:b/>
          <w:sz w:val="36"/>
        </w:rPr>
        <w:t>项 目 编 号：</w:t>
      </w:r>
      <w:r>
        <w:rPr>
          <w:rFonts w:hint="eastAsia"/>
          <w:kern w:val="2"/>
          <w:sz w:val="32"/>
          <w:szCs w:val="32"/>
        </w:rPr>
        <w:t>承揽140[2023]010</w:t>
      </w:r>
    </w:p>
    <w:p>
      <w:pPr>
        <w:kinsoku w:val="0"/>
        <w:overflowPunct w:val="0"/>
        <w:adjustRightInd/>
        <w:spacing w:line="400" w:lineRule="atLeast"/>
        <w:rPr>
          <w:rFonts w:ascii="宋体" w:hAnsi="宋体"/>
          <w:b/>
          <w:sz w:val="36"/>
        </w:rPr>
      </w:pPr>
    </w:p>
    <w:p>
      <w:pPr>
        <w:kinsoku w:val="0"/>
        <w:overflowPunct w:val="0"/>
        <w:adjustRightInd/>
        <w:spacing w:line="400" w:lineRule="atLeast"/>
        <w:rPr>
          <w:rFonts w:ascii="宋体" w:hAnsi="宋体"/>
          <w:b/>
          <w:sz w:val="36"/>
        </w:rPr>
      </w:pPr>
    </w:p>
    <w:p>
      <w:pPr>
        <w:kinsoku w:val="0"/>
        <w:overflowPunct w:val="0"/>
        <w:adjustRightInd/>
        <w:spacing w:line="400" w:lineRule="atLeast"/>
        <w:jc w:val="left"/>
        <w:rPr>
          <w:rFonts w:ascii="宋体" w:hAnsi="宋体"/>
          <w:b/>
          <w:bCs/>
          <w:sz w:val="32"/>
          <w:szCs w:val="32"/>
        </w:rPr>
      </w:pPr>
    </w:p>
    <w:p>
      <w:pPr>
        <w:kinsoku w:val="0"/>
        <w:overflowPunct w:val="0"/>
        <w:adjustRightInd/>
        <w:spacing w:line="400" w:lineRule="atLeast"/>
        <w:ind w:firstLine="602" w:firstLineChars="200"/>
        <w:jc w:val="left"/>
        <w:outlineLvl w:val="0"/>
        <w:rPr>
          <w:rFonts w:ascii="宋体" w:hAnsi="宋体"/>
          <w:b/>
          <w:bCs/>
          <w:sz w:val="30"/>
          <w:szCs w:val="30"/>
          <w:u w:val="single"/>
        </w:rPr>
      </w:pPr>
      <w:r>
        <w:rPr>
          <w:rFonts w:hint="eastAsia" w:ascii="宋体" w:hAnsi="宋体"/>
          <w:b/>
          <w:bCs/>
          <w:sz w:val="30"/>
          <w:szCs w:val="30"/>
        </w:rPr>
        <w:t>报价单位：</w:t>
      </w:r>
      <w:r>
        <w:rPr>
          <w:rFonts w:hint="eastAsia" w:ascii="宋体" w:hAnsi="宋体"/>
          <w:b/>
          <w:bCs/>
          <w:sz w:val="30"/>
          <w:szCs w:val="30"/>
          <w:u w:val="single"/>
        </w:rPr>
        <w:t xml:space="preserve">                           （盖公章）</w:t>
      </w:r>
    </w:p>
    <w:p>
      <w:pPr>
        <w:kinsoku w:val="0"/>
        <w:overflowPunct w:val="0"/>
        <w:adjustRightInd/>
        <w:spacing w:line="400" w:lineRule="atLeast"/>
        <w:jc w:val="left"/>
        <w:rPr>
          <w:rFonts w:ascii="宋体" w:hAnsi="宋体"/>
          <w:b/>
          <w:bCs/>
          <w:sz w:val="30"/>
          <w:szCs w:val="30"/>
          <w:u w:val="single"/>
        </w:rPr>
      </w:pPr>
    </w:p>
    <w:p>
      <w:pPr>
        <w:kinsoku w:val="0"/>
        <w:overflowPunct w:val="0"/>
        <w:adjustRightInd/>
        <w:spacing w:line="400" w:lineRule="atLeast"/>
        <w:ind w:firstLine="602" w:firstLineChars="200"/>
        <w:jc w:val="left"/>
        <w:outlineLvl w:val="0"/>
        <w:rPr>
          <w:rFonts w:ascii="宋体" w:hAnsi="宋体"/>
          <w:b/>
          <w:bCs/>
          <w:sz w:val="30"/>
          <w:szCs w:val="30"/>
          <w:u w:val="single"/>
        </w:rPr>
      </w:pPr>
      <w:r>
        <w:rPr>
          <w:rFonts w:hint="eastAsia" w:ascii="宋体" w:hAnsi="宋体"/>
          <w:b/>
          <w:bCs/>
          <w:sz w:val="30"/>
          <w:szCs w:val="30"/>
        </w:rPr>
        <w:t>法定代表人或其委托代理人：</w:t>
      </w:r>
    </w:p>
    <w:p>
      <w:pPr>
        <w:kinsoku w:val="0"/>
        <w:overflowPunct w:val="0"/>
        <w:adjustRightInd/>
        <w:spacing w:line="400" w:lineRule="atLeast"/>
        <w:ind w:firstLine="1687" w:firstLineChars="600"/>
        <w:jc w:val="center"/>
        <w:rPr>
          <w:rFonts w:ascii="宋体" w:hAnsi="宋体"/>
          <w:b/>
          <w:bCs/>
          <w:sz w:val="28"/>
          <w:szCs w:val="28"/>
        </w:rPr>
      </w:pPr>
    </w:p>
    <w:p>
      <w:pPr>
        <w:kinsoku w:val="0"/>
        <w:overflowPunct w:val="0"/>
        <w:adjustRightInd/>
        <w:spacing w:line="400" w:lineRule="atLeast"/>
        <w:ind w:firstLine="2811" w:firstLineChars="1000"/>
        <w:outlineLvl w:val="0"/>
        <w:rPr>
          <w:rFonts w:ascii="宋体" w:hAnsi="宋体"/>
          <w:b/>
          <w:bCs/>
          <w:sz w:val="28"/>
          <w:szCs w:val="28"/>
        </w:rPr>
      </w:pPr>
      <w:r>
        <w:rPr>
          <w:rFonts w:hint="eastAsia" w:ascii="宋体" w:hAnsi="宋体"/>
          <w:b/>
          <w:bCs/>
          <w:sz w:val="28"/>
          <w:szCs w:val="28"/>
        </w:rPr>
        <w:t>报价日期：2023年  月   日</w:t>
      </w:r>
    </w:p>
    <w:p>
      <w:pPr>
        <w:kinsoku w:val="0"/>
        <w:overflowPunct w:val="0"/>
        <w:adjustRightInd/>
        <w:spacing w:line="400" w:lineRule="atLeast"/>
        <w:ind w:firstLine="2811" w:firstLineChars="1000"/>
        <w:outlineLvl w:val="0"/>
        <w:rPr>
          <w:rFonts w:ascii="宋体" w:hAnsi="宋体"/>
          <w:b/>
          <w:bCs/>
          <w:sz w:val="28"/>
          <w:szCs w:val="28"/>
        </w:rPr>
      </w:pPr>
    </w:p>
    <w:p>
      <w:pPr>
        <w:pStyle w:val="2"/>
      </w:pPr>
      <w:bookmarkStart w:id="76" w:name="_GoBack"/>
      <w:bookmarkEnd w:id="76"/>
    </w:p>
    <w:p>
      <w:pPr>
        <w:kinsoku w:val="0"/>
        <w:overflowPunct w:val="0"/>
        <w:adjustRightInd/>
        <w:spacing w:line="400" w:lineRule="atLeast"/>
        <w:ind w:firstLine="2811" w:firstLineChars="1000"/>
        <w:outlineLvl w:val="0"/>
        <w:rPr>
          <w:rFonts w:ascii="宋体" w:hAnsi="宋体"/>
          <w:b/>
          <w:bCs/>
          <w:sz w:val="28"/>
          <w:szCs w:val="28"/>
        </w:rPr>
      </w:pPr>
    </w:p>
    <w:p>
      <w:pPr>
        <w:numPr>
          <w:ilvl w:val="0"/>
          <w:numId w:val="35"/>
        </w:numPr>
        <w:kinsoku w:val="0"/>
        <w:overflowPunct w:val="0"/>
        <w:autoSpaceDE/>
        <w:autoSpaceDN/>
        <w:snapToGrid w:val="0"/>
        <w:spacing w:line="440" w:lineRule="atLeast"/>
        <w:ind w:firstLine="0"/>
        <w:textAlignment w:val="auto"/>
        <w:rPr>
          <w:rFonts w:ascii="宋体" w:hAnsi="宋体"/>
          <w:sz w:val="24"/>
          <w:szCs w:val="24"/>
        </w:rPr>
      </w:pPr>
      <w:r>
        <w:rPr>
          <w:rFonts w:hint="eastAsia" w:ascii="宋体" w:hAnsi="宋体"/>
          <w:sz w:val="24"/>
          <w:szCs w:val="24"/>
        </w:rPr>
        <w:t>响应函（见附件1）；</w:t>
      </w:r>
    </w:p>
    <w:p>
      <w:pPr>
        <w:numPr>
          <w:ilvl w:val="0"/>
          <w:numId w:val="35"/>
        </w:numPr>
        <w:kinsoku w:val="0"/>
        <w:overflowPunct w:val="0"/>
        <w:autoSpaceDE/>
        <w:autoSpaceDN/>
        <w:snapToGrid w:val="0"/>
        <w:spacing w:line="440" w:lineRule="atLeast"/>
        <w:ind w:firstLine="0"/>
        <w:textAlignment w:val="auto"/>
        <w:rPr>
          <w:rFonts w:ascii="宋体" w:hAnsi="宋体"/>
          <w:sz w:val="24"/>
          <w:szCs w:val="24"/>
        </w:rPr>
      </w:pPr>
      <w:r>
        <w:rPr>
          <w:rFonts w:hint="eastAsia" w:ascii="宋体" w:hAnsi="宋体"/>
          <w:sz w:val="24"/>
          <w:szCs w:val="24"/>
        </w:rPr>
        <w:t>报价表（见附件2）；</w:t>
      </w:r>
    </w:p>
    <w:p>
      <w:pPr>
        <w:numPr>
          <w:ilvl w:val="0"/>
          <w:numId w:val="35"/>
        </w:numPr>
        <w:kinsoku w:val="0"/>
        <w:overflowPunct w:val="0"/>
        <w:autoSpaceDE/>
        <w:autoSpaceDN/>
        <w:snapToGrid w:val="0"/>
        <w:spacing w:line="440" w:lineRule="atLeast"/>
        <w:ind w:firstLine="0"/>
        <w:textAlignment w:val="auto"/>
        <w:rPr>
          <w:rFonts w:ascii="宋体" w:hAnsi="宋体"/>
          <w:sz w:val="24"/>
          <w:szCs w:val="24"/>
        </w:rPr>
      </w:pPr>
      <w:r>
        <w:rPr>
          <w:rFonts w:hint="eastAsia" w:ascii="宋体" w:hAnsi="宋体"/>
          <w:sz w:val="24"/>
          <w:szCs w:val="24"/>
        </w:rPr>
        <w:t>法定代表人身份证明书（见附件3）；</w:t>
      </w:r>
    </w:p>
    <w:p>
      <w:pPr>
        <w:numPr>
          <w:ilvl w:val="0"/>
          <w:numId w:val="35"/>
        </w:numPr>
        <w:kinsoku w:val="0"/>
        <w:overflowPunct w:val="0"/>
        <w:snapToGrid w:val="0"/>
        <w:spacing w:line="400" w:lineRule="atLeast"/>
        <w:ind w:firstLine="0"/>
        <w:textAlignment w:val="auto"/>
        <w:rPr>
          <w:rFonts w:ascii="宋体" w:hAnsi="宋体"/>
          <w:sz w:val="24"/>
          <w:szCs w:val="24"/>
        </w:rPr>
      </w:pPr>
      <w:r>
        <w:rPr>
          <w:rFonts w:hint="eastAsia" w:ascii="宋体" w:hAnsi="宋体"/>
          <w:sz w:val="24"/>
          <w:szCs w:val="24"/>
        </w:rPr>
        <w:t>法人授权委托书（见附件4，报价签字代表为法定代表人，则本附件不需要提供）；</w:t>
      </w:r>
    </w:p>
    <w:p>
      <w:pPr>
        <w:numPr>
          <w:ilvl w:val="0"/>
          <w:numId w:val="35"/>
        </w:numPr>
        <w:kinsoku w:val="0"/>
        <w:overflowPunct w:val="0"/>
        <w:autoSpaceDE/>
        <w:autoSpaceDN/>
        <w:snapToGrid w:val="0"/>
        <w:spacing w:line="440" w:lineRule="atLeast"/>
        <w:ind w:firstLine="0"/>
        <w:textAlignment w:val="auto"/>
        <w:rPr>
          <w:rFonts w:ascii="宋体" w:hAnsi="宋体"/>
          <w:sz w:val="24"/>
          <w:szCs w:val="24"/>
        </w:rPr>
      </w:pPr>
      <w:r>
        <w:rPr>
          <w:rFonts w:hint="eastAsia" w:ascii="宋体" w:hAnsi="宋体"/>
          <w:sz w:val="24"/>
          <w:szCs w:val="24"/>
        </w:rPr>
        <w:t>关于资格的声明函（见附件5）；</w:t>
      </w:r>
    </w:p>
    <w:p>
      <w:pPr>
        <w:numPr>
          <w:ilvl w:val="0"/>
          <w:numId w:val="35"/>
        </w:numPr>
        <w:kinsoku w:val="0"/>
        <w:overflowPunct w:val="0"/>
        <w:autoSpaceDE/>
        <w:autoSpaceDN/>
        <w:snapToGrid w:val="0"/>
        <w:spacing w:line="440" w:lineRule="atLeast"/>
        <w:ind w:firstLine="0"/>
        <w:textAlignment w:val="auto"/>
        <w:rPr>
          <w:rFonts w:ascii="宋体" w:hAnsi="宋体"/>
          <w:sz w:val="24"/>
          <w:szCs w:val="24"/>
        </w:rPr>
      </w:pPr>
      <w:r>
        <w:rPr>
          <w:rFonts w:hint="eastAsia" w:ascii="宋体" w:hAnsi="宋体"/>
          <w:sz w:val="24"/>
          <w:szCs w:val="24"/>
        </w:rPr>
        <w:t>报价方廉洁承诺书（见附件6）；</w:t>
      </w:r>
    </w:p>
    <w:p>
      <w:pPr>
        <w:numPr>
          <w:ilvl w:val="0"/>
          <w:numId w:val="35"/>
        </w:numPr>
        <w:kinsoku w:val="0"/>
        <w:overflowPunct w:val="0"/>
        <w:autoSpaceDE/>
        <w:autoSpaceDN/>
        <w:snapToGrid w:val="0"/>
        <w:spacing w:line="440" w:lineRule="atLeast"/>
        <w:ind w:firstLine="0"/>
        <w:textAlignment w:val="auto"/>
        <w:rPr>
          <w:rFonts w:ascii="宋体" w:hAnsi="宋体"/>
          <w:sz w:val="24"/>
          <w:szCs w:val="24"/>
        </w:rPr>
      </w:pPr>
      <w:r>
        <w:rPr>
          <w:rFonts w:hint="eastAsia" w:ascii="宋体" w:hAnsi="宋体"/>
          <w:sz w:val="24"/>
          <w:szCs w:val="24"/>
        </w:rPr>
        <w:t>企业能有效识别二维码且加盖报价单位公章的营业执照复印件（见附件7）；</w:t>
      </w:r>
    </w:p>
    <w:p>
      <w:pPr>
        <w:numPr>
          <w:ilvl w:val="0"/>
          <w:numId w:val="35"/>
        </w:numPr>
        <w:kinsoku w:val="0"/>
        <w:overflowPunct w:val="0"/>
        <w:autoSpaceDE/>
        <w:autoSpaceDN/>
        <w:snapToGrid w:val="0"/>
        <w:spacing w:line="440" w:lineRule="atLeast"/>
        <w:ind w:firstLine="0"/>
        <w:textAlignment w:val="auto"/>
        <w:rPr>
          <w:rFonts w:ascii="宋体" w:hAnsi="宋体"/>
          <w:sz w:val="24"/>
          <w:szCs w:val="24"/>
        </w:rPr>
      </w:pPr>
      <w:r>
        <w:rPr>
          <w:rFonts w:hint="eastAsia" w:ascii="宋体" w:hAnsi="宋体"/>
          <w:sz w:val="24"/>
          <w:szCs w:val="24"/>
        </w:rPr>
        <w:t>企业加盖报价单位公章的相关资质证明文件等（见附件8）；</w:t>
      </w:r>
    </w:p>
    <w:p>
      <w:pPr>
        <w:numPr>
          <w:ilvl w:val="0"/>
          <w:numId w:val="35"/>
        </w:numPr>
        <w:kinsoku w:val="0"/>
        <w:overflowPunct w:val="0"/>
        <w:autoSpaceDE/>
        <w:autoSpaceDN/>
        <w:snapToGrid w:val="0"/>
        <w:spacing w:line="440" w:lineRule="atLeast"/>
        <w:ind w:firstLine="0"/>
        <w:textAlignment w:val="auto"/>
        <w:rPr>
          <w:rFonts w:ascii="宋体" w:hAnsi="宋体"/>
          <w:sz w:val="24"/>
          <w:szCs w:val="24"/>
        </w:rPr>
      </w:pPr>
      <w:r>
        <w:rPr>
          <w:rFonts w:hint="eastAsia" w:ascii="宋体" w:hAnsi="宋体"/>
          <w:sz w:val="24"/>
          <w:szCs w:val="24"/>
        </w:rPr>
        <w:t>相关业绩证明，提供合同复印件（见附件9）；</w:t>
      </w:r>
    </w:p>
    <w:p>
      <w:pPr>
        <w:numPr>
          <w:ilvl w:val="0"/>
          <w:numId w:val="35"/>
        </w:numPr>
        <w:kinsoku w:val="0"/>
        <w:overflowPunct w:val="0"/>
        <w:autoSpaceDE/>
        <w:autoSpaceDN/>
        <w:snapToGrid w:val="0"/>
        <w:spacing w:line="440" w:lineRule="atLeast"/>
        <w:ind w:firstLine="0"/>
        <w:textAlignment w:val="auto"/>
        <w:rPr>
          <w:rFonts w:ascii="宋体" w:hAnsi="宋体"/>
          <w:sz w:val="24"/>
          <w:szCs w:val="24"/>
        </w:rPr>
      </w:pPr>
      <w:r>
        <w:rPr>
          <w:rFonts w:hint="eastAsia" w:ascii="宋体" w:hAnsi="宋体"/>
          <w:sz w:val="24"/>
          <w:szCs w:val="24"/>
        </w:rPr>
        <w:t>报价方认为需要提供的其他资料（见附件10）。</w:t>
      </w:r>
    </w:p>
    <w:p>
      <w:pPr>
        <w:tabs>
          <w:tab w:val="left" w:pos="0"/>
        </w:tabs>
        <w:kinsoku w:val="0"/>
        <w:overflowPunct w:val="0"/>
        <w:adjustRightInd/>
        <w:spacing w:line="400" w:lineRule="atLeast"/>
        <w:textAlignment w:val="auto"/>
        <w:rPr>
          <w:rFonts w:ascii="宋体" w:hAnsi="宋体"/>
          <w:sz w:val="24"/>
          <w:szCs w:val="24"/>
        </w:rPr>
      </w:pPr>
    </w:p>
    <w:p>
      <w:pPr>
        <w:tabs>
          <w:tab w:val="left" w:pos="0"/>
        </w:tabs>
        <w:kinsoku w:val="0"/>
        <w:overflowPunct w:val="0"/>
        <w:adjustRightInd/>
        <w:spacing w:line="400" w:lineRule="atLeast"/>
        <w:textAlignment w:val="auto"/>
        <w:rPr>
          <w:rFonts w:ascii="宋体" w:hAnsi="宋体"/>
          <w:sz w:val="24"/>
          <w:szCs w:val="24"/>
        </w:rPr>
      </w:pPr>
    </w:p>
    <w:p>
      <w:pPr>
        <w:pStyle w:val="2"/>
      </w:pPr>
    </w:p>
    <w:p>
      <w:pPr>
        <w:tabs>
          <w:tab w:val="left" w:pos="0"/>
        </w:tabs>
        <w:kinsoku w:val="0"/>
        <w:overflowPunct w:val="0"/>
        <w:adjustRightInd/>
        <w:spacing w:line="400" w:lineRule="atLeast"/>
        <w:textAlignment w:val="auto"/>
        <w:rPr>
          <w:rFonts w:ascii="宋体" w:hAnsi="宋体"/>
          <w:sz w:val="24"/>
          <w:szCs w:val="24"/>
        </w:rPr>
      </w:pPr>
    </w:p>
    <w:p>
      <w:pPr>
        <w:pStyle w:val="17"/>
        <w:keepNext w:val="0"/>
        <w:keepLines w:val="0"/>
        <w:kinsoku w:val="0"/>
        <w:overflowPunct w:val="0"/>
        <w:autoSpaceDE w:val="0"/>
        <w:autoSpaceDN w:val="0"/>
        <w:adjustRightInd/>
        <w:spacing w:line="400" w:lineRule="atLeast"/>
        <w:rPr>
          <w:rFonts w:eastAsia="宋体" w:cs="宋体"/>
          <w:b w:val="0"/>
          <w:bCs/>
          <w:sz w:val="28"/>
          <w:szCs w:val="18"/>
        </w:rPr>
      </w:pPr>
      <w:bookmarkStart w:id="71" w:name="_Toc2425_WPSOffice_Level2"/>
      <w:bookmarkStart w:id="72" w:name="_Toc29175_WPSOffice_Level1"/>
      <w:r>
        <w:rPr>
          <w:rFonts w:hint="eastAsia" w:eastAsia="宋体" w:cs="宋体"/>
          <w:b w:val="0"/>
          <w:bCs/>
          <w:sz w:val="28"/>
          <w:szCs w:val="18"/>
        </w:rPr>
        <w:t>附件1 响应函</w:t>
      </w:r>
      <w:bookmarkEnd w:id="71"/>
      <w:bookmarkEnd w:id="72"/>
    </w:p>
    <w:p>
      <w:pPr>
        <w:kinsoku w:val="0"/>
        <w:overflowPunct w:val="0"/>
        <w:adjustRightInd/>
        <w:spacing w:line="400" w:lineRule="atLeast"/>
        <w:textAlignment w:val="auto"/>
        <w:rPr>
          <w:rFonts w:ascii="宋体" w:hAnsi="宋体" w:cs="宋体"/>
          <w:spacing w:val="-4"/>
          <w:sz w:val="24"/>
          <w:szCs w:val="24"/>
        </w:rPr>
      </w:pPr>
      <w:r>
        <w:rPr>
          <w:rFonts w:hint="eastAsia" w:ascii="宋体" w:hAnsi="宋体" w:cs="宋体"/>
          <w:spacing w:val="-4"/>
          <w:sz w:val="24"/>
          <w:szCs w:val="24"/>
        </w:rPr>
        <w:t>厦门同集热电有限公司：</w:t>
      </w:r>
    </w:p>
    <w:p>
      <w:pPr>
        <w:numPr>
          <w:ilvl w:val="0"/>
          <w:numId w:val="36"/>
        </w:numPr>
        <w:autoSpaceDE/>
        <w:autoSpaceDN/>
        <w:snapToGrid w:val="0"/>
        <w:spacing w:line="400" w:lineRule="atLeast"/>
        <w:ind w:right="210" w:rightChars="100"/>
        <w:jc w:val="left"/>
        <w:textAlignment w:val="auto"/>
        <w:rPr>
          <w:rFonts w:ascii="宋体" w:hAnsi="宋体" w:cs="宋体"/>
          <w:spacing w:val="-4"/>
          <w:sz w:val="24"/>
          <w:szCs w:val="24"/>
        </w:rPr>
      </w:pPr>
      <w:r>
        <w:rPr>
          <w:rFonts w:hint="eastAsia" w:ascii="宋体" w:hAnsi="宋体" w:cs="宋体"/>
          <w:spacing w:val="-4"/>
          <w:sz w:val="24"/>
          <w:szCs w:val="24"/>
        </w:rPr>
        <w:t>我方已仔细研究了</w:t>
      </w:r>
      <w:r>
        <w:rPr>
          <w:rFonts w:hint="eastAsia" w:ascii="宋体" w:hAnsi="宋体"/>
          <w:sz w:val="24"/>
          <w:szCs w:val="24"/>
          <w:u w:val="single"/>
        </w:rPr>
        <w:t>2024年-2025年环保自行监测项目</w:t>
      </w:r>
      <w:r>
        <w:rPr>
          <w:rFonts w:hint="eastAsia" w:ascii="宋体" w:hAnsi="宋体" w:cs="宋体"/>
          <w:spacing w:val="-4"/>
          <w:sz w:val="24"/>
          <w:szCs w:val="24"/>
        </w:rPr>
        <w:t>的谈判文件全部内容，愿意以人民币的报价总报价，含相应增值税，如国家税率调整，含税金额也做相应调整。服务期限合同签订之日起至2025年12月31日，按照招标文件、服务合同、和技术规范要求承接本招标范围内的全部监测服务，并承担法律法规规定的责任和义务。</w:t>
      </w:r>
    </w:p>
    <w:p>
      <w:pPr>
        <w:numPr>
          <w:ilvl w:val="0"/>
          <w:numId w:val="37"/>
        </w:numPr>
        <w:autoSpaceDE/>
        <w:autoSpaceDN/>
        <w:snapToGrid w:val="0"/>
        <w:spacing w:line="400" w:lineRule="atLeast"/>
        <w:textAlignment w:val="auto"/>
        <w:rPr>
          <w:rFonts w:ascii="宋体" w:hAnsi="宋体" w:cs="宋体"/>
          <w:spacing w:val="-4"/>
          <w:sz w:val="24"/>
          <w:szCs w:val="24"/>
        </w:rPr>
      </w:pPr>
      <w:r>
        <w:rPr>
          <w:rFonts w:hint="eastAsia" w:ascii="宋体" w:hAnsi="宋体" w:cs="宋体"/>
          <w:spacing w:val="-4"/>
          <w:sz w:val="24"/>
          <w:szCs w:val="24"/>
        </w:rPr>
        <w:t>我方承诺在招标文件规定的投标有效期内不修改、撤销投标文件。</w:t>
      </w:r>
    </w:p>
    <w:p>
      <w:pPr>
        <w:numPr>
          <w:ilvl w:val="0"/>
          <w:numId w:val="36"/>
        </w:numPr>
        <w:autoSpaceDE/>
        <w:autoSpaceDN/>
        <w:snapToGrid w:val="0"/>
        <w:spacing w:line="400" w:lineRule="atLeast"/>
        <w:ind w:right="210" w:rightChars="100"/>
        <w:jc w:val="left"/>
        <w:textAlignment w:val="auto"/>
        <w:rPr>
          <w:rFonts w:ascii="宋体" w:hAnsi="宋体" w:cs="宋体"/>
          <w:spacing w:val="-4"/>
          <w:sz w:val="24"/>
          <w:szCs w:val="24"/>
        </w:rPr>
      </w:pPr>
      <w:r>
        <w:rPr>
          <w:rFonts w:hint="eastAsia" w:ascii="宋体" w:hAnsi="宋体" w:cs="宋体"/>
          <w:spacing w:val="-4"/>
          <w:sz w:val="24"/>
          <w:szCs w:val="24"/>
        </w:rPr>
        <w:t>如我方成交，我方承诺在收到成交通知书后，在成交通知书规定的期限内完成合同签订，并保证为本项目提供优质服务，采样及检测等标准均符合国家有关标准要求。</w:t>
      </w:r>
    </w:p>
    <w:p>
      <w:pPr>
        <w:numPr>
          <w:ilvl w:val="0"/>
          <w:numId w:val="37"/>
        </w:numPr>
        <w:autoSpaceDE/>
        <w:autoSpaceDN/>
        <w:snapToGrid w:val="0"/>
        <w:spacing w:line="400" w:lineRule="atLeast"/>
        <w:textAlignment w:val="auto"/>
        <w:rPr>
          <w:rFonts w:ascii="宋体" w:hAnsi="宋体" w:cs="宋体"/>
          <w:spacing w:val="-4"/>
          <w:sz w:val="24"/>
          <w:szCs w:val="24"/>
        </w:rPr>
      </w:pPr>
      <w:r>
        <w:rPr>
          <w:rFonts w:hint="eastAsia" w:ascii="宋体" w:hAnsi="宋体" w:cs="宋体"/>
          <w:spacing w:val="-4"/>
          <w:sz w:val="24"/>
          <w:szCs w:val="24"/>
        </w:rPr>
        <w:t>本投标函及投标文件属于合同文件的组成部分。</w:t>
      </w:r>
    </w:p>
    <w:p>
      <w:pPr>
        <w:numPr>
          <w:ilvl w:val="0"/>
          <w:numId w:val="37"/>
        </w:numPr>
        <w:autoSpaceDE/>
        <w:autoSpaceDN/>
        <w:snapToGrid w:val="0"/>
        <w:spacing w:line="400" w:lineRule="atLeast"/>
        <w:textAlignment w:val="auto"/>
        <w:rPr>
          <w:rFonts w:ascii="宋体" w:hAnsi="宋体" w:cs="宋体"/>
          <w:spacing w:val="-4"/>
          <w:sz w:val="24"/>
          <w:szCs w:val="24"/>
        </w:rPr>
      </w:pPr>
      <w:r>
        <w:rPr>
          <w:rFonts w:hint="eastAsia" w:ascii="宋体" w:hAnsi="宋体" w:cs="宋体"/>
          <w:spacing w:val="-4"/>
          <w:sz w:val="24"/>
          <w:szCs w:val="24"/>
        </w:rPr>
        <w:t>我方承诺按招标文件的规定履行合同责任和义务，并在合同约定的服务期限内完成所有监测服务。</w:t>
      </w:r>
    </w:p>
    <w:p>
      <w:pPr>
        <w:numPr>
          <w:ilvl w:val="0"/>
          <w:numId w:val="37"/>
        </w:numPr>
        <w:autoSpaceDE/>
        <w:autoSpaceDN/>
        <w:snapToGrid w:val="0"/>
        <w:spacing w:line="400" w:lineRule="atLeast"/>
        <w:textAlignment w:val="auto"/>
        <w:rPr>
          <w:rFonts w:ascii="宋体" w:hAnsi="宋体" w:cs="宋体"/>
          <w:spacing w:val="-4"/>
          <w:sz w:val="24"/>
          <w:szCs w:val="24"/>
        </w:rPr>
      </w:pPr>
      <w:r>
        <w:rPr>
          <w:rFonts w:hint="eastAsia" w:ascii="宋体" w:hAnsi="宋体" w:cs="宋体"/>
          <w:spacing w:val="-4"/>
          <w:sz w:val="24"/>
          <w:szCs w:val="24"/>
        </w:rPr>
        <w:t>我方在此声明，所递交的投标文件及有关资料内容完整、真实和准确，且不存在违反招标文件规定的任何一种情形。</w:t>
      </w:r>
    </w:p>
    <w:p>
      <w:pPr>
        <w:kinsoku w:val="0"/>
        <w:overflowPunct w:val="0"/>
        <w:autoSpaceDE/>
        <w:autoSpaceDN/>
        <w:snapToGrid w:val="0"/>
        <w:spacing w:line="440" w:lineRule="atLeast"/>
        <w:ind w:left="400"/>
        <w:jc w:val="left"/>
        <w:textAlignment w:val="auto"/>
        <w:rPr>
          <w:rFonts w:ascii="宋体" w:hAnsi="宋体" w:cs="宋体"/>
          <w:spacing w:val="-4"/>
          <w:sz w:val="24"/>
          <w:szCs w:val="24"/>
        </w:rPr>
      </w:pPr>
    </w:p>
    <w:p>
      <w:pPr>
        <w:kinsoku w:val="0"/>
        <w:overflowPunct w:val="0"/>
        <w:adjustRightInd/>
        <w:spacing w:line="400" w:lineRule="atLeast"/>
        <w:jc w:val="center"/>
        <w:textAlignment w:val="auto"/>
        <w:rPr>
          <w:rFonts w:ascii="宋体" w:hAnsi="宋体" w:cs="宋体"/>
          <w:spacing w:val="-4"/>
          <w:sz w:val="24"/>
          <w:szCs w:val="24"/>
        </w:rPr>
      </w:pPr>
    </w:p>
    <w:p>
      <w:pPr>
        <w:kinsoku w:val="0"/>
        <w:overflowPunct w:val="0"/>
        <w:autoSpaceDE/>
        <w:autoSpaceDN/>
        <w:snapToGrid w:val="0"/>
        <w:spacing w:line="520" w:lineRule="atLeast"/>
        <w:ind w:firstLine="3840" w:firstLineChars="1600"/>
        <w:textAlignment w:val="auto"/>
        <w:rPr>
          <w:rFonts w:ascii="宋体" w:hAnsi="宋体" w:cs="宋体"/>
          <w:spacing w:val="-4"/>
          <w:sz w:val="24"/>
          <w:szCs w:val="24"/>
          <w:u w:val="single"/>
        </w:rPr>
      </w:pPr>
      <w:r>
        <w:rPr>
          <w:rFonts w:hint="eastAsia" w:ascii="宋体" w:hAnsi="宋体"/>
          <w:bCs/>
          <w:sz w:val="24"/>
          <w:szCs w:val="24"/>
        </w:rPr>
        <w:t>报价单位（盖公章）：</w:t>
      </w:r>
    </w:p>
    <w:p>
      <w:pPr>
        <w:kinsoku w:val="0"/>
        <w:overflowPunct w:val="0"/>
        <w:autoSpaceDE/>
        <w:autoSpaceDN/>
        <w:snapToGrid w:val="0"/>
        <w:spacing w:line="520" w:lineRule="atLeast"/>
        <w:textAlignment w:val="auto"/>
        <w:rPr>
          <w:rFonts w:ascii="宋体" w:hAnsi="宋体" w:cs="宋体"/>
          <w:spacing w:val="-4"/>
          <w:sz w:val="24"/>
          <w:szCs w:val="24"/>
          <w:u w:val="single"/>
        </w:rPr>
      </w:pPr>
      <w:r>
        <w:rPr>
          <w:rFonts w:hint="eastAsia" w:ascii="宋体" w:hAnsi="宋体" w:cs="宋体"/>
          <w:spacing w:val="-4"/>
          <w:sz w:val="24"/>
          <w:szCs w:val="24"/>
        </w:rPr>
        <w:t xml:space="preserve">                               法定代表人或授权代理人（签字或盖章）：</w:t>
      </w:r>
    </w:p>
    <w:p>
      <w:pPr>
        <w:kinsoku w:val="0"/>
        <w:overflowPunct w:val="0"/>
        <w:autoSpaceDE/>
        <w:autoSpaceDN/>
        <w:snapToGrid w:val="0"/>
        <w:spacing w:line="520" w:lineRule="atLeast"/>
        <w:textAlignment w:val="auto"/>
        <w:rPr>
          <w:rFonts w:ascii="宋体" w:hAnsi="宋体" w:cs="宋体"/>
          <w:spacing w:val="-4"/>
          <w:sz w:val="24"/>
          <w:szCs w:val="24"/>
        </w:rPr>
      </w:pPr>
      <w:r>
        <w:rPr>
          <w:rFonts w:hint="eastAsia" w:ascii="宋体" w:hAnsi="宋体" w:cs="宋体"/>
          <w:spacing w:val="-4"/>
          <w:sz w:val="24"/>
          <w:szCs w:val="24"/>
        </w:rPr>
        <w:t xml:space="preserve">                                         日期：       年   月   日</w:t>
      </w:r>
    </w:p>
    <w:p>
      <w:pPr>
        <w:kinsoku w:val="0"/>
        <w:overflowPunct w:val="0"/>
        <w:adjustRightInd/>
        <w:spacing w:line="400" w:lineRule="atLeast"/>
        <w:jc w:val="center"/>
        <w:textAlignment w:val="auto"/>
        <w:rPr>
          <w:rFonts w:ascii="宋体" w:hAnsi="宋体" w:cs="宋体"/>
          <w:spacing w:val="-4"/>
          <w:sz w:val="24"/>
          <w:szCs w:val="24"/>
        </w:rPr>
      </w:pPr>
    </w:p>
    <w:p>
      <w:pPr>
        <w:kinsoku w:val="0"/>
        <w:overflowPunct w:val="0"/>
        <w:adjustRightInd/>
        <w:spacing w:line="400" w:lineRule="atLeast"/>
        <w:textAlignment w:val="auto"/>
        <w:rPr>
          <w:rFonts w:ascii="宋体" w:hAnsi="宋体" w:cs="宋体"/>
          <w:spacing w:val="-4"/>
          <w:sz w:val="24"/>
          <w:szCs w:val="24"/>
        </w:rPr>
      </w:pPr>
    </w:p>
    <w:p>
      <w:pPr>
        <w:kinsoku w:val="0"/>
        <w:overflowPunct w:val="0"/>
        <w:adjustRightInd/>
        <w:spacing w:line="400" w:lineRule="atLeast"/>
        <w:jc w:val="center"/>
        <w:textAlignment w:val="auto"/>
        <w:rPr>
          <w:rFonts w:ascii="宋体" w:hAnsi="宋体" w:cs="宋体"/>
          <w:spacing w:val="-4"/>
          <w:sz w:val="24"/>
          <w:szCs w:val="24"/>
        </w:rPr>
      </w:pPr>
    </w:p>
    <w:p>
      <w:pPr>
        <w:kinsoku w:val="0"/>
        <w:overflowPunct w:val="0"/>
        <w:adjustRightInd/>
        <w:spacing w:line="400" w:lineRule="atLeast"/>
        <w:jc w:val="center"/>
        <w:textAlignment w:val="auto"/>
        <w:rPr>
          <w:rFonts w:ascii="宋体" w:hAnsi="宋体" w:cs="宋体"/>
          <w:spacing w:val="-4"/>
          <w:sz w:val="24"/>
          <w:szCs w:val="24"/>
        </w:rPr>
      </w:pPr>
    </w:p>
    <w:p>
      <w:pPr>
        <w:kinsoku w:val="0"/>
        <w:overflowPunct w:val="0"/>
        <w:adjustRightInd/>
        <w:spacing w:line="400" w:lineRule="atLeast"/>
        <w:jc w:val="center"/>
        <w:textAlignment w:val="auto"/>
        <w:rPr>
          <w:rFonts w:ascii="宋体" w:hAnsi="宋体" w:cs="宋体"/>
          <w:spacing w:val="-4"/>
          <w:sz w:val="24"/>
          <w:szCs w:val="24"/>
        </w:rPr>
      </w:pPr>
    </w:p>
    <w:p>
      <w:pPr>
        <w:kinsoku w:val="0"/>
        <w:overflowPunct w:val="0"/>
        <w:adjustRightInd/>
        <w:spacing w:line="400" w:lineRule="atLeast"/>
        <w:jc w:val="center"/>
        <w:textAlignment w:val="auto"/>
        <w:rPr>
          <w:rFonts w:ascii="宋体" w:hAnsi="宋体" w:cs="宋体"/>
          <w:spacing w:val="-4"/>
          <w:sz w:val="24"/>
          <w:szCs w:val="24"/>
        </w:rPr>
      </w:pPr>
    </w:p>
    <w:p>
      <w:pPr>
        <w:kinsoku w:val="0"/>
        <w:overflowPunct w:val="0"/>
        <w:adjustRightInd/>
        <w:spacing w:line="400" w:lineRule="atLeast"/>
        <w:jc w:val="center"/>
        <w:textAlignment w:val="auto"/>
        <w:rPr>
          <w:rFonts w:ascii="宋体" w:hAnsi="宋体" w:cs="宋体"/>
          <w:spacing w:val="-4"/>
          <w:sz w:val="24"/>
          <w:szCs w:val="24"/>
        </w:rPr>
      </w:pPr>
    </w:p>
    <w:p>
      <w:pPr>
        <w:kinsoku w:val="0"/>
        <w:overflowPunct w:val="0"/>
        <w:adjustRightInd/>
        <w:spacing w:line="400" w:lineRule="atLeast"/>
        <w:jc w:val="center"/>
        <w:textAlignment w:val="auto"/>
        <w:rPr>
          <w:rFonts w:ascii="宋体" w:hAnsi="宋体" w:cs="宋体"/>
          <w:spacing w:val="-4"/>
          <w:sz w:val="24"/>
          <w:szCs w:val="24"/>
        </w:rPr>
      </w:pPr>
    </w:p>
    <w:p>
      <w:pPr>
        <w:kinsoku w:val="0"/>
        <w:overflowPunct w:val="0"/>
        <w:adjustRightInd/>
        <w:spacing w:line="400" w:lineRule="atLeast"/>
        <w:jc w:val="center"/>
        <w:textAlignment w:val="auto"/>
        <w:rPr>
          <w:rFonts w:ascii="宋体" w:hAnsi="宋体" w:cs="宋体"/>
          <w:spacing w:val="-4"/>
          <w:sz w:val="24"/>
          <w:szCs w:val="24"/>
        </w:rPr>
      </w:pPr>
    </w:p>
    <w:p>
      <w:pPr>
        <w:kinsoku w:val="0"/>
        <w:overflowPunct w:val="0"/>
        <w:adjustRightInd/>
        <w:spacing w:line="400" w:lineRule="atLeast"/>
        <w:jc w:val="center"/>
        <w:textAlignment w:val="auto"/>
        <w:rPr>
          <w:rFonts w:ascii="宋体" w:hAnsi="宋体" w:cs="宋体"/>
          <w:spacing w:val="-4"/>
          <w:sz w:val="24"/>
          <w:szCs w:val="24"/>
        </w:rPr>
      </w:pPr>
    </w:p>
    <w:p>
      <w:pPr>
        <w:kinsoku w:val="0"/>
        <w:overflowPunct w:val="0"/>
        <w:adjustRightInd/>
        <w:spacing w:line="400" w:lineRule="atLeast"/>
        <w:jc w:val="center"/>
        <w:textAlignment w:val="auto"/>
        <w:rPr>
          <w:rFonts w:ascii="宋体" w:hAnsi="宋体" w:cs="宋体"/>
          <w:spacing w:val="-4"/>
          <w:sz w:val="24"/>
          <w:szCs w:val="24"/>
        </w:rPr>
      </w:pPr>
    </w:p>
    <w:p>
      <w:pPr>
        <w:pStyle w:val="2"/>
        <w:rPr>
          <w:rFonts w:ascii="宋体" w:hAnsi="宋体" w:cs="宋体"/>
          <w:spacing w:val="-4"/>
          <w:sz w:val="24"/>
          <w:szCs w:val="24"/>
        </w:rPr>
      </w:pPr>
    </w:p>
    <w:p>
      <w:pPr>
        <w:pStyle w:val="2"/>
        <w:rPr>
          <w:rFonts w:ascii="宋体" w:hAnsi="宋体" w:cs="宋体"/>
          <w:spacing w:val="-4"/>
          <w:sz w:val="24"/>
          <w:szCs w:val="24"/>
        </w:rPr>
      </w:pPr>
    </w:p>
    <w:p>
      <w:pPr>
        <w:pStyle w:val="2"/>
        <w:rPr>
          <w:rFonts w:ascii="宋体" w:hAnsi="宋体" w:cs="宋体"/>
          <w:spacing w:val="-4"/>
          <w:sz w:val="24"/>
          <w:szCs w:val="24"/>
        </w:rPr>
      </w:pPr>
    </w:p>
    <w:p>
      <w:pPr>
        <w:kinsoku w:val="0"/>
        <w:overflowPunct w:val="0"/>
        <w:adjustRightInd/>
        <w:spacing w:line="400" w:lineRule="atLeast"/>
        <w:jc w:val="center"/>
        <w:textAlignment w:val="auto"/>
        <w:rPr>
          <w:rFonts w:ascii="宋体" w:hAnsi="宋体" w:cs="宋体"/>
          <w:spacing w:val="-4"/>
          <w:sz w:val="24"/>
          <w:szCs w:val="24"/>
        </w:rPr>
      </w:pPr>
    </w:p>
    <w:p>
      <w:pPr>
        <w:kinsoku w:val="0"/>
        <w:overflowPunct w:val="0"/>
        <w:adjustRightInd/>
        <w:spacing w:line="400" w:lineRule="atLeast"/>
        <w:textAlignment w:val="auto"/>
        <w:rPr>
          <w:rFonts w:ascii="宋体" w:hAnsi="宋体" w:cs="宋体"/>
          <w:spacing w:val="-4"/>
          <w:sz w:val="24"/>
          <w:szCs w:val="24"/>
        </w:rPr>
      </w:pPr>
    </w:p>
    <w:p>
      <w:pPr>
        <w:pStyle w:val="17"/>
        <w:keepNext w:val="0"/>
        <w:keepLines w:val="0"/>
        <w:kinsoku w:val="0"/>
        <w:overflowPunct w:val="0"/>
        <w:autoSpaceDE w:val="0"/>
        <w:autoSpaceDN w:val="0"/>
        <w:adjustRightInd/>
        <w:spacing w:line="400" w:lineRule="atLeast"/>
        <w:rPr>
          <w:rFonts w:eastAsia="宋体" w:cs="宋体"/>
          <w:b w:val="0"/>
          <w:bCs/>
          <w:sz w:val="28"/>
          <w:szCs w:val="28"/>
        </w:rPr>
      </w:pPr>
      <w:bookmarkStart w:id="73" w:name="_Toc21815_WPSOffice_Level2"/>
      <w:bookmarkStart w:id="74" w:name="_Toc4850_WPSOffice_Level2"/>
      <w:bookmarkStart w:id="75" w:name="_Toc11236_WPSOffice_Level2"/>
      <w:r>
        <w:rPr>
          <w:rFonts w:hint="eastAsia" w:eastAsia="宋体" w:cs="宋体"/>
          <w:b w:val="0"/>
          <w:bCs/>
          <w:sz w:val="28"/>
          <w:szCs w:val="28"/>
        </w:rPr>
        <w:t xml:space="preserve">附件2 </w:t>
      </w:r>
      <w:bookmarkEnd w:id="73"/>
      <w:bookmarkEnd w:id="74"/>
      <w:bookmarkEnd w:id="75"/>
      <w:r>
        <w:rPr>
          <w:rFonts w:hint="eastAsia" w:eastAsia="宋体" w:cs="宋体"/>
          <w:b w:val="0"/>
          <w:bCs/>
          <w:sz w:val="28"/>
          <w:szCs w:val="28"/>
        </w:rPr>
        <w:t>报价报价表</w:t>
      </w:r>
    </w:p>
    <w:p>
      <w:pPr>
        <w:kinsoku w:val="0"/>
        <w:overflowPunct w:val="0"/>
        <w:adjustRightInd/>
        <w:spacing w:line="400" w:lineRule="atLeast"/>
        <w:textAlignment w:val="auto"/>
        <w:rPr>
          <w:rFonts w:ascii="宋体" w:hAnsi="宋体" w:cs="宋体"/>
          <w:spacing w:val="-4"/>
          <w:sz w:val="24"/>
          <w:szCs w:val="24"/>
        </w:rPr>
      </w:pPr>
    </w:p>
    <w:tbl>
      <w:tblPr>
        <w:tblStyle w:val="13"/>
        <w:tblW w:w="9169" w:type="dxa"/>
        <w:tblInd w:w="0" w:type="dxa"/>
        <w:tblLayout w:type="fixed"/>
        <w:tblCellMar>
          <w:top w:w="0" w:type="dxa"/>
          <w:left w:w="0" w:type="dxa"/>
          <w:bottom w:w="0" w:type="dxa"/>
          <w:right w:w="0" w:type="dxa"/>
        </w:tblCellMar>
      </w:tblPr>
      <w:tblGrid>
        <w:gridCol w:w="677"/>
        <w:gridCol w:w="2892"/>
        <w:gridCol w:w="2085"/>
        <w:gridCol w:w="1544"/>
        <w:gridCol w:w="1971"/>
      </w:tblGrid>
      <w:tr>
        <w:tblPrEx>
          <w:tblCellMar>
            <w:top w:w="0" w:type="dxa"/>
            <w:left w:w="0" w:type="dxa"/>
            <w:bottom w:w="0" w:type="dxa"/>
            <w:right w:w="0" w:type="dxa"/>
          </w:tblCellMar>
        </w:tblPrEx>
        <w:trPr>
          <w:trHeight w:val="480" w:hRule="atLeast"/>
        </w:trPr>
        <w:tc>
          <w:tcPr>
            <w:tcW w:w="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序号</w:t>
            </w:r>
          </w:p>
        </w:tc>
        <w:tc>
          <w:tcPr>
            <w:tcW w:w="2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服务名称</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单价（元）</w:t>
            </w: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数量</w:t>
            </w:r>
          </w:p>
        </w:tc>
        <w:tc>
          <w:tcPr>
            <w:tcW w:w="19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合价（元）</w:t>
            </w:r>
          </w:p>
        </w:tc>
      </w:tr>
      <w:tr>
        <w:tblPrEx>
          <w:tblCellMar>
            <w:top w:w="0" w:type="dxa"/>
            <w:left w:w="0" w:type="dxa"/>
            <w:bottom w:w="0" w:type="dxa"/>
            <w:right w:w="0" w:type="dxa"/>
          </w:tblCellMar>
        </w:tblPrEx>
        <w:trPr>
          <w:trHeight w:val="560" w:hRule="atLeast"/>
        </w:trPr>
        <w:tc>
          <w:tcPr>
            <w:tcW w:w="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1</w:t>
            </w:r>
          </w:p>
        </w:tc>
        <w:tc>
          <w:tcPr>
            <w:tcW w:w="2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自行监测</w:t>
            </w:r>
          </w:p>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（服务周期为2024年1月1日至2025年12月31日）</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         元/季度</w:t>
            </w: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8季度</w:t>
            </w:r>
          </w:p>
        </w:tc>
        <w:tc>
          <w:tcPr>
            <w:tcW w:w="19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90" w:hRule="atLeast"/>
        </w:trPr>
        <w:tc>
          <w:tcPr>
            <w:tcW w:w="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2</w:t>
            </w:r>
          </w:p>
        </w:tc>
        <w:tc>
          <w:tcPr>
            <w:tcW w:w="2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锅炉烟气比对监测</w:t>
            </w:r>
          </w:p>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（服务周期为2024年1月1日至2025年12月31日）</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         元/台次</w:t>
            </w: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预计16台次</w:t>
            </w:r>
          </w:p>
        </w:tc>
        <w:tc>
          <w:tcPr>
            <w:tcW w:w="19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365" w:hRule="atLeast"/>
        </w:trPr>
        <w:tc>
          <w:tcPr>
            <w:tcW w:w="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3</w:t>
            </w:r>
          </w:p>
        </w:tc>
        <w:tc>
          <w:tcPr>
            <w:tcW w:w="2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szCs w:val="24"/>
              </w:rPr>
            </w:pPr>
            <w:r>
              <w:rPr>
                <w:rFonts w:hint="eastAsia" w:ascii="宋体" w:hAnsi="宋体" w:cs="宋体"/>
                <w:sz w:val="24"/>
                <w:szCs w:val="24"/>
              </w:rPr>
              <w:t>天然气锅炉烟气比对监测</w:t>
            </w:r>
          </w:p>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（服务周期为2024年10月1日至2025年12月31日）</w:t>
            </w:r>
          </w:p>
        </w:tc>
        <w:tc>
          <w:tcPr>
            <w:tcW w:w="2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 xml:space="preserve">        元/季度</w:t>
            </w:r>
          </w:p>
        </w:tc>
        <w:tc>
          <w:tcPr>
            <w:tcW w:w="1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rPr>
              <w:t>预计8季度</w:t>
            </w:r>
          </w:p>
        </w:tc>
        <w:tc>
          <w:tcPr>
            <w:tcW w:w="19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365" w:hRule="atLeast"/>
        </w:trPr>
        <w:tc>
          <w:tcPr>
            <w:tcW w:w="356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szCs w:val="24"/>
              </w:rPr>
            </w:pPr>
            <w:r>
              <w:rPr>
                <w:rFonts w:hint="eastAsia" w:ascii="宋体" w:hAnsi="宋体" w:cs="宋体"/>
                <w:color w:val="000000"/>
                <w:sz w:val="24"/>
                <w:szCs w:val="24"/>
              </w:rPr>
              <w:t>合计（元）</w:t>
            </w:r>
          </w:p>
        </w:tc>
        <w:tc>
          <w:tcPr>
            <w:tcW w:w="56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365" w:hRule="atLeast"/>
        </w:trPr>
        <w:tc>
          <w:tcPr>
            <w:tcW w:w="9169"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sz w:val="28"/>
                <w:szCs w:val="28"/>
              </w:rPr>
              <w:t>以上报价为含税价，本项目开具   ％增值税专票</w:t>
            </w:r>
          </w:p>
        </w:tc>
      </w:tr>
    </w:tbl>
    <w:p>
      <w:pPr>
        <w:kinsoku w:val="0"/>
        <w:overflowPunct w:val="0"/>
        <w:adjustRightInd/>
        <w:spacing w:line="400" w:lineRule="atLeast"/>
        <w:textAlignment w:val="auto"/>
        <w:rPr>
          <w:rFonts w:ascii="宋体" w:hAnsi="宋体" w:cs="宋体"/>
          <w:spacing w:val="-4"/>
          <w:sz w:val="24"/>
          <w:szCs w:val="24"/>
        </w:rPr>
      </w:pPr>
    </w:p>
    <w:p>
      <w:pPr>
        <w:kinsoku w:val="0"/>
        <w:overflowPunct w:val="0"/>
        <w:adjustRightInd/>
        <w:spacing w:line="400" w:lineRule="atLeast"/>
        <w:textAlignment w:val="auto"/>
        <w:rPr>
          <w:rFonts w:ascii="宋体" w:hAnsi="宋体" w:cs="宋体"/>
          <w:spacing w:val="-4"/>
          <w:sz w:val="24"/>
          <w:szCs w:val="24"/>
        </w:rPr>
      </w:pPr>
    </w:p>
    <w:p>
      <w:pPr>
        <w:kinsoku w:val="0"/>
        <w:overflowPunct w:val="0"/>
        <w:adjustRightInd/>
        <w:spacing w:line="400" w:lineRule="atLeast"/>
        <w:textAlignment w:val="auto"/>
        <w:rPr>
          <w:rFonts w:ascii="宋体" w:hAnsi="宋体" w:cs="宋体"/>
          <w:spacing w:val="-4"/>
          <w:sz w:val="24"/>
          <w:szCs w:val="24"/>
        </w:rPr>
      </w:pPr>
    </w:p>
    <w:p>
      <w:pPr>
        <w:pStyle w:val="2"/>
        <w:ind w:firstLine="3840" w:firstLineChars="1600"/>
        <w:rPr>
          <w:rFonts w:hAnsi="宋体" w:cs="宋体"/>
          <w:spacing w:val="-4"/>
          <w:sz w:val="24"/>
          <w:szCs w:val="24"/>
        </w:rPr>
      </w:pPr>
      <w:r>
        <w:rPr>
          <w:rFonts w:hint="eastAsia" w:hAnsi="宋体"/>
          <w:bCs/>
          <w:sz w:val="24"/>
          <w:szCs w:val="24"/>
        </w:rPr>
        <w:t>报价单位（盖公章）：</w:t>
      </w:r>
    </w:p>
    <w:p>
      <w:pPr>
        <w:pStyle w:val="2"/>
        <w:rPr>
          <w:rFonts w:hAnsi="宋体" w:cs="宋体"/>
          <w:spacing w:val="-4"/>
          <w:sz w:val="24"/>
          <w:szCs w:val="24"/>
        </w:rPr>
      </w:pPr>
    </w:p>
    <w:p>
      <w:pPr>
        <w:kinsoku w:val="0"/>
        <w:overflowPunct w:val="0"/>
        <w:autoSpaceDE/>
        <w:autoSpaceDN/>
        <w:snapToGrid w:val="0"/>
        <w:spacing w:line="520" w:lineRule="atLeast"/>
        <w:ind w:firstLine="3480" w:firstLineChars="1500"/>
        <w:textAlignment w:val="auto"/>
        <w:rPr>
          <w:rFonts w:ascii="宋体" w:hAnsi="宋体" w:cs="宋体"/>
          <w:spacing w:val="-4"/>
          <w:sz w:val="24"/>
          <w:szCs w:val="24"/>
        </w:rPr>
      </w:pPr>
      <w:r>
        <w:rPr>
          <w:rFonts w:hint="eastAsia" w:ascii="宋体" w:hAnsi="宋体" w:cs="宋体"/>
          <w:spacing w:val="-4"/>
          <w:sz w:val="24"/>
          <w:szCs w:val="24"/>
        </w:rPr>
        <w:t>法定代表人或授权代理人（签字或盖章）：</w:t>
      </w:r>
    </w:p>
    <w:p>
      <w:pPr>
        <w:kinsoku w:val="0"/>
        <w:overflowPunct w:val="0"/>
        <w:autoSpaceDE/>
        <w:autoSpaceDN/>
        <w:snapToGrid w:val="0"/>
        <w:spacing w:line="520" w:lineRule="atLeast"/>
        <w:ind w:firstLine="3944" w:firstLineChars="1700"/>
        <w:textAlignment w:val="auto"/>
        <w:rPr>
          <w:rFonts w:ascii="宋体" w:hAnsi="宋体" w:cs="宋体"/>
          <w:spacing w:val="-4"/>
          <w:sz w:val="24"/>
          <w:szCs w:val="24"/>
        </w:rPr>
      </w:pPr>
      <w:r>
        <w:rPr>
          <w:rFonts w:hint="eastAsia" w:ascii="宋体" w:hAnsi="宋体" w:cs="宋体"/>
          <w:spacing w:val="-4"/>
          <w:sz w:val="24"/>
          <w:szCs w:val="24"/>
        </w:rPr>
        <w:t>联系电话：</w:t>
      </w:r>
    </w:p>
    <w:p>
      <w:pPr>
        <w:kinsoku w:val="0"/>
        <w:overflowPunct w:val="0"/>
        <w:autoSpaceDE/>
        <w:autoSpaceDN/>
        <w:snapToGrid w:val="0"/>
        <w:spacing w:line="520" w:lineRule="atLeast"/>
        <w:textAlignment w:val="auto"/>
        <w:rPr>
          <w:rFonts w:ascii="宋体" w:hAnsi="宋体" w:cs="宋体"/>
          <w:spacing w:val="-4"/>
          <w:sz w:val="24"/>
          <w:szCs w:val="24"/>
        </w:rPr>
      </w:pPr>
      <w:r>
        <w:rPr>
          <w:rFonts w:hint="eastAsia" w:ascii="宋体" w:hAnsi="宋体" w:cs="宋体"/>
          <w:spacing w:val="-4"/>
          <w:sz w:val="24"/>
          <w:szCs w:val="24"/>
        </w:rPr>
        <w:t xml:space="preserve">                                         日期：       年   月   日</w:t>
      </w:r>
    </w:p>
    <w:p>
      <w:pPr>
        <w:pStyle w:val="2"/>
        <w:rPr>
          <w:rFonts w:hAnsi="宋体" w:cs="宋体"/>
          <w:spacing w:val="-4"/>
          <w:sz w:val="24"/>
          <w:szCs w:val="24"/>
        </w:rPr>
      </w:pPr>
    </w:p>
    <w:p>
      <w:pPr>
        <w:pStyle w:val="2"/>
        <w:rPr>
          <w:rFonts w:hAnsi="宋体" w:cs="宋体"/>
          <w:spacing w:val="-4"/>
          <w:sz w:val="24"/>
          <w:szCs w:val="24"/>
        </w:rPr>
      </w:pPr>
    </w:p>
    <w:p>
      <w:pPr>
        <w:pStyle w:val="2"/>
        <w:rPr>
          <w:rFonts w:hAnsi="宋体" w:cs="宋体"/>
          <w:spacing w:val="-4"/>
          <w:sz w:val="24"/>
          <w:szCs w:val="24"/>
        </w:rPr>
      </w:pPr>
    </w:p>
    <w:p>
      <w:pPr>
        <w:pStyle w:val="2"/>
        <w:rPr>
          <w:rFonts w:hAnsi="宋体" w:cs="宋体"/>
          <w:spacing w:val="-4"/>
          <w:sz w:val="24"/>
          <w:szCs w:val="24"/>
        </w:rPr>
      </w:pPr>
    </w:p>
    <w:p>
      <w:pPr>
        <w:pStyle w:val="2"/>
        <w:rPr>
          <w:rFonts w:hAnsi="宋体" w:cs="宋体"/>
          <w:spacing w:val="-4"/>
          <w:sz w:val="24"/>
          <w:szCs w:val="24"/>
        </w:rPr>
      </w:pPr>
    </w:p>
    <w:p>
      <w:pPr>
        <w:pStyle w:val="2"/>
        <w:rPr>
          <w:rFonts w:hAnsi="宋体" w:cs="宋体"/>
          <w:spacing w:val="-4"/>
          <w:sz w:val="24"/>
          <w:szCs w:val="24"/>
        </w:rPr>
      </w:pPr>
    </w:p>
    <w:p>
      <w:pPr>
        <w:pStyle w:val="2"/>
        <w:rPr>
          <w:rFonts w:hAnsi="宋体" w:cs="宋体"/>
          <w:spacing w:val="-4"/>
          <w:sz w:val="24"/>
          <w:szCs w:val="24"/>
        </w:rPr>
      </w:pPr>
    </w:p>
    <w:p>
      <w:pPr>
        <w:kinsoku w:val="0"/>
        <w:overflowPunct w:val="0"/>
        <w:adjustRightInd/>
        <w:spacing w:line="400" w:lineRule="atLeast"/>
        <w:textAlignment w:val="auto"/>
        <w:rPr>
          <w:rFonts w:ascii="宋体" w:hAnsi="宋体" w:cs="宋体"/>
          <w:spacing w:val="-4"/>
          <w:sz w:val="24"/>
          <w:szCs w:val="24"/>
        </w:rPr>
      </w:pPr>
    </w:p>
    <w:p>
      <w:pPr>
        <w:pStyle w:val="2"/>
      </w:pPr>
    </w:p>
    <w:p>
      <w:pPr>
        <w:pStyle w:val="2"/>
      </w:pPr>
    </w:p>
    <w:p>
      <w:pPr>
        <w:pStyle w:val="2"/>
      </w:pPr>
    </w:p>
    <w:p>
      <w:pPr>
        <w:pStyle w:val="2"/>
      </w:pPr>
    </w:p>
    <w:p>
      <w:pPr>
        <w:pStyle w:val="2"/>
      </w:pPr>
    </w:p>
    <w:p>
      <w:pPr>
        <w:kinsoku w:val="0"/>
        <w:overflowPunct w:val="0"/>
        <w:adjustRightInd/>
        <w:spacing w:line="400" w:lineRule="atLeast"/>
        <w:textAlignment w:val="auto"/>
        <w:rPr>
          <w:rFonts w:ascii="宋体" w:hAnsi="宋体" w:cs="宋体"/>
          <w:spacing w:val="-4"/>
          <w:sz w:val="24"/>
          <w:szCs w:val="24"/>
        </w:rPr>
      </w:pPr>
    </w:p>
    <w:p>
      <w:pPr>
        <w:jc w:val="center"/>
        <w:rPr>
          <w:rFonts w:cs="宋体"/>
          <w:bCs/>
          <w:sz w:val="28"/>
          <w:szCs w:val="28"/>
        </w:rPr>
      </w:pPr>
    </w:p>
    <w:p>
      <w:pPr>
        <w:jc w:val="center"/>
        <w:rPr>
          <w:rFonts w:cs="宋体"/>
          <w:bCs/>
          <w:sz w:val="24"/>
          <w:szCs w:val="24"/>
        </w:rPr>
      </w:pPr>
      <w:r>
        <w:rPr>
          <w:rFonts w:hint="eastAsia" w:cs="宋体"/>
          <w:bCs/>
          <w:sz w:val="28"/>
          <w:szCs w:val="28"/>
        </w:rPr>
        <w:t xml:space="preserve">附件3  </w:t>
      </w:r>
      <w:r>
        <w:rPr>
          <w:rFonts w:hint="eastAsia" w:cs="宋体"/>
          <w:bCs/>
          <w:sz w:val="24"/>
          <w:szCs w:val="24"/>
        </w:rPr>
        <w:t>法定代表人证明书</w:t>
      </w:r>
    </w:p>
    <w:p>
      <w:pPr>
        <w:pStyle w:val="17"/>
        <w:keepNext w:val="0"/>
        <w:keepLines w:val="0"/>
        <w:kinsoku w:val="0"/>
        <w:overflowPunct w:val="0"/>
        <w:snapToGrid w:val="0"/>
        <w:spacing w:afterLines="50" w:line="520" w:lineRule="atLeast"/>
        <w:jc w:val="both"/>
        <w:rPr>
          <w:rFonts w:eastAsia="宋体" w:cs="宋体"/>
          <w:b w:val="0"/>
          <w:bCs/>
          <w:sz w:val="24"/>
          <w:szCs w:val="24"/>
          <w:u w:val="single"/>
        </w:rPr>
      </w:pPr>
      <w:r>
        <w:rPr>
          <w:rFonts w:hint="eastAsia" w:eastAsia="宋体" w:cs="宋体"/>
          <w:b w:val="0"/>
          <w:bCs/>
          <w:sz w:val="24"/>
          <w:szCs w:val="24"/>
        </w:rPr>
        <w:t>企业名称：</w:t>
      </w:r>
    </w:p>
    <w:p>
      <w:pPr>
        <w:pStyle w:val="17"/>
        <w:keepNext w:val="0"/>
        <w:keepLines w:val="0"/>
        <w:kinsoku w:val="0"/>
        <w:overflowPunct w:val="0"/>
        <w:snapToGrid w:val="0"/>
        <w:spacing w:afterLines="50" w:line="520" w:lineRule="atLeast"/>
        <w:jc w:val="both"/>
        <w:rPr>
          <w:rFonts w:eastAsia="宋体" w:cs="宋体"/>
          <w:b w:val="0"/>
          <w:bCs/>
          <w:sz w:val="24"/>
          <w:szCs w:val="24"/>
          <w:u w:val="single"/>
        </w:rPr>
      </w:pPr>
      <w:r>
        <w:rPr>
          <w:rFonts w:hint="eastAsia" w:eastAsia="宋体" w:cs="宋体"/>
          <w:b w:val="0"/>
          <w:bCs/>
          <w:sz w:val="24"/>
          <w:szCs w:val="24"/>
        </w:rPr>
        <w:t>企业性质：</w:t>
      </w:r>
    </w:p>
    <w:p>
      <w:pPr>
        <w:pStyle w:val="17"/>
        <w:keepNext w:val="0"/>
        <w:keepLines w:val="0"/>
        <w:kinsoku w:val="0"/>
        <w:overflowPunct w:val="0"/>
        <w:snapToGrid w:val="0"/>
        <w:spacing w:afterLines="50" w:line="520" w:lineRule="atLeast"/>
        <w:jc w:val="both"/>
        <w:rPr>
          <w:rFonts w:eastAsia="宋体" w:cs="宋体"/>
          <w:b w:val="0"/>
          <w:bCs/>
          <w:sz w:val="24"/>
          <w:szCs w:val="24"/>
          <w:u w:val="single"/>
        </w:rPr>
      </w:pPr>
      <w:r>
        <w:rPr>
          <w:rFonts w:hint="eastAsia" w:eastAsia="宋体" w:cs="宋体"/>
          <w:b w:val="0"/>
          <w:bCs/>
          <w:sz w:val="24"/>
          <w:szCs w:val="24"/>
        </w:rPr>
        <w:t>地   址：</w:t>
      </w:r>
    </w:p>
    <w:p>
      <w:pPr>
        <w:pStyle w:val="17"/>
        <w:keepNext w:val="0"/>
        <w:keepLines w:val="0"/>
        <w:kinsoku w:val="0"/>
        <w:overflowPunct w:val="0"/>
        <w:snapToGrid w:val="0"/>
        <w:spacing w:afterLines="50" w:line="520" w:lineRule="atLeast"/>
        <w:jc w:val="both"/>
        <w:rPr>
          <w:rFonts w:eastAsia="宋体" w:cs="宋体"/>
          <w:b w:val="0"/>
          <w:bCs/>
          <w:sz w:val="24"/>
          <w:szCs w:val="24"/>
          <w:u w:val="single"/>
        </w:rPr>
      </w:pPr>
      <w:r>
        <w:rPr>
          <w:rFonts w:hint="eastAsia" w:eastAsia="宋体" w:cs="宋体"/>
          <w:b w:val="0"/>
          <w:bCs/>
          <w:sz w:val="24"/>
          <w:szCs w:val="24"/>
        </w:rPr>
        <w:t>成立时间：</w:t>
      </w:r>
    </w:p>
    <w:p>
      <w:pPr>
        <w:pStyle w:val="17"/>
        <w:keepNext w:val="0"/>
        <w:keepLines w:val="0"/>
        <w:kinsoku w:val="0"/>
        <w:overflowPunct w:val="0"/>
        <w:snapToGrid w:val="0"/>
        <w:spacing w:afterLines="50" w:line="520" w:lineRule="atLeast"/>
        <w:jc w:val="both"/>
        <w:rPr>
          <w:rFonts w:eastAsia="宋体" w:cs="宋体"/>
          <w:b w:val="0"/>
          <w:bCs/>
          <w:sz w:val="24"/>
          <w:szCs w:val="24"/>
          <w:u w:val="single"/>
        </w:rPr>
      </w:pPr>
      <w:r>
        <w:rPr>
          <w:rFonts w:hint="eastAsia" w:eastAsia="宋体" w:cs="宋体"/>
          <w:b w:val="0"/>
          <w:bCs/>
          <w:sz w:val="24"/>
          <w:szCs w:val="24"/>
        </w:rPr>
        <w:t>经营期限：</w:t>
      </w:r>
    </w:p>
    <w:p>
      <w:pPr>
        <w:pStyle w:val="17"/>
        <w:keepNext w:val="0"/>
        <w:keepLines w:val="0"/>
        <w:kinsoku w:val="0"/>
        <w:overflowPunct w:val="0"/>
        <w:snapToGrid w:val="0"/>
        <w:spacing w:afterLines="50" w:line="520" w:lineRule="atLeast"/>
        <w:jc w:val="both"/>
        <w:rPr>
          <w:rFonts w:eastAsia="宋体" w:cs="宋体"/>
          <w:b w:val="0"/>
          <w:bCs/>
          <w:sz w:val="24"/>
          <w:szCs w:val="24"/>
          <w:u w:val="single"/>
        </w:rPr>
      </w:pPr>
      <w:r>
        <w:rPr>
          <w:rFonts w:hint="eastAsia" w:eastAsia="宋体" w:cs="宋体"/>
          <w:b w:val="0"/>
          <w:bCs/>
          <w:sz w:val="24"/>
          <w:szCs w:val="24"/>
        </w:rPr>
        <w:t>姓名： 性别：</w:t>
      </w:r>
    </w:p>
    <w:p>
      <w:pPr>
        <w:pStyle w:val="17"/>
        <w:keepNext w:val="0"/>
        <w:keepLines w:val="0"/>
        <w:kinsoku w:val="0"/>
        <w:overflowPunct w:val="0"/>
        <w:snapToGrid w:val="0"/>
        <w:spacing w:afterLines="50" w:line="520" w:lineRule="atLeast"/>
        <w:jc w:val="both"/>
        <w:rPr>
          <w:rFonts w:eastAsia="宋体" w:cs="宋体"/>
          <w:b w:val="0"/>
          <w:bCs/>
          <w:sz w:val="24"/>
          <w:szCs w:val="24"/>
        </w:rPr>
      </w:pPr>
      <w:r>
        <w:rPr>
          <w:rFonts w:hint="eastAsia" w:eastAsia="宋体" w:cs="宋体"/>
          <w:b w:val="0"/>
          <w:bCs/>
          <w:sz w:val="24"/>
          <w:szCs w:val="24"/>
        </w:rPr>
        <w:t>年龄： 职务：</w:t>
      </w:r>
    </w:p>
    <w:p>
      <w:pPr>
        <w:pStyle w:val="17"/>
        <w:keepNext w:val="0"/>
        <w:keepLines w:val="0"/>
        <w:kinsoku w:val="0"/>
        <w:overflowPunct w:val="0"/>
        <w:snapToGrid w:val="0"/>
        <w:spacing w:afterLines="50" w:line="520" w:lineRule="atLeast"/>
        <w:jc w:val="both"/>
        <w:rPr>
          <w:rFonts w:eastAsia="宋体" w:cs="宋体"/>
          <w:b w:val="0"/>
          <w:bCs/>
          <w:sz w:val="24"/>
          <w:szCs w:val="24"/>
        </w:rPr>
      </w:pPr>
      <w:r>
        <w:rPr>
          <w:rFonts w:hint="eastAsia" w:eastAsia="宋体" w:cs="宋体"/>
          <w:b w:val="0"/>
          <w:bCs/>
          <w:sz w:val="24"/>
          <w:szCs w:val="24"/>
        </w:rPr>
        <w:t>系（报价单位全称）的法定代表人。</w:t>
      </w:r>
    </w:p>
    <w:p>
      <w:pPr>
        <w:pStyle w:val="17"/>
        <w:keepNext w:val="0"/>
        <w:keepLines w:val="0"/>
        <w:kinsoku w:val="0"/>
        <w:overflowPunct w:val="0"/>
        <w:snapToGrid w:val="0"/>
        <w:spacing w:afterLines="50" w:line="520" w:lineRule="atLeast"/>
        <w:ind w:firstLine="520" w:firstLineChars="200"/>
        <w:jc w:val="both"/>
        <w:rPr>
          <w:rFonts w:eastAsia="宋体" w:cs="宋体"/>
          <w:b w:val="0"/>
          <w:bCs/>
          <w:sz w:val="24"/>
          <w:szCs w:val="24"/>
        </w:rPr>
      </w:pPr>
      <w:r>
        <w:rPr>
          <w:rFonts w:hint="eastAsia" w:eastAsia="宋体" w:cs="宋体"/>
          <w:b w:val="0"/>
          <w:bCs/>
          <w:sz w:val="24"/>
          <w:szCs w:val="24"/>
        </w:rPr>
        <w:t>特此证明！</w:t>
      </w:r>
    </w:p>
    <w:p>
      <w:pPr>
        <w:pStyle w:val="17"/>
        <w:keepNext w:val="0"/>
        <w:keepLines w:val="0"/>
        <w:kinsoku w:val="0"/>
        <w:overflowPunct w:val="0"/>
        <w:snapToGrid w:val="0"/>
        <w:spacing w:afterLines="50" w:line="520" w:lineRule="atLeast"/>
        <w:jc w:val="both"/>
        <w:rPr>
          <w:rFonts w:eastAsia="宋体" w:cs="宋体"/>
          <w:b w:val="0"/>
          <w:bCs/>
          <w:sz w:val="24"/>
          <w:szCs w:val="24"/>
        </w:rPr>
      </w:pPr>
      <w:r>
        <w:rPr>
          <w:rFonts w:hint="eastAsia" w:eastAsia="宋体" w:cs="宋体"/>
          <w:b w:val="0"/>
          <w:bCs/>
          <w:sz w:val="24"/>
          <w:szCs w:val="24"/>
        </w:rPr>
        <w:t>附：法定代表人身份证正反面复印件</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noWrap/>
          </w:tcPr>
          <w:p>
            <w:pPr>
              <w:spacing w:line="440" w:lineRule="exact"/>
              <w:rPr>
                <w:rFonts w:ascii="宋体" w:hAnsi="宋体"/>
                <w:sz w:val="24"/>
                <w:szCs w:val="24"/>
              </w:rPr>
            </w:pPr>
            <w:r>
              <w:rPr>
                <w:rFonts w:hint="eastAsia" w:ascii="宋体" w:hAnsi="宋体"/>
                <w:sz w:val="24"/>
                <w:szCs w:val="24"/>
              </w:rPr>
              <w:t>身份证复印件</w:t>
            </w:r>
          </w:p>
        </w:tc>
        <w:tc>
          <w:tcPr>
            <w:tcW w:w="2500" w:type="pct"/>
            <w:noWrap/>
          </w:tcPr>
          <w:p>
            <w:pPr>
              <w:spacing w:line="440" w:lineRule="exact"/>
              <w:rPr>
                <w:rFonts w:ascii="宋体" w:hAnsi="宋体"/>
                <w:sz w:val="24"/>
                <w:szCs w:val="24"/>
              </w:rPr>
            </w:pPr>
          </w:p>
        </w:tc>
      </w:tr>
    </w:tbl>
    <w:p>
      <w:pPr>
        <w:pStyle w:val="17"/>
        <w:keepNext w:val="0"/>
        <w:keepLines w:val="0"/>
        <w:autoSpaceDE w:val="0"/>
        <w:autoSpaceDN w:val="0"/>
        <w:snapToGrid w:val="0"/>
        <w:spacing w:line="240" w:lineRule="auto"/>
        <w:rPr>
          <w:rFonts w:eastAsia="宋体" w:cs="宋体"/>
          <w:b w:val="0"/>
          <w:bCs/>
          <w:sz w:val="28"/>
          <w:szCs w:val="28"/>
        </w:rPr>
      </w:pPr>
    </w:p>
    <w:p>
      <w:pPr>
        <w:pStyle w:val="17"/>
        <w:keepNext w:val="0"/>
        <w:keepLines w:val="0"/>
        <w:autoSpaceDE w:val="0"/>
        <w:autoSpaceDN w:val="0"/>
        <w:snapToGrid w:val="0"/>
        <w:spacing w:line="240" w:lineRule="auto"/>
        <w:rPr>
          <w:rFonts w:eastAsia="宋体" w:cs="宋体"/>
          <w:b w:val="0"/>
          <w:bCs/>
          <w:sz w:val="28"/>
          <w:szCs w:val="28"/>
        </w:rPr>
      </w:pPr>
    </w:p>
    <w:p>
      <w:pPr>
        <w:kinsoku w:val="0"/>
        <w:overflowPunct w:val="0"/>
        <w:snapToGrid w:val="0"/>
        <w:spacing w:line="520" w:lineRule="exact"/>
        <w:ind w:firstLine="3600" w:firstLineChars="1500"/>
        <w:jc w:val="left"/>
        <w:rPr>
          <w:rFonts w:ascii="宋体" w:hAnsi="宋体"/>
          <w:bCs/>
          <w:sz w:val="24"/>
          <w:szCs w:val="24"/>
        </w:rPr>
      </w:pPr>
      <w:r>
        <w:rPr>
          <w:rFonts w:hint="eastAsia" w:ascii="宋体" w:hAnsi="宋体"/>
          <w:bCs/>
          <w:sz w:val="24"/>
          <w:szCs w:val="24"/>
        </w:rPr>
        <w:t>报价单位（盖公章）：</w:t>
      </w:r>
    </w:p>
    <w:p>
      <w:pPr>
        <w:pStyle w:val="17"/>
        <w:keepNext w:val="0"/>
        <w:keepLines w:val="0"/>
        <w:kinsoku w:val="0"/>
        <w:overflowPunct w:val="0"/>
        <w:snapToGrid w:val="0"/>
        <w:spacing w:line="240" w:lineRule="auto"/>
        <w:jc w:val="both"/>
        <w:rPr>
          <w:rFonts w:eastAsia="宋体" w:cs="宋体"/>
          <w:b w:val="0"/>
          <w:bCs/>
          <w:sz w:val="24"/>
          <w:szCs w:val="24"/>
        </w:rPr>
      </w:pPr>
    </w:p>
    <w:p>
      <w:pPr>
        <w:kinsoku w:val="0"/>
        <w:overflowPunct w:val="0"/>
        <w:snapToGrid w:val="0"/>
        <w:spacing w:line="520" w:lineRule="exact"/>
        <w:ind w:firstLine="3840" w:firstLineChars="1600"/>
        <w:jc w:val="left"/>
        <w:rPr>
          <w:rFonts w:ascii="宋体" w:hAnsi="宋体"/>
          <w:bCs/>
          <w:sz w:val="24"/>
          <w:szCs w:val="24"/>
        </w:rPr>
      </w:pPr>
      <w:r>
        <w:rPr>
          <w:rFonts w:hint="eastAsia" w:ascii="宋体" w:hAnsi="宋体"/>
          <w:bCs/>
          <w:sz w:val="24"/>
          <w:szCs w:val="24"/>
        </w:rPr>
        <w:t>日期：</w:t>
      </w:r>
    </w:p>
    <w:p>
      <w:pPr>
        <w:pStyle w:val="17"/>
        <w:keepNext w:val="0"/>
        <w:keepLines w:val="0"/>
        <w:kinsoku w:val="0"/>
        <w:overflowPunct w:val="0"/>
        <w:snapToGrid w:val="0"/>
        <w:spacing w:line="240" w:lineRule="auto"/>
        <w:jc w:val="both"/>
        <w:rPr>
          <w:rFonts w:eastAsia="宋体" w:cs="宋体"/>
          <w:b w:val="0"/>
          <w:bCs/>
          <w:sz w:val="24"/>
          <w:szCs w:val="24"/>
        </w:rPr>
      </w:pPr>
      <w:r>
        <w:rPr>
          <w:rFonts w:hint="eastAsia" w:eastAsia="宋体" w:cs="宋体"/>
          <w:b w:val="0"/>
          <w:bCs/>
          <w:sz w:val="24"/>
          <w:szCs w:val="24"/>
        </w:rPr>
        <w:t>备注：法定代表人身份证正反面复印件可单独一页，但需加盖企业公章。</w:t>
      </w:r>
    </w:p>
    <w:p>
      <w:pPr>
        <w:pStyle w:val="17"/>
        <w:keepNext w:val="0"/>
        <w:keepLines w:val="0"/>
        <w:kinsoku w:val="0"/>
        <w:overflowPunct w:val="0"/>
        <w:snapToGrid w:val="0"/>
        <w:spacing w:line="240" w:lineRule="auto"/>
        <w:rPr>
          <w:rFonts w:eastAsia="宋体" w:cs="宋体"/>
          <w:b w:val="0"/>
          <w:bCs/>
          <w:sz w:val="28"/>
          <w:szCs w:val="28"/>
        </w:rPr>
      </w:pPr>
    </w:p>
    <w:p>
      <w:pPr>
        <w:pStyle w:val="17"/>
        <w:keepNext w:val="0"/>
        <w:keepLines w:val="0"/>
        <w:kinsoku w:val="0"/>
        <w:overflowPunct w:val="0"/>
        <w:snapToGrid w:val="0"/>
        <w:spacing w:line="240" w:lineRule="auto"/>
        <w:rPr>
          <w:rFonts w:eastAsia="宋体" w:cs="宋体"/>
          <w:b w:val="0"/>
          <w:bCs/>
          <w:sz w:val="28"/>
          <w:szCs w:val="28"/>
        </w:rPr>
      </w:pPr>
    </w:p>
    <w:p>
      <w:pPr>
        <w:pStyle w:val="17"/>
        <w:keepNext w:val="0"/>
        <w:keepLines w:val="0"/>
        <w:kinsoku w:val="0"/>
        <w:overflowPunct w:val="0"/>
        <w:snapToGrid w:val="0"/>
        <w:spacing w:line="240" w:lineRule="auto"/>
        <w:rPr>
          <w:rFonts w:eastAsia="宋体" w:cs="宋体"/>
          <w:sz w:val="28"/>
          <w:szCs w:val="28"/>
        </w:rPr>
      </w:pPr>
      <w:r>
        <w:rPr>
          <w:rFonts w:hint="eastAsia" w:eastAsia="宋体" w:cs="宋体"/>
          <w:b w:val="0"/>
          <w:bCs/>
          <w:sz w:val="28"/>
          <w:szCs w:val="28"/>
        </w:rPr>
        <w:t>附件4 法人授权委托书</w:t>
      </w:r>
    </w:p>
    <w:p>
      <w:pPr>
        <w:kinsoku w:val="0"/>
        <w:overflowPunct w:val="0"/>
        <w:snapToGrid w:val="0"/>
        <w:spacing w:line="520" w:lineRule="exact"/>
        <w:ind w:firstLine="630"/>
        <w:jc w:val="left"/>
        <w:rPr>
          <w:rFonts w:ascii="宋体" w:hAnsi="宋体" w:cs="宋体"/>
          <w:sz w:val="24"/>
          <w:szCs w:val="32"/>
        </w:rPr>
      </w:pPr>
      <w:r>
        <w:rPr>
          <w:rFonts w:hint="eastAsia" w:ascii="宋体" w:hAnsi="宋体" w:cs="宋体"/>
          <w:sz w:val="24"/>
          <w:szCs w:val="32"/>
        </w:rPr>
        <w:t>授权声明：</w:t>
      </w:r>
      <w:r>
        <w:rPr>
          <w:rFonts w:hint="eastAsia"/>
          <w:sz w:val="24"/>
          <w:szCs w:val="24"/>
          <w:u w:val="single"/>
        </w:rPr>
        <w:t xml:space="preserve">（报价单位名称） </w:t>
      </w:r>
      <w:r>
        <w:rPr>
          <w:rFonts w:hint="eastAsia"/>
          <w:sz w:val="24"/>
          <w:szCs w:val="24"/>
        </w:rPr>
        <w:t>授权</w:t>
      </w:r>
      <w:r>
        <w:rPr>
          <w:rFonts w:hint="eastAsia"/>
          <w:sz w:val="24"/>
          <w:szCs w:val="24"/>
          <w:u w:val="single"/>
        </w:rPr>
        <w:t xml:space="preserve"> （授权代理人） </w:t>
      </w:r>
      <w:r>
        <w:rPr>
          <w:rFonts w:hint="eastAsia"/>
          <w:sz w:val="24"/>
          <w:szCs w:val="24"/>
        </w:rPr>
        <w:t>为我公司的代理人，以本公司的名义负责</w:t>
      </w:r>
      <w:r>
        <w:rPr>
          <w:rFonts w:hint="eastAsia"/>
          <w:bCs/>
          <w:sz w:val="24"/>
          <w:szCs w:val="32"/>
        </w:rPr>
        <w:t>参与</w:t>
      </w:r>
      <w:r>
        <w:rPr>
          <w:rFonts w:hint="eastAsia" w:ascii="宋体" w:hAnsi="宋体"/>
          <w:sz w:val="24"/>
          <w:szCs w:val="24"/>
          <w:u w:val="single"/>
        </w:rPr>
        <w:t>2024年-2025年环保自行监测项目</w:t>
      </w:r>
      <w:r>
        <w:rPr>
          <w:rFonts w:hint="eastAsia"/>
          <w:bCs/>
          <w:sz w:val="24"/>
          <w:szCs w:val="32"/>
        </w:rPr>
        <w:t>的报价，该代理人在报价及后续的合同执行过程中，所签署的一切文件及所处理的与我公司有关的一切事务，我公司均予以承认。</w:t>
      </w:r>
      <w:r>
        <w:rPr>
          <w:rFonts w:hint="eastAsia" w:ascii="宋体" w:hAnsi="宋体"/>
          <w:bCs/>
          <w:sz w:val="24"/>
        </w:rPr>
        <w:t>本授权书于  年  月  日签字之日起生效，特此声明。</w:t>
      </w:r>
    </w:p>
    <w:p>
      <w:pPr>
        <w:kinsoku w:val="0"/>
        <w:overflowPunct w:val="0"/>
        <w:autoSpaceDE/>
        <w:autoSpaceDN/>
        <w:snapToGrid w:val="0"/>
        <w:spacing w:line="520" w:lineRule="exact"/>
        <w:ind w:firstLine="480" w:firstLineChars="200"/>
        <w:jc w:val="left"/>
        <w:textAlignment w:val="auto"/>
        <w:rPr>
          <w:rFonts w:ascii="宋体" w:hAnsi="宋体" w:cs="宋体"/>
          <w:sz w:val="24"/>
          <w:szCs w:val="32"/>
        </w:rPr>
      </w:pPr>
      <w:r>
        <w:rPr>
          <w:rFonts w:hint="eastAsia" w:ascii="宋体" w:hAnsi="宋体" w:cs="宋体"/>
          <w:sz w:val="24"/>
          <w:szCs w:val="32"/>
        </w:rPr>
        <w:t>代理人无转委托权，特此委托。</w:t>
      </w:r>
    </w:p>
    <w:p>
      <w:pPr>
        <w:kinsoku w:val="0"/>
        <w:overflowPunct w:val="0"/>
        <w:autoSpaceDE/>
        <w:autoSpaceDN/>
        <w:snapToGrid w:val="0"/>
        <w:spacing w:line="520" w:lineRule="exact"/>
        <w:ind w:firstLine="480" w:firstLineChars="200"/>
        <w:jc w:val="left"/>
        <w:textAlignment w:val="auto"/>
        <w:rPr>
          <w:rFonts w:ascii="宋体" w:hAnsi="宋体" w:cs="宋体"/>
          <w:sz w:val="24"/>
          <w:szCs w:val="32"/>
        </w:rPr>
      </w:pPr>
    </w:p>
    <w:p>
      <w:pPr>
        <w:pStyle w:val="17"/>
        <w:keepNext w:val="0"/>
        <w:keepLines w:val="0"/>
        <w:kinsoku w:val="0"/>
        <w:overflowPunct w:val="0"/>
        <w:snapToGrid w:val="0"/>
        <w:spacing w:afterLines="50" w:line="520" w:lineRule="atLeast"/>
        <w:jc w:val="both"/>
        <w:rPr>
          <w:rFonts w:eastAsia="宋体" w:cs="宋体"/>
          <w:b w:val="0"/>
          <w:bCs/>
          <w:sz w:val="24"/>
          <w:szCs w:val="24"/>
        </w:rPr>
      </w:pPr>
      <w:r>
        <w:rPr>
          <w:rFonts w:hint="eastAsia" w:eastAsia="宋体" w:cs="宋体"/>
          <w:b w:val="0"/>
          <w:bCs/>
          <w:sz w:val="24"/>
          <w:szCs w:val="24"/>
        </w:rPr>
        <w:t>附：授权代理人身份证正反面复印件</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500" w:type="pct"/>
            <w:noWrap/>
          </w:tcPr>
          <w:p>
            <w:pPr>
              <w:spacing w:line="440" w:lineRule="exact"/>
              <w:rPr>
                <w:rFonts w:ascii="宋体" w:hAnsi="宋体"/>
                <w:sz w:val="24"/>
                <w:szCs w:val="24"/>
              </w:rPr>
            </w:pPr>
            <w:r>
              <w:rPr>
                <w:rFonts w:hint="eastAsia" w:ascii="宋体" w:hAnsi="宋体"/>
                <w:sz w:val="24"/>
                <w:szCs w:val="24"/>
              </w:rPr>
              <w:t>身份证复印件</w:t>
            </w:r>
          </w:p>
        </w:tc>
        <w:tc>
          <w:tcPr>
            <w:tcW w:w="2500" w:type="pct"/>
            <w:noWrap/>
          </w:tcPr>
          <w:p>
            <w:pPr>
              <w:spacing w:line="440" w:lineRule="exact"/>
              <w:rPr>
                <w:rFonts w:ascii="宋体" w:hAnsi="宋体"/>
                <w:sz w:val="24"/>
                <w:szCs w:val="24"/>
              </w:rPr>
            </w:pPr>
          </w:p>
        </w:tc>
      </w:tr>
    </w:tbl>
    <w:p>
      <w:pPr>
        <w:spacing w:line="440" w:lineRule="exact"/>
        <w:ind w:firstLine="420"/>
        <w:rPr>
          <w:rFonts w:ascii="宋体" w:hAnsi="宋体"/>
          <w:szCs w:val="21"/>
        </w:rPr>
      </w:pPr>
    </w:p>
    <w:p>
      <w:pPr>
        <w:kinsoku w:val="0"/>
        <w:overflowPunct w:val="0"/>
        <w:snapToGrid w:val="0"/>
        <w:spacing w:line="520" w:lineRule="exact"/>
        <w:ind w:firstLine="3600" w:firstLineChars="1500"/>
        <w:jc w:val="left"/>
        <w:rPr>
          <w:rFonts w:ascii="宋体" w:hAnsi="宋体"/>
          <w:bCs/>
          <w:sz w:val="24"/>
        </w:rPr>
      </w:pPr>
      <w:r>
        <w:rPr>
          <w:rFonts w:hint="eastAsia" w:ascii="宋体" w:hAnsi="宋体"/>
          <w:bCs/>
          <w:sz w:val="24"/>
        </w:rPr>
        <w:t>报价单位（公章）：</w:t>
      </w:r>
    </w:p>
    <w:p>
      <w:pPr>
        <w:kinsoku w:val="0"/>
        <w:overflowPunct w:val="0"/>
        <w:snapToGrid w:val="0"/>
        <w:spacing w:line="520" w:lineRule="exact"/>
        <w:ind w:firstLine="3600" w:firstLineChars="1500"/>
        <w:jc w:val="left"/>
        <w:rPr>
          <w:rFonts w:ascii="宋体" w:hAnsi="宋体"/>
          <w:bCs/>
          <w:sz w:val="24"/>
          <w:u w:val="single"/>
        </w:rPr>
      </w:pPr>
      <w:r>
        <w:rPr>
          <w:rFonts w:hint="eastAsia" w:ascii="宋体" w:hAnsi="宋体"/>
          <w:bCs/>
          <w:sz w:val="24"/>
        </w:rPr>
        <w:t>授权代理人签字：</w:t>
      </w:r>
    </w:p>
    <w:p>
      <w:pPr>
        <w:kinsoku w:val="0"/>
        <w:overflowPunct w:val="0"/>
        <w:adjustRightInd/>
        <w:spacing w:line="400" w:lineRule="atLeast"/>
        <w:textAlignment w:val="auto"/>
        <w:rPr>
          <w:rFonts w:ascii="宋体" w:hAnsi="宋体" w:cs="宋体"/>
          <w:spacing w:val="-4"/>
          <w:sz w:val="24"/>
          <w:szCs w:val="24"/>
        </w:rPr>
      </w:pPr>
    </w:p>
    <w:p>
      <w:pPr>
        <w:kinsoku w:val="0"/>
        <w:overflowPunct w:val="0"/>
        <w:adjustRightInd/>
        <w:spacing w:line="400" w:lineRule="atLeast"/>
        <w:textAlignment w:val="auto"/>
        <w:rPr>
          <w:rFonts w:ascii="宋体" w:hAnsi="宋体" w:cs="宋体"/>
          <w:spacing w:val="-4"/>
          <w:sz w:val="24"/>
          <w:szCs w:val="24"/>
        </w:rPr>
      </w:pPr>
    </w:p>
    <w:p>
      <w:pPr>
        <w:kinsoku w:val="0"/>
        <w:overflowPunct w:val="0"/>
        <w:adjustRightInd/>
        <w:spacing w:line="400" w:lineRule="atLeast"/>
        <w:textAlignment w:val="auto"/>
        <w:rPr>
          <w:rFonts w:ascii="宋体" w:hAnsi="宋体" w:cs="宋体"/>
          <w:spacing w:val="-4"/>
          <w:sz w:val="24"/>
          <w:szCs w:val="24"/>
        </w:rPr>
      </w:pPr>
    </w:p>
    <w:p>
      <w:pPr>
        <w:kinsoku w:val="0"/>
        <w:overflowPunct w:val="0"/>
        <w:adjustRightInd/>
        <w:spacing w:line="400" w:lineRule="atLeast"/>
        <w:textAlignment w:val="auto"/>
        <w:rPr>
          <w:rFonts w:ascii="宋体" w:hAnsi="宋体" w:cs="宋体"/>
          <w:spacing w:val="-4"/>
          <w:sz w:val="24"/>
          <w:szCs w:val="24"/>
        </w:rPr>
      </w:pPr>
    </w:p>
    <w:p>
      <w:pPr>
        <w:kinsoku w:val="0"/>
        <w:overflowPunct w:val="0"/>
        <w:adjustRightInd/>
        <w:spacing w:line="400" w:lineRule="atLeast"/>
        <w:textAlignment w:val="auto"/>
        <w:rPr>
          <w:rFonts w:ascii="宋体" w:hAnsi="宋体" w:cs="宋体"/>
          <w:spacing w:val="-4"/>
          <w:sz w:val="24"/>
          <w:szCs w:val="24"/>
        </w:rPr>
      </w:pPr>
    </w:p>
    <w:p>
      <w:pPr>
        <w:pStyle w:val="17"/>
        <w:keepNext w:val="0"/>
        <w:keepLines w:val="0"/>
        <w:kinsoku w:val="0"/>
        <w:overflowPunct w:val="0"/>
        <w:snapToGrid w:val="0"/>
        <w:spacing w:line="240" w:lineRule="auto"/>
        <w:jc w:val="both"/>
        <w:rPr>
          <w:rFonts w:eastAsia="宋体" w:cs="宋体"/>
          <w:b w:val="0"/>
          <w:bCs/>
          <w:sz w:val="24"/>
          <w:szCs w:val="24"/>
        </w:rPr>
      </w:pPr>
      <w:r>
        <w:rPr>
          <w:rFonts w:hint="eastAsia" w:eastAsia="宋体" w:cs="宋体"/>
          <w:b w:val="0"/>
          <w:bCs/>
          <w:sz w:val="24"/>
          <w:szCs w:val="24"/>
        </w:rPr>
        <w:t>备注：1、报价人为企业法定代表人，则本附件不需要提供。</w:t>
      </w:r>
    </w:p>
    <w:p>
      <w:pPr>
        <w:pStyle w:val="17"/>
        <w:keepNext w:val="0"/>
        <w:keepLines w:val="0"/>
        <w:numPr>
          <w:ilvl w:val="0"/>
          <w:numId w:val="38"/>
        </w:numPr>
        <w:kinsoku w:val="0"/>
        <w:overflowPunct w:val="0"/>
        <w:snapToGrid w:val="0"/>
        <w:spacing w:line="240" w:lineRule="auto"/>
        <w:jc w:val="both"/>
        <w:rPr>
          <w:rFonts w:eastAsia="宋体" w:cs="宋体"/>
          <w:b w:val="0"/>
          <w:bCs/>
          <w:sz w:val="24"/>
          <w:szCs w:val="24"/>
        </w:rPr>
      </w:pPr>
      <w:r>
        <w:rPr>
          <w:rFonts w:hint="eastAsia" w:eastAsia="宋体" w:cs="宋体"/>
          <w:b w:val="0"/>
          <w:bCs/>
          <w:sz w:val="24"/>
          <w:szCs w:val="24"/>
        </w:rPr>
        <w:t>授权代理人身份证正反面复印件可单独一页，但需加盖企业公章。</w:t>
      </w:r>
    </w:p>
    <w:p>
      <w:pPr>
        <w:kinsoku w:val="0"/>
        <w:overflowPunct w:val="0"/>
        <w:adjustRightInd/>
        <w:spacing w:line="400" w:lineRule="atLeast"/>
        <w:textAlignment w:val="auto"/>
        <w:rPr>
          <w:rFonts w:ascii="宋体" w:hAnsi="宋体" w:cs="宋体"/>
          <w:spacing w:val="-4"/>
          <w:sz w:val="24"/>
          <w:szCs w:val="24"/>
        </w:rPr>
      </w:pPr>
    </w:p>
    <w:p>
      <w:pPr>
        <w:kinsoku w:val="0"/>
        <w:overflowPunct w:val="0"/>
        <w:adjustRightInd/>
        <w:spacing w:line="400" w:lineRule="atLeast"/>
        <w:textAlignment w:val="auto"/>
        <w:rPr>
          <w:rFonts w:ascii="宋体" w:hAnsi="宋体" w:cs="宋体"/>
          <w:spacing w:val="-4"/>
          <w:sz w:val="24"/>
          <w:szCs w:val="24"/>
        </w:rPr>
      </w:pPr>
    </w:p>
    <w:p>
      <w:pPr>
        <w:kinsoku w:val="0"/>
        <w:overflowPunct w:val="0"/>
        <w:adjustRightInd/>
        <w:spacing w:line="400" w:lineRule="atLeast"/>
        <w:textAlignment w:val="auto"/>
        <w:rPr>
          <w:rFonts w:ascii="宋体" w:hAnsi="宋体" w:cs="宋体"/>
          <w:spacing w:val="-4"/>
          <w:sz w:val="24"/>
          <w:szCs w:val="24"/>
        </w:rPr>
      </w:pPr>
    </w:p>
    <w:p>
      <w:pPr>
        <w:kinsoku w:val="0"/>
        <w:overflowPunct w:val="0"/>
        <w:adjustRightInd/>
        <w:spacing w:line="400" w:lineRule="atLeast"/>
        <w:textAlignment w:val="auto"/>
        <w:rPr>
          <w:rFonts w:ascii="宋体" w:hAnsi="宋体" w:cs="宋体"/>
          <w:spacing w:val="-4"/>
          <w:sz w:val="24"/>
          <w:szCs w:val="24"/>
        </w:rPr>
      </w:pPr>
    </w:p>
    <w:p>
      <w:pPr>
        <w:pStyle w:val="17"/>
        <w:keepNext w:val="0"/>
        <w:keepLines w:val="0"/>
        <w:spacing w:line="440" w:lineRule="exact"/>
        <w:rPr>
          <w:rFonts w:eastAsia="宋体" w:cs="宋体"/>
          <w:b w:val="0"/>
          <w:bCs/>
          <w:sz w:val="28"/>
          <w:szCs w:val="28"/>
        </w:rPr>
      </w:pPr>
      <w:r>
        <w:rPr>
          <w:rFonts w:hint="eastAsia" w:eastAsia="宋体" w:cs="宋体"/>
          <w:b w:val="0"/>
          <w:bCs/>
          <w:sz w:val="28"/>
          <w:szCs w:val="28"/>
        </w:rPr>
        <w:t>附件5 关于资格的声明函</w:t>
      </w:r>
    </w:p>
    <w:p>
      <w:pPr>
        <w:kinsoku w:val="0"/>
        <w:overflowPunct w:val="0"/>
        <w:adjustRightInd/>
        <w:spacing w:line="400" w:lineRule="atLeast"/>
        <w:jc w:val="left"/>
        <w:rPr>
          <w:rFonts w:ascii="宋体" w:hAnsi="宋体" w:cs="宋体"/>
          <w:spacing w:val="-4"/>
          <w:sz w:val="24"/>
          <w:szCs w:val="24"/>
        </w:rPr>
      </w:pPr>
      <w:r>
        <w:rPr>
          <w:rFonts w:hint="eastAsia" w:ascii="宋体" w:hAnsi="宋体" w:cs="宋体"/>
          <w:spacing w:val="-4"/>
          <w:sz w:val="24"/>
          <w:szCs w:val="24"/>
        </w:rPr>
        <w:t>致：厦门同集热电有限公司</w:t>
      </w:r>
    </w:p>
    <w:p>
      <w:pPr>
        <w:kinsoku w:val="0"/>
        <w:overflowPunct w:val="0"/>
        <w:adjustRightInd/>
        <w:spacing w:line="400" w:lineRule="atLeast"/>
        <w:ind w:firstLine="720" w:firstLineChars="300"/>
        <w:rPr>
          <w:sz w:val="24"/>
          <w:szCs w:val="24"/>
        </w:rPr>
      </w:pPr>
      <w:r>
        <w:rPr>
          <w:rFonts w:hint="eastAsia"/>
          <w:sz w:val="24"/>
          <w:szCs w:val="24"/>
        </w:rPr>
        <w:t>关于贵司</w:t>
      </w:r>
      <w:r>
        <w:rPr>
          <w:rFonts w:hint="eastAsia" w:ascii="宋体" w:hAnsi="宋体"/>
          <w:sz w:val="24"/>
          <w:szCs w:val="24"/>
          <w:u w:val="single"/>
        </w:rPr>
        <w:t>2024年-2025年环保自行监测项目</w:t>
      </w:r>
      <w:r>
        <w:rPr>
          <w:rFonts w:hint="eastAsia"/>
          <w:sz w:val="24"/>
          <w:szCs w:val="24"/>
        </w:rPr>
        <w:t>的报价邀请，本签字人愿意参加报价，提供谈判文件中规定的</w:t>
      </w:r>
      <w:r>
        <w:rPr>
          <w:rFonts w:hint="eastAsia" w:ascii="宋体" w:hAnsi="宋体"/>
          <w:sz w:val="24"/>
          <w:szCs w:val="24"/>
          <w:u w:val="single"/>
        </w:rPr>
        <w:t>2024年-2025年环保自行监测项目</w:t>
      </w:r>
      <w:r>
        <w:rPr>
          <w:rFonts w:hint="eastAsia" w:ascii="宋体" w:hAnsi="宋体" w:cs="宋体"/>
          <w:sz w:val="24"/>
          <w:szCs w:val="24"/>
        </w:rPr>
        <w:t>监测服务</w:t>
      </w:r>
      <w:r>
        <w:rPr>
          <w:rFonts w:hint="eastAsia"/>
          <w:sz w:val="24"/>
          <w:szCs w:val="24"/>
        </w:rPr>
        <w:t>，并证明提交的下列文件和说明是准确的和真实的。</w:t>
      </w:r>
    </w:p>
    <w:p>
      <w:pPr>
        <w:pStyle w:val="11"/>
        <w:widowControl/>
        <w:numPr>
          <w:ilvl w:val="0"/>
          <w:numId w:val="39"/>
        </w:numPr>
        <w:shd w:val="clear" w:color="auto" w:fill="FFFFFF"/>
        <w:autoSpaceDE/>
        <w:autoSpaceDN/>
        <w:snapToGrid w:val="0"/>
        <w:spacing w:before="0" w:beforeAutospacing="0" w:after="0" w:afterAutospacing="0" w:line="400" w:lineRule="atLeast"/>
        <w:ind w:firstLine="403"/>
        <w:textAlignment w:val="auto"/>
        <w:rPr>
          <w:rFonts w:ascii="宋体" w:hAnsi="宋体"/>
          <w:szCs w:val="24"/>
        </w:rPr>
      </w:pPr>
      <w:r>
        <w:rPr>
          <w:rFonts w:hint="eastAsia" w:ascii="宋体" w:hAnsi="宋体" w:cs="宋体"/>
          <w:szCs w:val="24"/>
          <w:shd w:val="clear" w:color="auto" w:fill="FFFFFF"/>
        </w:rPr>
        <w:t>响应采购、参加报价竞争的中华人民共和国境内的企业法人，且具有独立订立合同的权力。</w:t>
      </w:r>
    </w:p>
    <w:p>
      <w:pPr>
        <w:pStyle w:val="11"/>
        <w:widowControl/>
        <w:numPr>
          <w:ilvl w:val="0"/>
          <w:numId w:val="39"/>
        </w:numPr>
        <w:shd w:val="clear" w:color="auto" w:fill="FFFFFF"/>
        <w:autoSpaceDE/>
        <w:autoSpaceDN/>
        <w:snapToGrid w:val="0"/>
        <w:spacing w:before="0" w:beforeAutospacing="0" w:after="0" w:afterAutospacing="0" w:line="400" w:lineRule="atLeast"/>
        <w:ind w:firstLine="403"/>
        <w:textAlignment w:val="auto"/>
        <w:rPr>
          <w:rFonts w:ascii="宋体" w:hAnsi="宋体"/>
          <w:szCs w:val="24"/>
        </w:rPr>
      </w:pPr>
      <w:r>
        <w:rPr>
          <w:rFonts w:hint="eastAsia" w:ascii="宋体" w:hAnsi="宋体"/>
          <w:szCs w:val="24"/>
        </w:rPr>
        <w:t>具备“CMA”认证资质。资质范围涵盖贵司本次招标所有的污染物指标监测。</w:t>
      </w:r>
    </w:p>
    <w:p>
      <w:pPr>
        <w:numPr>
          <w:ilvl w:val="0"/>
          <w:numId w:val="39"/>
        </w:numPr>
        <w:autoSpaceDE/>
        <w:autoSpaceDN/>
        <w:snapToGrid w:val="0"/>
        <w:spacing w:line="400" w:lineRule="atLeast"/>
        <w:ind w:right="105" w:rightChars="50"/>
        <w:jc w:val="left"/>
        <w:textAlignment w:val="auto"/>
        <w:rPr>
          <w:rFonts w:ascii="宋体" w:hAnsi="宋体"/>
          <w:sz w:val="24"/>
          <w:szCs w:val="24"/>
        </w:rPr>
      </w:pPr>
      <w:r>
        <w:rPr>
          <w:rFonts w:hint="eastAsia" w:ascii="宋体" w:hAnsi="宋体"/>
          <w:sz w:val="24"/>
          <w:szCs w:val="24"/>
        </w:rPr>
        <w:t>自2021年1月1日起具有至少2项类似的监测服务业绩。提供业绩合同复印件并加盖公章。</w:t>
      </w:r>
    </w:p>
    <w:p>
      <w:pPr>
        <w:pStyle w:val="11"/>
        <w:numPr>
          <w:ilvl w:val="0"/>
          <w:numId w:val="39"/>
        </w:numPr>
        <w:shd w:val="clear" w:color="auto" w:fill="FFFFFF"/>
        <w:kinsoku w:val="0"/>
        <w:overflowPunct w:val="0"/>
        <w:adjustRightInd/>
        <w:spacing w:before="0" w:beforeAutospacing="0" w:after="0" w:afterAutospacing="0" w:line="400" w:lineRule="atLeast"/>
        <w:ind w:left="17" w:firstLine="403"/>
        <w:textAlignment w:val="auto"/>
        <w:rPr>
          <w:rFonts w:ascii="宋体" w:hAnsi="宋体" w:cs="宋体"/>
          <w:spacing w:val="-4"/>
          <w:szCs w:val="24"/>
        </w:rPr>
      </w:pPr>
      <w:r>
        <w:rPr>
          <w:rFonts w:hint="eastAsia" w:ascii="宋体" w:hAnsi="宋体" w:cs="宋体"/>
          <w:spacing w:val="-4"/>
          <w:szCs w:val="24"/>
        </w:rPr>
        <w:t>财务要求：</w:t>
      </w:r>
      <w:r>
        <w:rPr>
          <w:rFonts w:hint="eastAsia" w:ascii="宋体" w:hAnsi="宋体" w:cs="宋体"/>
          <w:szCs w:val="24"/>
          <w:shd w:val="clear" w:color="auto" w:fill="FFFFFF"/>
        </w:rPr>
        <w:t>具有良好的银行资信和商业信誉，没有处于被责令停业或破产状态，且资产未被重组、接管和冻结。</w:t>
      </w:r>
    </w:p>
    <w:p>
      <w:pPr>
        <w:pStyle w:val="11"/>
        <w:numPr>
          <w:ilvl w:val="0"/>
          <w:numId w:val="39"/>
        </w:numPr>
        <w:shd w:val="clear" w:color="auto" w:fill="FFFFFF"/>
        <w:kinsoku w:val="0"/>
        <w:overflowPunct w:val="0"/>
        <w:adjustRightInd/>
        <w:spacing w:before="0" w:beforeAutospacing="0" w:after="0" w:afterAutospacing="0" w:line="400" w:lineRule="atLeast"/>
        <w:ind w:left="17" w:firstLine="403"/>
        <w:textAlignment w:val="auto"/>
        <w:rPr>
          <w:rFonts w:ascii="宋体" w:hAnsi="宋体" w:cs="宋体"/>
          <w:spacing w:val="-4"/>
          <w:szCs w:val="24"/>
        </w:rPr>
      </w:pPr>
      <w:r>
        <w:rPr>
          <w:rFonts w:hint="eastAsia" w:ascii="宋体" w:hAnsi="宋体" w:cs="宋体"/>
          <w:spacing w:val="-4"/>
          <w:szCs w:val="24"/>
        </w:rPr>
        <w:t>信誉要求：报价方没有被国家、福建省省级有关部门及厦门市有关部门暂停招报价或市场准入资格且在公示处罚期内。</w:t>
      </w:r>
    </w:p>
    <w:p>
      <w:pPr>
        <w:pStyle w:val="11"/>
        <w:shd w:val="clear" w:color="auto" w:fill="FFFFFF"/>
        <w:kinsoku w:val="0"/>
        <w:overflowPunct w:val="0"/>
        <w:adjustRightInd/>
        <w:spacing w:before="0" w:beforeAutospacing="0" w:after="0" w:afterAutospacing="0" w:line="400" w:lineRule="atLeast"/>
        <w:ind w:left="403"/>
        <w:textAlignment w:val="auto"/>
        <w:rPr>
          <w:rFonts w:ascii="宋体" w:hAnsi="宋体" w:cs="宋体"/>
          <w:spacing w:val="-4"/>
          <w:szCs w:val="24"/>
        </w:rPr>
      </w:pPr>
    </w:p>
    <w:p>
      <w:pPr>
        <w:kinsoku w:val="0"/>
        <w:overflowPunct w:val="0"/>
        <w:adjustRightInd/>
        <w:spacing w:line="400" w:lineRule="atLeast"/>
        <w:rPr>
          <w:rFonts w:hAnsi="宋体"/>
          <w:b/>
          <w:sz w:val="24"/>
          <w:szCs w:val="24"/>
        </w:rPr>
      </w:pPr>
    </w:p>
    <w:p>
      <w:pPr>
        <w:kinsoku w:val="0"/>
        <w:overflowPunct w:val="0"/>
        <w:adjustRightInd/>
        <w:spacing w:line="400" w:lineRule="atLeast"/>
        <w:rPr>
          <w:sz w:val="24"/>
          <w:szCs w:val="24"/>
        </w:rPr>
      </w:pPr>
      <w:r>
        <w:rPr>
          <w:rFonts w:hint="eastAsia" w:hAnsi="宋体"/>
          <w:b/>
          <w:sz w:val="24"/>
          <w:szCs w:val="24"/>
        </w:rPr>
        <w:t>注：第</w:t>
      </w:r>
      <w:r>
        <w:rPr>
          <w:rFonts w:hint="eastAsia" w:hAnsi="宋体"/>
          <w:sz w:val="24"/>
          <w:szCs w:val="24"/>
        </w:rPr>
        <w:t>4、5</w:t>
      </w:r>
      <w:r>
        <w:rPr>
          <w:rFonts w:hint="eastAsia" w:hAnsi="宋体"/>
          <w:b/>
          <w:sz w:val="24"/>
          <w:szCs w:val="24"/>
        </w:rPr>
        <w:t>项无需提供证明文件，但若采购方发现报价方违反该条款，采购方有权拒绝其报价及后续的相应事宜。对用户方造成的相应损失，则由该报价单位负责。</w:t>
      </w:r>
    </w:p>
    <w:p>
      <w:pPr>
        <w:kinsoku w:val="0"/>
        <w:overflowPunct w:val="0"/>
        <w:adjustRightInd/>
        <w:spacing w:line="400" w:lineRule="atLeast"/>
        <w:ind w:firstLine="4800" w:firstLineChars="2000"/>
        <w:rPr>
          <w:sz w:val="24"/>
          <w:szCs w:val="24"/>
        </w:rPr>
      </w:pPr>
    </w:p>
    <w:p>
      <w:pPr>
        <w:kinsoku w:val="0"/>
        <w:overflowPunct w:val="0"/>
        <w:adjustRightInd/>
        <w:spacing w:line="400" w:lineRule="atLeast"/>
        <w:ind w:firstLine="4800" w:firstLineChars="2000"/>
        <w:rPr>
          <w:sz w:val="24"/>
          <w:szCs w:val="24"/>
        </w:rPr>
      </w:pPr>
    </w:p>
    <w:p>
      <w:pPr>
        <w:kinsoku w:val="0"/>
        <w:overflowPunct w:val="0"/>
        <w:autoSpaceDE/>
        <w:autoSpaceDN/>
        <w:snapToGrid w:val="0"/>
        <w:spacing w:line="520" w:lineRule="atLeast"/>
        <w:ind w:firstLine="3600" w:firstLineChars="1500"/>
        <w:textAlignment w:val="auto"/>
        <w:rPr>
          <w:rFonts w:ascii="宋体" w:hAnsi="宋体" w:cs="宋体"/>
          <w:spacing w:val="-4"/>
          <w:sz w:val="24"/>
          <w:szCs w:val="24"/>
          <w:u w:val="single"/>
        </w:rPr>
      </w:pPr>
      <w:r>
        <w:rPr>
          <w:rFonts w:hint="eastAsia" w:ascii="宋体" w:hAnsi="宋体"/>
          <w:bCs/>
          <w:sz w:val="24"/>
          <w:szCs w:val="24"/>
        </w:rPr>
        <w:t>报价单位（盖公章）：</w:t>
      </w:r>
    </w:p>
    <w:p>
      <w:pPr>
        <w:kinsoku w:val="0"/>
        <w:overflowPunct w:val="0"/>
        <w:autoSpaceDE/>
        <w:autoSpaceDN/>
        <w:snapToGrid w:val="0"/>
        <w:spacing w:line="520" w:lineRule="atLeast"/>
        <w:textAlignment w:val="auto"/>
        <w:rPr>
          <w:rFonts w:ascii="宋体" w:hAnsi="宋体" w:cs="宋体"/>
          <w:spacing w:val="-4"/>
          <w:sz w:val="24"/>
          <w:szCs w:val="24"/>
          <w:u w:val="single"/>
        </w:rPr>
      </w:pPr>
      <w:r>
        <w:rPr>
          <w:rFonts w:hint="eastAsia" w:ascii="宋体" w:hAnsi="宋体" w:cs="宋体"/>
          <w:spacing w:val="-4"/>
          <w:sz w:val="24"/>
          <w:szCs w:val="24"/>
        </w:rPr>
        <w:t xml:space="preserve">                            法定代表人或授权代理人（签字或盖章）：</w:t>
      </w:r>
    </w:p>
    <w:p>
      <w:pPr>
        <w:kinsoku w:val="0"/>
        <w:overflowPunct w:val="0"/>
        <w:snapToGrid w:val="0"/>
        <w:spacing w:line="420" w:lineRule="exact"/>
        <w:jc w:val="left"/>
        <w:rPr>
          <w:rFonts w:ascii="宋体" w:hAnsi="宋体"/>
        </w:rPr>
      </w:pPr>
    </w:p>
    <w:p>
      <w:pPr>
        <w:kinsoku w:val="0"/>
        <w:overflowPunct w:val="0"/>
        <w:adjustRightInd/>
        <w:spacing w:line="400" w:lineRule="atLeast"/>
        <w:jc w:val="left"/>
        <w:rPr>
          <w:rFonts w:ascii="宋体" w:hAnsi="宋体"/>
        </w:rPr>
      </w:pPr>
    </w:p>
    <w:p>
      <w:pPr>
        <w:kinsoku w:val="0"/>
        <w:overflowPunct w:val="0"/>
        <w:adjustRightInd/>
        <w:spacing w:line="400" w:lineRule="atLeast"/>
        <w:jc w:val="left"/>
        <w:rPr>
          <w:rFonts w:ascii="宋体" w:hAnsi="宋体"/>
        </w:rPr>
      </w:pPr>
    </w:p>
    <w:p>
      <w:pPr>
        <w:kinsoku w:val="0"/>
        <w:overflowPunct w:val="0"/>
        <w:adjustRightInd/>
        <w:spacing w:line="400" w:lineRule="atLeast"/>
        <w:jc w:val="left"/>
        <w:rPr>
          <w:rFonts w:ascii="宋体" w:hAnsi="宋体"/>
        </w:rPr>
      </w:pPr>
    </w:p>
    <w:p>
      <w:pPr>
        <w:kinsoku w:val="0"/>
        <w:overflowPunct w:val="0"/>
        <w:adjustRightInd/>
        <w:spacing w:line="400" w:lineRule="atLeast"/>
        <w:jc w:val="left"/>
        <w:rPr>
          <w:rFonts w:ascii="宋体" w:hAnsi="宋体"/>
        </w:rPr>
      </w:pPr>
    </w:p>
    <w:p>
      <w:pPr>
        <w:kinsoku w:val="0"/>
        <w:overflowPunct w:val="0"/>
        <w:adjustRightInd/>
        <w:spacing w:line="400" w:lineRule="atLeast"/>
        <w:jc w:val="left"/>
        <w:rPr>
          <w:rFonts w:ascii="宋体" w:hAnsi="宋体"/>
        </w:rPr>
      </w:pPr>
    </w:p>
    <w:p>
      <w:pPr>
        <w:kinsoku w:val="0"/>
        <w:overflowPunct w:val="0"/>
        <w:adjustRightInd/>
        <w:spacing w:line="400" w:lineRule="atLeast"/>
        <w:jc w:val="left"/>
        <w:rPr>
          <w:rFonts w:ascii="宋体" w:hAnsi="宋体"/>
        </w:rPr>
      </w:pPr>
    </w:p>
    <w:p>
      <w:pPr>
        <w:kinsoku w:val="0"/>
        <w:overflowPunct w:val="0"/>
        <w:adjustRightInd/>
        <w:spacing w:line="400" w:lineRule="atLeast"/>
        <w:jc w:val="left"/>
        <w:rPr>
          <w:rFonts w:ascii="宋体" w:hAnsi="宋体"/>
        </w:rPr>
      </w:pPr>
    </w:p>
    <w:p>
      <w:pPr>
        <w:kinsoku w:val="0"/>
        <w:overflowPunct w:val="0"/>
        <w:adjustRightInd/>
        <w:spacing w:line="400" w:lineRule="atLeast"/>
        <w:rPr>
          <w:b/>
          <w:bCs/>
        </w:rPr>
      </w:pPr>
    </w:p>
    <w:p>
      <w:pPr>
        <w:pStyle w:val="2"/>
        <w:rPr>
          <w:b/>
          <w:bCs/>
        </w:rPr>
      </w:pPr>
    </w:p>
    <w:p>
      <w:pPr>
        <w:pStyle w:val="2"/>
        <w:rPr>
          <w:b/>
          <w:bCs/>
        </w:rPr>
      </w:pPr>
    </w:p>
    <w:p>
      <w:pPr>
        <w:pStyle w:val="2"/>
      </w:pPr>
    </w:p>
    <w:p>
      <w:pPr>
        <w:kinsoku w:val="0"/>
        <w:overflowPunct w:val="0"/>
        <w:adjustRightInd/>
        <w:spacing w:line="400" w:lineRule="atLeast"/>
        <w:rPr>
          <w:b/>
          <w:bCs/>
        </w:rPr>
      </w:pPr>
    </w:p>
    <w:p>
      <w:pPr>
        <w:pStyle w:val="17"/>
        <w:keepNext w:val="0"/>
        <w:keepLines w:val="0"/>
        <w:kinsoku w:val="0"/>
        <w:overflowPunct w:val="0"/>
        <w:snapToGrid w:val="0"/>
        <w:spacing w:line="440" w:lineRule="atLeast"/>
        <w:rPr>
          <w:rFonts w:eastAsia="宋体" w:cs="宋体"/>
          <w:b w:val="0"/>
          <w:bCs/>
          <w:sz w:val="28"/>
          <w:szCs w:val="28"/>
        </w:rPr>
      </w:pPr>
      <w:r>
        <w:rPr>
          <w:rFonts w:hint="eastAsia" w:eastAsia="宋体" w:cs="宋体"/>
          <w:b w:val="0"/>
          <w:bCs/>
          <w:sz w:val="28"/>
          <w:szCs w:val="28"/>
        </w:rPr>
        <w:t>附件6 报价方廉洁承诺书</w:t>
      </w:r>
    </w:p>
    <w:p>
      <w:pPr>
        <w:kinsoku w:val="0"/>
        <w:overflowPunct w:val="0"/>
        <w:snapToGrid w:val="0"/>
        <w:spacing w:line="440" w:lineRule="atLeast"/>
        <w:ind w:firstLine="480" w:firstLineChars="200"/>
        <w:jc w:val="left"/>
        <w:rPr>
          <w:rFonts w:ascii="宋体" w:hAnsi="宋体"/>
          <w:sz w:val="24"/>
          <w:szCs w:val="36"/>
        </w:rPr>
      </w:pPr>
      <w:r>
        <w:rPr>
          <w:rFonts w:hint="eastAsia" w:ascii="宋体" w:hAnsi="宋体"/>
          <w:sz w:val="24"/>
          <w:szCs w:val="36"/>
        </w:rPr>
        <w:t>为促进廉洁自律有关规定的落实，打击贿赂、以权谋私等违法犯罪行为，保证各项经营活动健康有序开展，维护员工职业操守，提高合作效率，本单位在与厦门同集热电有限公司（以下简称“采购方”）开展报价、报价业务活动中承诺：</w:t>
      </w:r>
    </w:p>
    <w:p>
      <w:pPr>
        <w:numPr>
          <w:ilvl w:val="0"/>
          <w:numId w:val="40"/>
        </w:numPr>
        <w:kinsoku w:val="0"/>
        <w:overflowPunct w:val="0"/>
        <w:snapToGrid w:val="0"/>
        <w:spacing w:line="440" w:lineRule="atLeast"/>
        <w:jc w:val="left"/>
        <w:rPr>
          <w:rFonts w:ascii="宋体" w:hAnsi="宋体"/>
          <w:sz w:val="24"/>
          <w:szCs w:val="36"/>
        </w:rPr>
      </w:pPr>
      <w:r>
        <w:rPr>
          <w:rFonts w:hint="eastAsia" w:ascii="宋体" w:hAnsi="宋体"/>
          <w:sz w:val="24"/>
          <w:szCs w:val="36"/>
        </w:rPr>
        <w:t>自觉遵守国家法律、法规，按照《中国共产党纪律处分条例》、《中华人民共和国反不正当竞争法》、《关于禁止商业贿赂行为的暂行规定》以及有关要求进行各项业务活动。</w:t>
      </w:r>
    </w:p>
    <w:p>
      <w:pPr>
        <w:numPr>
          <w:ilvl w:val="0"/>
          <w:numId w:val="40"/>
        </w:numPr>
        <w:kinsoku w:val="0"/>
        <w:overflowPunct w:val="0"/>
        <w:snapToGrid w:val="0"/>
        <w:spacing w:line="440" w:lineRule="atLeast"/>
        <w:jc w:val="left"/>
        <w:rPr>
          <w:rFonts w:ascii="宋体" w:hAnsi="宋体"/>
          <w:sz w:val="24"/>
          <w:szCs w:val="36"/>
        </w:rPr>
      </w:pPr>
      <w:r>
        <w:rPr>
          <w:rFonts w:hint="eastAsia" w:ascii="宋体" w:hAnsi="宋体"/>
          <w:sz w:val="24"/>
          <w:szCs w:val="36"/>
        </w:rPr>
        <w:t>不向采购方的工作人员及其亲属馈赠礼金、礼品（含有价证券）；不向采购方的工作人员提供任何应由其个人支付报酬的劳务和其它服务；不为采购方的工作人员安排可能影响公正执行公务的任何活动（如：旅游、消费宴请、娱乐等）；不为采购方的工作人员支付应由其个人支付的任何赞助费、宣传费、咨询费、劳务费等；不为采购方的工作人员报销任何名义的个人消费凭证；不为采购方的工作人员安排违反社会公德的活动；不为采购方的工作人员提供经商、办企业、消费提供特殊便利或优惠等。</w:t>
      </w:r>
    </w:p>
    <w:p>
      <w:pPr>
        <w:numPr>
          <w:ilvl w:val="0"/>
          <w:numId w:val="40"/>
        </w:numPr>
        <w:kinsoku w:val="0"/>
        <w:overflowPunct w:val="0"/>
        <w:snapToGrid w:val="0"/>
        <w:spacing w:line="440" w:lineRule="atLeast"/>
        <w:jc w:val="left"/>
        <w:rPr>
          <w:rFonts w:ascii="宋体" w:hAnsi="宋体"/>
          <w:sz w:val="24"/>
          <w:szCs w:val="36"/>
        </w:rPr>
      </w:pPr>
      <w:r>
        <w:rPr>
          <w:rFonts w:hint="eastAsia" w:ascii="宋体" w:hAnsi="宋体"/>
          <w:sz w:val="24"/>
          <w:szCs w:val="36"/>
        </w:rPr>
        <w:t>不与其他经营者串通报价和报价，不排挤其他经营者的公平竞争，损害其他经营者的合法权益；不在工程建设的预决算编制工作中弄虚作假、高估冒算。</w:t>
      </w:r>
    </w:p>
    <w:p>
      <w:pPr>
        <w:numPr>
          <w:ilvl w:val="0"/>
          <w:numId w:val="40"/>
        </w:numPr>
        <w:kinsoku w:val="0"/>
        <w:overflowPunct w:val="0"/>
        <w:snapToGrid w:val="0"/>
        <w:spacing w:line="440" w:lineRule="atLeast"/>
        <w:jc w:val="left"/>
        <w:rPr>
          <w:rFonts w:ascii="宋体" w:hAnsi="宋体" w:cs="宋体"/>
          <w:sz w:val="24"/>
          <w:szCs w:val="24"/>
        </w:rPr>
      </w:pPr>
      <w:r>
        <w:rPr>
          <w:rFonts w:hint="eastAsia" w:ascii="宋体" w:hAnsi="宋体" w:cs="宋体"/>
          <w:sz w:val="24"/>
          <w:szCs w:val="24"/>
        </w:rPr>
        <w:t>发现采购方工作人员违反廉洁从业行为的，报价方可向厦门海发集团有限公司纪检监察部门反映或举报。若采购方工作人员违反本协议将按有关法律和规定严肃处理。</w:t>
      </w:r>
    </w:p>
    <w:p>
      <w:pPr>
        <w:numPr>
          <w:ilvl w:val="0"/>
          <w:numId w:val="40"/>
        </w:numPr>
        <w:kinsoku w:val="0"/>
        <w:overflowPunct w:val="0"/>
        <w:snapToGrid w:val="0"/>
        <w:spacing w:line="440" w:lineRule="atLeast"/>
        <w:jc w:val="left"/>
        <w:rPr>
          <w:rFonts w:ascii="宋体" w:hAnsi="宋体"/>
          <w:sz w:val="24"/>
          <w:szCs w:val="36"/>
        </w:rPr>
      </w:pPr>
      <w:r>
        <w:rPr>
          <w:rFonts w:hint="eastAsia" w:ascii="宋体" w:hAnsi="宋体" w:cs="宋体"/>
          <w:sz w:val="24"/>
          <w:szCs w:val="24"/>
        </w:rPr>
        <w:t xml:space="preserve">报价方及其工作人员违反本协议规定行为的，3年内不得参加厦门同集热电有限公司建设项目、物资采购报价活动，情节严重的按有关规定追究责任。  </w:t>
      </w:r>
    </w:p>
    <w:p>
      <w:pPr>
        <w:kinsoku w:val="0"/>
        <w:overflowPunct w:val="0"/>
        <w:snapToGrid w:val="0"/>
        <w:spacing w:line="440" w:lineRule="atLeast"/>
        <w:ind w:firstLine="480" w:firstLineChars="200"/>
        <w:jc w:val="left"/>
        <w:rPr>
          <w:rFonts w:ascii="宋体" w:hAnsi="宋体"/>
          <w:sz w:val="24"/>
          <w:szCs w:val="36"/>
        </w:rPr>
      </w:pPr>
      <w:r>
        <w:rPr>
          <w:rFonts w:hint="eastAsia" w:ascii="宋体" w:hAnsi="宋体"/>
          <w:sz w:val="24"/>
          <w:szCs w:val="36"/>
        </w:rPr>
        <w:t>特此承诺。</w:t>
      </w:r>
    </w:p>
    <w:p>
      <w:pPr>
        <w:kinsoku w:val="0"/>
        <w:overflowPunct w:val="0"/>
        <w:snapToGrid w:val="0"/>
        <w:spacing w:line="440" w:lineRule="atLeast"/>
        <w:ind w:firstLine="420" w:firstLineChars="200"/>
        <w:jc w:val="left"/>
        <w:rPr>
          <w:rFonts w:ascii="宋体" w:hAnsi="宋体"/>
          <w:szCs w:val="28"/>
        </w:rPr>
      </w:pPr>
    </w:p>
    <w:p>
      <w:pPr>
        <w:snapToGrid w:val="0"/>
        <w:spacing w:line="520" w:lineRule="exact"/>
        <w:ind w:firstLine="5500" w:firstLineChars="2292"/>
        <w:jc w:val="left"/>
        <w:rPr>
          <w:rFonts w:ascii="宋体" w:hAnsi="宋体"/>
          <w:sz w:val="24"/>
          <w:szCs w:val="24"/>
          <w:u w:val="single"/>
        </w:rPr>
      </w:pPr>
      <w:r>
        <w:rPr>
          <w:rFonts w:hint="eastAsia" w:ascii="宋体" w:hAnsi="宋体"/>
          <w:sz w:val="24"/>
          <w:szCs w:val="24"/>
        </w:rPr>
        <w:t>报价单位（盖章）：</w:t>
      </w:r>
    </w:p>
    <w:p>
      <w:pPr>
        <w:snapToGrid w:val="0"/>
        <w:spacing w:line="520" w:lineRule="exact"/>
        <w:ind w:firstLine="5500" w:firstLineChars="2292"/>
        <w:jc w:val="left"/>
        <w:rPr>
          <w:rFonts w:ascii="宋体" w:hAnsi="宋体"/>
          <w:sz w:val="24"/>
          <w:szCs w:val="24"/>
          <w:u w:val="single"/>
        </w:rPr>
      </w:pPr>
      <w:r>
        <w:rPr>
          <w:rFonts w:hint="eastAsia" w:ascii="宋体" w:hAnsi="宋体"/>
          <w:sz w:val="24"/>
          <w:szCs w:val="24"/>
        </w:rPr>
        <w:t>日期：</w:t>
      </w:r>
    </w:p>
    <w:p>
      <w:pPr>
        <w:kinsoku w:val="0"/>
        <w:overflowPunct w:val="0"/>
        <w:adjustRightInd/>
        <w:spacing w:line="400" w:lineRule="atLeast"/>
        <w:jc w:val="center"/>
        <w:rPr>
          <w:rFonts w:ascii="宋体" w:hAnsi="宋体"/>
          <w:b/>
          <w:bCs/>
          <w:sz w:val="28"/>
          <w:szCs w:val="28"/>
        </w:rPr>
      </w:pPr>
    </w:p>
    <w:p>
      <w:pPr>
        <w:kinsoku w:val="0"/>
        <w:overflowPunct w:val="0"/>
        <w:adjustRightInd/>
        <w:spacing w:line="400" w:lineRule="atLeast"/>
        <w:jc w:val="center"/>
        <w:rPr>
          <w:rFonts w:ascii="宋体" w:hAnsi="宋体"/>
          <w:b/>
          <w:bCs/>
          <w:sz w:val="28"/>
          <w:szCs w:val="28"/>
        </w:rPr>
      </w:pPr>
    </w:p>
    <w:p>
      <w:pPr>
        <w:kinsoku w:val="0"/>
        <w:overflowPunct w:val="0"/>
        <w:adjustRightInd/>
        <w:spacing w:line="400" w:lineRule="atLeast"/>
        <w:jc w:val="center"/>
        <w:rPr>
          <w:rFonts w:ascii="宋体" w:hAnsi="宋体"/>
          <w:b/>
          <w:bCs/>
          <w:sz w:val="28"/>
          <w:szCs w:val="28"/>
        </w:rPr>
      </w:pPr>
    </w:p>
    <w:p>
      <w:pPr>
        <w:kinsoku w:val="0"/>
        <w:overflowPunct w:val="0"/>
        <w:adjustRightInd/>
        <w:spacing w:line="400" w:lineRule="atLeast"/>
        <w:jc w:val="center"/>
        <w:rPr>
          <w:rFonts w:ascii="宋体" w:hAnsi="宋体"/>
          <w:b/>
          <w:bCs/>
          <w:sz w:val="28"/>
          <w:szCs w:val="28"/>
        </w:rPr>
      </w:pPr>
    </w:p>
    <w:p>
      <w:pPr>
        <w:kinsoku w:val="0"/>
        <w:overflowPunct w:val="0"/>
        <w:adjustRightInd/>
        <w:spacing w:line="400" w:lineRule="atLeast"/>
        <w:jc w:val="center"/>
        <w:rPr>
          <w:rFonts w:ascii="宋体" w:hAnsi="宋体"/>
          <w:b/>
          <w:bCs/>
          <w:sz w:val="28"/>
          <w:szCs w:val="28"/>
        </w:rPr>
      </w:pPr>
    </w:p>
    <w:p>
      <w:pPr>
        <w:kinsoku w:val="0"/>
        <w:overflowPunct w:val="0"/>
        <w:adjustRightInd/>
        <w:spacing w:line="400" w:lineRule="atLeast"/>
        <w:jc w:val="center"/>
        <w:rPr>
          <w:rFonts w:ascii="宋体" w:hAnsi="宋体"/>
          <w:b/>
          <w:bCs/>
          <w:sz w:val="28"/>
          <w:szCs w:val="28"/>
        </w:rPr>
      </w:pPr>
    </w:p>
    <w:p>
      <w:pPr>
        <w:kinsoku w:val="0"/>
        <w:overflowPunct w:val="0"/>
        <w:adjustRightInd/>
        <w:spacing w:line="400" w:lineRule="atLeast"/>
        <w:jc w:val="center"/>
        <w:rPr>
          <w:rFonts w:ascii="宋体" w:hAnsi="宋体"/>
          <w:b/>
          <w:bCs/>
          <w:sz w:val="28"/>
          <w:szCs w:val="28"/>
        </w:rPr>
      </w:pPr>
    </w:p>
    <w:p>
      <w:pPr>
        <w:kinsoku w:val="0"/>
        <w:overflowPunct w:val="0"/>
        <w:adjustRightInd/>
        <w:spacing w:line="400" w:lineRule="atLeast"/>
        <w:jc w:val="center"/>
        <w:rPr>
          <w:rFonts w:ascii="宋体" w:hAnsi="宋体"/>
          <w:b/>
          <w:bCs/>
          <w:sz w:val="28"/>
          <w:szCs w:val="28"/>
        </w:rPr>
      </w:pPr>
    </w:p>
    <w:p>
      <w:pPr>
        <w:kinsoku w:val="0"/>
        <w:overflowPunct w:val="0"/>
        <w:adjustRightInd/>
        <w:spacing w:line="400" w:lineRule="atLeast"/>
        <w:jc w:val="center"/>
        <w:rPr>
          <w:rFonts w:ascii="宋体" w:hAnsi="宋体"/>
          <w:b/>
          <w:bCs/>
          <w:sz w:val="28"/>
          <w:szCs w:val="28"/>
        </w:rPr>
      </w:pPr>
    </w:p>
    <w:p>
      <w:pPr>
        <w:autoSpaceDE/>
        <w:autoSpaceDN/>
        <w:snapToGrid w:val="0"/>
        <w:jc w:val="center"/>
        <w:textAlignment w:val="auto"/>
        <w:rPr>
          <w:rFonts w:ascii="宋体" w:hAnsi="宋体"/>
          <w:bCs/>
          <w:sz w:val="28"/>
          <w:szCs w:val="28"/>
        </w:rPr>
      </w:pPr>
      <w:r>
        <w:rPr>
          <w:rFonts w:hint="eastAsia" w:ascii="宋体" w:hAnsi="宋体"/>
          <w:bCs/>
          <w:sz w:val="28"/>
          <w:szCs w:val="28"/>
        </w:rPr>
        <w:t>附件7 企业能有效识别二维码且加盖报价单位公章的营业执照复印件</w:t>
      </w:r>
    </w:p>
    <w:p>
      <w:pPr>
        <w:autoSpaceDE/>
        <w:autoSpaceDN/>
        <w:snapToGrid w:val="0"/>
        <w:textAlignment w:val="auto"/>
        <w:rPr>
          <w:rFonts w:ascii="宋体" w:hAnsi="宋体"/>
          <w:bCs/>
          <w:sz w:val="28"/>
          <w:szCs w:val="28"/>
        </w:rPr>
      </w:pPr>
    </w:p>
    <w:p>
      <w:pPr>
        <w:autoSpaceDE/>
        <w:autoSpaceDN/>
        <w:snapToGrid w:val="0"/>
        <w:textAlignment w:val="auto"/>
        <w:rPr>
          <w:rFonts w:ascii="宋体" w:hAnsi="宋体"/>
          <w:bCs/>
          <w:sz w:val="28"/>
          <w:szCs w:val="28"/>
        </w:rPr>
      </w:pPr>
    </w:p>
    <w:p>
      <w:pPr>
        <w:autoSpaceDE/>
        <w:autoSpaceDN/>
        <w:snapToGrid w:val="0"/>
        <w:textAlignment w:val="auto"/>
        <w:rPr>
          <w:rFonts w:ascii="宋体" w:hAnsi="宋体"/>
          <w:bCs/>
          <w:sz w:val="28"/>
          <w:szCs w:val="28"/>
        </w:rPr>
      </w:pPr>
    </w:p>
    <w:p>
      <w:pPr>
        <w:autoSpaceDE/>
        <w:autoSpaceDN/>
        <w:snapToGrid w:val="0"/>
        <w:textAlignment w:val="auto"/>
        <w:rPr>
          <w:rFonts w:ascii="宋体" w:hAnsi="宋体"/>
          <w:bCs/>
          <w:sz w:val="28"/>
          <w:szCs w:val="28"/>
        </w:rPr>
      </w:pPr>
    </w:p>
    <w:p>
      <w:pPr>
        <w:autoSpaceDE/>
        <w:autoSpaceDN/>
        <w:snapToGrid w:val="0"/>
        <w:textAlignment w:val="auto"/>
        <w:rPr>
          <w:rFonts w:ascii="宋体" w:hAnsi="宋体"/>
          <w:bCs/>
          <w:sz w:val="28"/>
          <w:szCs w:val="28"/>
        </w:rPr>
      </w:pPr>
    </w:p>
    <w:p>
      <w:pPr>
        <w:autoSpaceDE/>
        <w:autoSpaceDN/>
        <w:snapToGrid w:val="0"/>
        <w:textAlignment w:val="auto"/>
        <w:rPr>
          <w:rFonts w:ascii="宋体" w:hAnsi="宋体"/>
          <w:bCs/>
          <w:sz w:val="28"/>
          <w:szCs w:val="28"/>
        </w:rPr>
      </w:pPr>
    </w:p>
    <w:p>
      <w:pPr>
        <w:autoSpaceDE/>
        <w:autoSpaceDN/>
        <w:snapToGrid w:val="0"/>
        <w:textAlignment w:val="auto"/>
        <w:rPr>
          <w:rFonts w:ascii="宋体" w:hAnsi="宋体"/>
          <w:bCs/>
          <w:sz w:val="28"/>
          <w:szCs w:val="28"/>
        </w:rPr>
      </w:pPr>
    </w:p>
    <w:p>
      <w:pPr>
        <w:autoSpaceDE/>
        <w:autoSpaceDN/>
        <w:snapToGrid w:val="0"/>
        <w:textAlignment w:val="auto"/>
        <w:rPr>
          <w:rFonts w:ascii="宋体" w:hAnsi="宋体"/>
          <w:bCs/>
          <w:sz w:val="28"/>
          <w:szCs w:val="28"/>
        </w:rPr>
      </w:pPr>
    </w:p>
    <w:p>
      <w:pPr>
        <w:autoSpaceDE/>
        <w:autoSpaceDN/>
        <w:snapToGrid w:val="0"/>
        <w:textAlignment w:val="auto"/>
        <w:rPr>
          <w:rFonts w:ascii="宋体" w:hAnsi="宋体"/>
          <w:bCs/>
          <w:sz w:val="28"/>
          <w:szCs w:val="28"/>
        </w:rPr>
      </w:pPr>
    </w:p>
    <w:p>
      <w:pPr>
        <w:autoSpaceDE/>
        <w:autoSpaceDN/>
        <w:snapToGrid w:val="0"/>
        <w:textAlignment w:val="auto"/>
        <w:rPr>
          <w:rFonts w:ascii="宋体" w:hAnsi="宋体"/>
          <w:bCs/>
          <w:sz w:val="28"/>
          <w:szCs w:val="28"/>
        </w:rPr>
      </w:pPr>
    </w:p>
    <w:p>
      <w:pPr>
        <w:autoSpaceDE/>
        <w:autoSpaceDN/>
        <w:snapToGrid w:val="0"/>
        <w:textAlignment w:val="auto"/>
        <w:rPr>
          <w:rFonts w:ascii="宋体" w:hAnsi="宋体"/>
          <w:bCs/>
          <w:sz w:val="28"/>
          <w:szCs w:val="28"/>
        </w:rPr>
      </w:pPr>
    </w:p>
    <w:p>
      <w:pPr>
        <w:autoSpaceDE/>
        <w:autoSpaceDN/>
        <w:snapToGrid w:val="0"/>
        <w:textAlignment w:val="auto"/>
        <w:rPr>
          <w:rFonts w:ascii="宋体" w:hAnsi="宋体"/>
          <w:bCs/>
          <w:sz w:val="28"/>
          <w:szCs w:val="28"/>
        </w:rPr>
      </w:pPr>
    </w:p>
    <w:p>
      <w:pPr>
        <w:pStyle w:val="2"/>
      </w:pPr>
    </w:p>
    <w:p>
      <w:pPr>
        <w:autoSpaceDE/>
        <w:autoSpaceDN/>
        <w:snapToGrid w:val="0"/>
        <w:textAlignment w:val="auto"/>
        <w:rPr>
          <w:rFonts w:ascii="宋体" w:hAnsi="宋体"/>
          <w:bCs/>
          <w:sz w:val="28"/>
          <w:szCs w:val="28"/>
        </w:rPr>
      </w:pPr>
    </w:p>
    <w:p>
      <w:pPr>
        <w:autoSpaceDE/>
        <w:autoSpaceDN/>
        <w:snapToGrid w:val="0"/>
        <w:textAlignment w:val="auto"/>
        <w:rPr>
          <w:rFonts w:ascii="宋体" w:hAnsi="宋体"/>
          <w:bCs/>
          <w:sz w:val="28"/>
          <w:szCs w:val="28"/>
        </w:rPr>
      </w:pPr>
    </w:p>
    <w:p>
      <w:pPr>
        <w:autoSpaceDE/>
        <w:autoSpaceDN/>
        <w:snapToGrid w:val="0"/>
        <w:textAlignment w:val="auto"/>
        <w:rPr>
          <w:rFonts w:ascii="宋体" w:hAnsi="宋体"/>
          <w:bCs/>
          <w:sz w:val="28"/>
          <w:szCs w:val="28"/>
        </w:rPr>
      </w:pPr>
    </w:p>
    <w:p>
      <w:pPr>
        <w:autoSpaceDE/>
        <w:autoSpaceDN/>
        <w:snapToGrid w:val="0"/>
        <w:textAlignment w:val="auto"/>
        <w:rPr>
          <w:rFonts w:ascii="宋体" w:hAnsi="宋体"/>
          <w:bCs/>
          <w:sz w:val="28"/>
          <w:szCs w:val="28"/>
        </w:rPr>
      </w:pPr>
    </w:p>
    <w:p>
      <w:pPr>
        <w:autoSpaceDE/>
        <w:autoSpaceDN/>
        <w:snapToGrid w:val="0"/>
        <w:textAlignment w:val="auto"/>
        <w:rPr>
          <w:rFonts w:ascii="宋体" w:hAnsi="宋体"/>
          <w:bCs/>
          <w:sz w:val="28"/>
          <w:szCs w:val="28"/>
        </w:rPr>
      </w:pPr>
    </w:p>
    <w:p>
      <w:pPr>
        <w:autoSpaceDE/>
        <w:autoSpaceDN/>
        <w:snapToGrid w:val="0"/>
        <w:textAlignment w:val="auto"/>
        <w:rPr>
          <w:rFonts w:ascii="宋体" w:hAnsi="宋体"/>
          <w:bCs/>
          <w:sz w:val="28"/>
          <w:szCs w:val="28"/>
        </w:rPr>
      </w:pPr>
    </w:p>
    <w:p>
      <w:pPr>
        <w:autoSpaceDE/>
        <w:autoSpaceDN/>
        <w:snapToGrid w:val="0"/>
        <w:textAlignment w:val="auto"/>
        <w:rPr>
          <w:rFonts w:ascii="宋体" w:hAnsi="宋体"/>
          <w:bCs/>
          <w:sz w:val="28"/>
          <w:szCs w:val="28"/>
        </w:rPr>
      </w:pPr>
    </w:p>
    <w:p>
      <w:pPr>
        <w:autoSpaceDE/>
        <w:autoSpaceDN/>
        <w:snapToGrid w:val="0"/>
        <w:textAlignment w:val="auto"/>
        <w:rPr>
          <w:rFonts w:ascii="宋体" w:hAnsi="宋体"/>
          <w:bCs/>
          <w:sz w:val="28"/>
          <w:szCs w:val="28"/>
        </w:rPr>
      </w:pPr>
    </w:p>
    <w:p>
      <w:pPr>
        <w:autoSpaceDE/>
        <w:autoSpaceDN/>
        <w:snapToGrid w:val="0"/>
        <w:textAlignment w:val="auto"/>
        <w:rPr>
          <w:rFonts w:ascii="宋体" w:hAnsi="宋体"/>
          <w:bCs/>
          <w:sz w:val="28"/>
          <w:szCs w:val="28"/>
        </w:rPr>
      </w:pPr>
    </w:p>
    <w:p>
      <w:pPr>
        <w:autoSpaceDE/>
        <w:autoSpaceDN/>
        <w:snapToGrid w:val="0"/>
        <w:textAlignment w:val="auto"/>
        <w:rPr>
          <w:rFonts w:ascii="宋体" w:hAnsi="宋体"/>
          <w:bCs/>
          <w:sz w:val="28"/>
          <w:szCs w:val="28"/>
        </w:rPr>
      </w:pPr>
    </w:p>
    <w:p>
      <w:pPr>
        <w:autoSpaceDE/>
        <w:autoSpaceDN/>
        <w:snapToGrid w:val="0"/>
        <w:textAlignment w:val="auto"/>
        <w:rPr>
          <w:rFonts w:ascii="宋体" w:hAnsi="宋体"/>
          <w:bCs/>
          <w:sz w:val="28"/>
          <w:szCs w:val="28"/>
        </w:rPr>
      </w:pPr>
    </w:p>
    <w:p>
      <w:pPr>
        <w:autoSpaceDE/>
        <w:autoSpaceDN/>
        <w:snapToGrid w:val="0"/>
        <w:textAlignment w:val="auto"/>
        <w:rPr>
          <w:rFonts w:ascii="宋体" w:hAnsi="宋体"/>
          <w:bCs/>
          <w:sz w:val="28"/>
          <w:szCs w:val="28"/>
        </w:rPr>
      </w:pPr>
    </w:p>
    <w:p>
      <w:pPr>
        <w:autoSpaceDE/>
        <w:autoSpaceDN/>
        <w:snapToGrid w:val="0"/>
        <w:textAlignment w:val="auto"/>
        <w:rPr>
          <w:rFonts w:ascii="宋体" w:hAnsi="宋体"/>
          <w:bCs/>
          <w:sz w:val="28"/>
          <w:szCs w:val="28"/>
        </w:rPr>
      </w:pPr>
    </w:p>
    <w:p>
      <w:pPr>
        <w:autoSpaceDE/>
        <w:autoSpaceDN/>
        <w:snapToGrid w:val="0"/>
        <w:textAlignment w:val="auto"/>
        <w:rPr>
          <w:rFonts w:ascii="宋体" w:hAnsi="宋体"/>
          <w:bCs/>
          <w:sz w:val="28"/>
          <w:szCs w:val="28"/>
        </w:rPr>
      </w:pPr>
    </w:p>
    <w:p>
      <w:pPr>
        <w:autoSpaceDE/>
        <w:autoSpaceDN/>
        <w:snapToGrid w:val="0"/>
        <w:textAlignment w:val="auto"/>
        <w:rPr>
          <w:rFonts w:ascii="宋体" w:hAnsi="宋体"/>
          <w:bCs/>
          <w:sz w:val="28"/>
          <w:szCs w:val="28"/>
        </w:rPr>
      </w:pPr>
    </w:p>
    <w:p>
      <w:pPr>
        <w:autoSpaceDE/>
        <w:autoSpaceDN/>
        <w:snapToGrid w:val="0"/>
        <w:textAlignment w:val="auto"/>
        <w:rPr>
          <w:rFonts w:ascii="宋体" w:hAnsi="宋体"/>
          <w:bCs/>
          <w:sz w:val="28"/>
          <w:szCs w:val="28"/>
        </w:rPr>
      </w:pPr>
    </w:p>
    <w:p>
      <w:pPr>
        <w:autoSpaceDE/>
        <w:autoSpaceDN/>
        <w:snapToGrid w:val="0"/>
        <w:textAlignment w:val="auto"/>
        <w:rPr>
          <w:rFonts w:ascii="宋体" w:hAnsi="宋体"/>
          <w:bCs/>
          <w:sz w:val="28"/>
          <w:szCs w:val="28"/>
        </w:rPr>
      </w:pPr>
    </w:p>
    <w:p>
      <w:pPr>
        <w:autoSpaceDE/>
        <w:autoSpaceDN/>
        <w:snapToGrid w:val="0"/>
        <w:textAlignment w:val="auto"/>
        <w:rPr>
          <w:rFonts w:ascii="宋体" w:hAnsi="宋体"/>
          <w:bCs/>
          <w:sz w:val="28"/>
          <w:szCs w:val="28"/>
        </w:rPr>
      </w:pPr>
    </w:p>
    <w:p>
      <w:pPr>
        <w:autoSpaceDE/>
        <w:autoSpaceDN/>
        <w:snapToGrid w:val="0"/>
        <w:textAlignment w:val="auto"/>
        <w:rPr>
          <w:rFonts w:ascii="宋体" w:hAnsi="宋体"/>
          <w:bCs/>
          <w:sz w:val="28"/>
          <w:szCs w:val="28"/>
        </w:rPr>
      </w:pPr>
    </w:p>
    <w:p>
      <w:pPr>
        <w:autoSpaceDE/>
        <w:autoSpaceDN/>
        <w:snapToGrid w:val="0"/>
        <w:textAlignment w:val="auto"/>
        <w:rPr>
          <w:rFonts w:ascii="宋体" w:hAnsi="宋体"/>
          <w:bCs/>
          <w:sz w:val="28"/>
          <w:szCs w:val="28"/>
        </w:rPr>
      </w:pPr>
    </w:p>
    <w:p>
      <w:pPr>
        <w:autoSpaceDE/>
        <w:autoSpaceDN/>
        <w:snapToGrid w:val="0"/>
        <w:textAlignment w:val="auto"/>
        <w:rPr>
          <w:rFonts w:ascii="宋体" w:hAnsi="宋体"/>
          <w:bCs/>
          <w:sz w:val="28"/>
          <w:szCs w:val="28"/>
        </w:rPr>
      </w:pPr>
    </w:p>
    <w:p>
      <w:pPr>
        <w:autoSpaceDE/>
        <w:autoSpaceDN/>
        <w:snapToGrid w:val="0"/>
        <w:textAlignment w:val="auto"/>
        <w:rPr>
          <w:rFonts w:ascii="宋体" w:hAnsi="宋体"/>
          <w:bCs/>
          <w:sz w:val="28"/>
          <w:szCs w:val="28"/>
        </w:rPr>
      </w:pPr>
    </w:p>
    <w:p>
      <w:pPr>
        <w:autoSpaceDE/>
        <w:autoSpaceDN/>
        <w:snapToGrid w:val="0"/>
        <w:textAlignment w:val="auto"/>
        <w:rPr>
          <w:rFonts w:ascii="宋体" w:hAnsi="宋体"/>
          <w:bCs/>
          <w:sz w:val="28"/>
          <w:szCs w:val="28"/>
        </w:rPr>
      </w:pPr>
    </w:p>
    <w:p>
      <w:pPr>
        <w:autoSpaceDE/>
        <w:autoSpaceDN/>
        <w:snapToGrid w:val="0"/>
        <w:textAlignment w:val="auto"/>
        <w:rPr>
          <w:rFonts w:ascii="宋体" w:hAnsi="宋体"/>
          <w:bCs/>
          <w:sz w:val="28"/>
          <w:szCs w:val="28"/>
        </w:rPr>
      </w:pPr>
    </w:p>
    <w:p>
      <w:pPr>
        <w:autoSpaceDE/>
        <w:autoSpaceDN/>
        <w:snapToGrid w:val="0"/>
        <w:jc w:val="center"/>
        <w:textAlignment w:val="auto"/>
        <w:rPr>
          <w:rFonts w:ascii="宋体" w:hAnsi="宋体"/>
          <w:bCs/>
          <w:sz w:val="28"/>
          <w:szCs w:val="28"/>
        </w:rPr>
      </w:pPr>
      <w:r>
        <w:rPr>
          <w:rFonts w:hint="eastAsia" w:ascii="宋体" w:hAnsi="宋体"/>
          <w:bCs/>
          <w:sz w:val="28"/>
          <w:szCs w:val="28"/>
        </w:rPr>
        <w:t>附件8 企业加盖报价单位公章的相关资质证明文件</w:t>
      </w:r>
    </w:p>
    <w:p>
      <w:pPr>
        <w:autoSpaceDE/>
        <w:autoSpaceDN/>
        <w:snapToGrid w:val="0"/>
        <w:jc w:val="center"/>
        <w:textAlignment w:val="auto"/>
        <w:rPr>
          <w:rFonts w:ascii="宋体" w:hAnsi="宋体"/>
          <w:bCs/>
          <w:sz w:val="28"/>
          <w:szCs w:val="28"/>
        </w:rPr>
      </w:pPr>
    </w:p>
    <w:p>
      <w:pPr>
        <w:autoSpaceDE/>
        <w:autoSpaceDN/>
        <w:snapToGrid w:val="0"/>
        <w:jc w:val="center"/>
        <w:textAlignment w:val="auto"/>
        <w:rPr>
          <w:rFonts w:ascii="宋体" w:hAnsi="宋体"/>
          <w:bCs/>
          <w:sz w:val="28"/>
          <w:szCs w:val="28"/>
        </w:rPr>
      </w:pPr>
    </w:p>
    <w:p>
      <w:pPr>
        <w:autoSpaceDE/>
        <w:autoSpaceDN/>
        <w:snapToGrid w:val="0"/>
        <w:jc w:val="center"/>
        <w:textAlignment w:val="auto"/>
        <w:rPr>
          <w:rFonts w:ascii="宋体" w:hAnsi="宋体"/>
          <w:bCs/>
          <w:sz w:val="28"/>
          <w:szCs w:val="28"/>
        </w:rPr>
      </w:pPr>
    </w:p>
    <w:p>
      <w:pPr>
        <w:autoSpaceDE/>
        <w:autoSpaceDN/>
        <w:snapToGrid w:val="0"/>
        <w:jc w:val="center"/>
        <w:textAlignment w:val="auto"/>
        <w:rPr>
          <w:rFonts w:ascii="宋体" w:hAnsi="宋体"/>
          <w:bCs/>
          <w:sz w:val="28"/>
          <w:szCs w:val="28"/>
        </w:rPr>
      </w:pPr>
    </w:p>
    <w:p>
      <w:pPr>
        <w:pStyle w:val="2"/>
        <w:rPr>
          <w:rFonts w:hAnsi="宋体"/>
          <w:bCs/>
          <w:sz w:val="28"/>
          <w:szCs w:val="28"/>
        </w:rPr>
      </w:pPr>
    </w:p>
    <w:p>
      <w:pPr>
        <w:pStyle w:val="2"/>
        <w:rPr>
          <w:rFonts w:hAnsi="宋体"/>
          <w:bCs/>
          <w:sz w:val="28"/>
          <w:szCs w:val="28"/>
        </w:rPr>
      </w:pPr>
    </w:p>
    <w:p>
      <w:pPr>
        <w:pStyle w:val="2"/>
        <w:rPr>
          <w:rFonts w:hAnsi="宋体"/>
          <w:bCs/>
          <w:sz w:val="28"/>
          <w:szCs w:val="28"/>
        </w:rPr>
      </w:pPr>
    </w:p>
    <w:p>
      <w:pPr>
        <w:pStyle w:val="2"/>
        <w:rPr>
          <w:rFonts w:hAnsi="宋体"/>
          <w:bCs/>
          <w:sz w:val="28"/>
          <w:szCs w:val="28"/>
        </w:rPr>
      </w:pPr>
    </w:p>
    <w:p>
      <w:pPr>
        <w:pStyle w:val="2"/>
        <w:rPr>
          <w:rFonts w:hAnsi="宋体"/>
          <w:bCs/>
          <w:sz w:val="28"/>
          <w:szCs w:val="28"/>
        </w:rPr>
      </w:pPr>
    </w:p>
    <w:p>
      <w:pPr>
        <w:pStyle w:val="2"/>
        <w:rPr>
          <w:rFonts w:hAnsi="宋体"/>
          <w:bCs/>
          <w:sz w:val="28"/>
          <w:szCs w:val="28"/>
        </w:rPr>
      </w:pPr>
    </w:p>
    <w:p>
      <w:pPr>
        <w:pStyle w:val="2"/>
        <w:rPr>
          <w:rFonts w:hAnsi="宋体"/>
          <w:bCs/>
          <w:sz w:val="28"/>
          <w:szCs w:val="28"/>
        </w:rPr>
      </w:pPr>
    </w:p>
    <w:p>
      <w:pPr>
        <w:pStyle w:val="2"/>
        <w:rPr>
          <w:rFonts w:hAnsi="宋体"/>
          <w:bCs/>
          <w:sz w:val="28"/>
          <w:szCs w:val="28"/>
        </w:rPr>
      </w:pPr>
    </w:p>
    <w:p>
      <w:pPr>
        <w:pStyle w:val="2"/>
        <w:rPr>
          <w:rFonts w:hAnsi="宋体"/>
          <w:bCs/>
          <w:sz w:val="28"/>
          <w:szCs w:val="28"/>
        </w:rPr>
      </w:pPr>
    </w:p>
    <w:p>
      <w:pPr>
        <w:pStyle w:val="2"/>
        <w:rPr>
          <w:rFonts w:hAnsi="宋体"/>
          <w:bCs/>
          <w:sz w:val="28"/>
          <w:szCs w:val="28"/>
        </w:rPr>
      </w:pPr>
    </w:p>
    <w:p>
      <w:pPr>
        <w:pStyle w:val="2"/>
        <w:rPr>
          <w:rFonts w:hAnsi="宋体"/>
          <w:bCs/>
          <w:sz w:val="28"/>
          <w:szCs w:val="28"/>
        </w:rPr>
      </w:pPr>
    </w:p>
    <w:p>
      <w:pPr>
        <w:pStyle w:val="2"/>
        <w:rPr>
          <w:rFonts w:hAnsi="宋体"/>
          <w:bCs/>
          <w:sz w:val="28"/>
          <w:szCs w:val="28"/>
        </w:rPr>
      </w:pPr>
    </w:p>
    <w:p>
      <w:pPr>
        <w:pStyle w:val="2"/>
        <w:rPr>
          <w:rFonts w:hAnsi="宋体"/>
          <w:bCs/>
          <w:sz w:val="28"/>
          <w:szCs w:val="28"/>
        </w:rPr>
      </w:pPr>
    </w:p>
    <w:p>
      <w:pPr>
        <w:pStyle w:val="2"/>
        <w:rPr>
          <w:rFonts w:hAnsi="宋体"/>
          <w:bCs/>
          <w:sz w:val="28"/>
          <w:szCs w:val="28"/>
        </w:rPr>
      </w:pPr>
    </w:p>
    <w:p>
      <w:pPr>
        <w:pStyle w:val="2"/>
        <w:rPr>
          <w:rFonts w:hAnsi="宋体"/>
          <w:bCs/>
          <w:sz w:val="28"/>
          <w:szCs w:val="28"/>
        </w:rPr>
      </w:pPr>
    </w:p>
    <w:p>
      <w:pPr>
        <w:pStyle w:val="2"/>
        <w:rPr>
          <w:rFonts w:hAnsi="宋体"/>
          <w:bCs/>
          <w:sz w:val="28"/>
          <w:szCs w:val="28"/>
        </w:rPr>
      </w:pPr>
    </w:p>
    <w:p>
      <w:pPr>
        <w:pStyle w:val="2"/>
        <w:rPr>
          <w:rFonts w:hAnsi="宋体"/>
          <w:bCs/>
          <w:sz w:val="28"/>
          <w:szCs w:val="28"/>
        </w:rPr>
      </w:pPr>
    </w:p>
    <w:p>
      <w:pPr>
        <w:pStyle w:val="2"/>
        <w:rPr>
          <w:rFonts w:hAnsi="宋体"/>
          <w:bCs/>
          <w:sz w:val="28"/>
          <w:szCs w:val="28"/>
        </w:rPr>
      </w:pPr>
    </w:p>
    <w:p>
      <w:pPr>
        <w:pStyle w:val="2"/>
        <w:rPr>
          <w:rFonts w:hAnsi="宋体"/>
          <w:bCs/>
          <w:sz w:val="28"/>
          <w:szCs w:val="28"/>
        </w:rPr>
      </w:pPr>
    </w:p>
    <w:p>
      <w:pPr>
        <w:pStyle w:val="2"/>
        <w:rPr>
          <w:rFonts w:hAnsi="宋体"/>
          <w:bCs/>
          <w:sz w:val="28"/>
          <w:szCs w:val="28"/>
        </w:rPr>
      </w:pPr>
    </w:p>
    <w:p>
      <w:pPr>
        <w:pStyle w:val="2"/>
        <w:rPr>
          <w:rFonts w:hAnsi="宋体"/>
          <w:bCs/>
          <w:sz w:val="28"/>
          <w:szCs w:val="28"/>
        </w:rPr>
      </w:pPr>
    </w:p>
    <w:p>
      <w:pPr>
        <w:pStyle w:val="2"/>
        <w:rPr>
          <w:rFonts w:hAnsi="宋体"/>
          <w:bCs/>
          <w:sz w:val="28"/>
          <w:szCs w:val="28"/>
        </w:rPr>
      </w:pPr>
    </w:p>
    <w:p>
      <w:pPr>
        <w:pStyle w:val="2"/>
        <w:rPr>
          <w:rFonts w:hAnsi="宋体"/>
          <w:bCs/>
          <w:sz w:val="28"/>
          <w:szCs w:val="28"/>
        </w:rPr>
      </w:pPr>
    </w:p>
    <w:p>
      <w:pPr>
        <w:pStyle w:val="2"/>
        <w:rPr>
          <w:rFonts w:hAnsi="宋体"/>
          <w:bCs/>
          <w:sz w:val="28"/>
          <w:szCs w:val="28"/>
        </w:rPr>
      </w:pPr>
    </w:p>
    <w:p>
      <w:pPr>
        <w:pStyle w:val="2"/>
        <w:rPr>
          <w:rFonts w:hAnsi="宋体"/>
          <w:bCs/>
          <w:sz w:val="28"/>
          <w:szCs w:val="28"/>
        </w:rPr>
      </w:pPr>
    </w:p>
    <w:p>
      <w:pPr>
        <w:pStyle w:val="2"/>
        <w:rPr>
          <w:rFonts w:hAnsi="宋体"/>
          <w:bCs/>
          <w:sz w:val="28"/>
          <w:szCs w:val="28"/>
        </w:rPr>
      </w:pPr>
    </w:p>
    <w:p>
      <w:pPr>
        <w:pStyle w:val="2"/>
        <w:rPr>
          <w:rFonts w:hAnsi="宋体"/>
          <w:bCs/>
          <w:sz w:val="28"/>
          <w:szCs w:val="28"/>
        </w:rPr>
      </w:pPr>
    </w:p>
    <w:p>
      <w:pPr>
        <w:pStyle w:val="2"/>
        <w:rPr>
          <w:rFonts w:hAnsi="宋体"/>
          <w:bCs/>
          <w:sz w:val="28"/>
          <w:szCs w:val="28"/>
        </w:rPr>
      </w:pPr>
    </w:p>
    <w:p>
      <w:pPr>
        <w:pStyle w:val="2"/>
        <w:rPr>
          <w:rFonts w:hAnsi="宋体"/>
          <w:bCs/>
          <w:sz w:val="28"/>
          <w:szCs w:val="28"/>
        </w:rPr>
      </w:pPr>
    </w:p>
    <w:p>
      <w:pPr>
        <w:pStyle w:val="2"/>
        <w:rPr>
          <w:rFonts w:hAnsi="宋体"/>
          <w:bCs/>
          <w:sz w:val="28"/>
          <w:szCs w:val="28"/>
        </w:rPr>
      </w:pPr>
    </w:p>
    <w:p>
      <w:pPr>
        <w:pStyle w:val="2"/>
        <w:rPr>
          <w:rFonts w:hAnsi="宋体"/>
          <w:bCs/>
          <w:sz w:val="28"/>
          <w:szCs w:val="28"/>
        </w:rPr>
      </w:pPr>
    </w:p>
    <w:p>
      <w:pPr>
        <w:pStyle w:val="2"/>
        <w:rPr>
          <w:rFonts w:hAnsi="宋体"/>
        </w:rPr>
      </w:pPr>
    </w:p>
    <w:p>
      <w:pPr>
        <w:pStyle w:val="2"/>
        <w:rPr>
          <w:rFonts w:hAnsi="宋体"/>
        </w:rPr>
      </w:pPr>
    </w:p>
    <w:p>
      <w:pPr>
        <w:autoSpaceDE/>
        <w:autoSpaceDN/>
        <w:snapToGrid w:val="0"/>
        <w:jc w:val="center"/>
        <w:textAlignment w:val="auto"/>
        <w:rPr>
          <w:rFonts w:ascii="宋体" w:hAnsi="宋体"/>
          <w:bCs/>
          <w:sz w:val="28"/>
          <w:szCs w:val="28"/>
        </w:rPr>
      </w:pPr>
      <w:r>
        <w:rPr>
          <w:rFonts w:hint="eastAsia" w:ascii="宋体" w:hAnsi="宋体"/>
          <w:bCs/>
          <w:sz w:val="28"/>
          <w:szCs w:val="28"/>
        </w:rPr>
        <w:t>附件9 相关业绩证明，提供合同复印件（加盖报价单位公章）</w:t>
      </w:r>
    </w:p>
    <w:p>
      <w:pPr>
        <w:autoSpaceDE/>
        <w:autoSpaceDN/>
        <w:snapToGrid w:val="0"/>
        <w:jc w:val="center"/>
        <w:textAlignment w:val="auto"/>
        <w:rPr>
          <w:rFonts w:ascii="宋体" w:hAnsi="宋体"/>
          <w:bCs/>
          <w:sz w:val="28"/>
          <w:szCs w:val="28"/>
        </w:rPr>
      </w:pPr>
    </w:p>
    <w:p>
      <w:pPr>
        <w:autoSpaceDE/>
        <w:autoSpaceDN/>
        <w:snapToGrid w:val="0"/>
        <w:jc w:val="center"/>
        <w:textAlignment w:val="auto"/>
        <w:rPr>
          <w:rFonts w:ascii="宋体" w:hAnsi="宋体"/>
          <w:bCs/>
          <w:sz w:val="28"/>
          <w:szCs w:val="28"/>
        </w:rPr>
      </w:pPr>
    </w:p>
    <w:p>
      <w:pPr>
        <w:autoSpaceDE/>
        <w:autoSpaceDN/>
        <w:snapToGrid w:val="0"/>
        <w:jc w:val="center"/>
        <w:textAlignment w:val="auto"/>
        <w:rPr>
          <w:rFonts w:ascii="宋体" w:hAnsi="宋体"/>
          <w:bCs/>
          <w:sz w:val="28"/>
          <w:szCs w:val="28"/>
        </w:rPr>
      </w:pPr>
    </w:p>
    <w:p>
      <w:pPr>
        <w:autoSpaceDE/>
        <w:autoSpaceDN/>
        <w:snapToGrid w:val="0"/>
        <w:jc w:val="center"/>
        <w:textAlignment w:val="auto"/>
        <w:rPr>
          <w:rFonts w:ascii="宋体" w:hAnsi="宋体"/>
          <w:bCs/>
          <w:sz w:val="28"/>
          <w:szCs w:val="28"/>
        </w:rPr>
      </w:pPr>
    </w:p>
    <w:p>
      <w:pPr>
        <w:autoSpaceDE/>
        <w:autoSpaceDN/>
        <w:snapToGrid w:val="0"/>
        <w:jc w:val="center"/>
        <w:textAlignment w:val="auto"/>
        <w:rPr>
          <w:rFonts w:ascii="宋体" w:hAnsi="宋体"/>
          <w:bCs/>
          <w:sz w:val="28"/>
          <w:szCs w:val="28"/>
        </w:rPr>
      </w:pPr>
    </w:p>
    <w:p>
      <w:pPr>
        <w:autoSpaceDE/>
        <w:autoSpaceDN/>
        <w:snapToGrid w:val="0"/>
        <w:jc w:val="center"/>
        <w:textAlignment w:val="auto"/>
        <w:rPr>
          <w:rFonts w:ascii="宋体" w:hAnsi="宋体"/>
          <w:bCs/>
          <w:sz w:val="28"/>
          <w:szCs w:val="28"/>
        </w:rPr>
      </w:pPr>
    </w:p>
    <w:p>
      <w:pPr>
        <w:autoSpaceDE/>
        <w:autoSpaceDN/>
        <w:snapToGrid w:val="0"/>
        <w:jc w:val="center"/>
        <w:textAlignment w:val="auto"/>
        <w:rPr>
          <w:rFonts w:ascii="宋体" w:hAnsi="宋体"/>
          <w:bCs/>
          <w:sz w:val="28"/>
          <w:szCs w:val="28"/>
        </w:rPr>
      </w:pPr>
    </w:p>
    <w:p>
      <w:pPr>
        <w:autoSpaceDE/>
        <w:autoSpaceDN/>
        <w:snapToGrid w:val="0"/>
        <w:jc w:val="center"/>
        <w:textAlignment w:val="auto"/>
        <w:rPr>
          <w:rFonts w:ascii="宋体" w:hAnsi="宋体"/>
          <w:bCs/>
          <w:sz w:val="28"/>
          <w:szCs w:val="28"/>
        </w:rPr>
      </w:pPr>
    </w:p>
    <w:p>
      <w:pPr>
        <w:autoSpaceDE/>
        <w:autoSpaceDN/>
        <w:snapToGrid w:val="0"/>
        <w:jc w:val="center"/>
        <w:textAlignment w:val="auto"/>
        <w:rPr>
          <w:rFonts w:ascii="宋体" w:hAnsi="宋体"/>
          <w:bCs/>
          <w:sz w:val="28"/>
          <w:szCs w:val="28"/>
        </w:rPr>
      </w:pPr>
    </w:p>
    <w:p>
      <w:pPr>
        <w:autoSpaceDE/>
        <w:autoSpaceDN/>
        <w:snapToGrid w:val="0"/>
        <w:jc w:val="center"/>
        <w:textAlignment w:val="auto"/>
        <w:rPr>
          <w:rFonts w:ascii="宋体" w:hAnsi="宋体"/>
          <w:bCs/>
          <w:sz w:val="28"/>
          <w:szCs w:val="28"/>
        </w:rPr>
      </w:pPr>
    </w:p>
    <w:p>
      <w:pPr>
        <w:autoSpaceDE/>
        <w:autoSpaceDN/>
        <w:snapToGrid w:val="0"/>
        <w:jc w:val="center"/>
        <w:textAlignment w:val="auto"/>
        <w:rPr>
          <w:rFonts w:ascii="宋体" w:hAnsi="宋体"/>
          <w:bCs/>
          <w:sz w:val="28"/>
          <w:szCs w:val="28"/>
        </w:rPr>
      </w:pPr>
    </w:p>
    <w:p>
      <w:pPr>
        <w:autoSpaceDE/>
        <w:autoSpaceDN/>
        <w:snapToGrid w:val="0"/>
        <w:jc w:val="center"/>
        <w:textAlignment w:val="auto"/>
        <w:rPr>
          <w:rFonts w:ascii="宋体" w:hAnsi="宋体"/>
          <w:bCs/>
          <w:sz w:val="28"/>
          <w:szCs w:val="28"/>
        </w:rPr>
      </w:pPr>
    </w:p>
    <w:p>
      <w:pPr>
        <w:autoSpaceDE/>
        <w:autoSpaceDN/>
        <w:snapToGrid w:val="0"/>
        <w:jc w:val="center"/>
        <w:textAlignment w:val="auto"/>
        <w:rPr>
          <w:rFonts w:ascii="宋体" w:hAnsi="宋体"/>
          <w:bCs/>
          <w:sz w:val="28"/>
          <w:szCs w:val="28"/>
        </w:rPr>
      </w:pPr>
    </w:p>
    <w:p>
      <w:pPr>
        <w:autoSpaceDE/>
        <w:autoSpaceDN/>
        <w:snapToGrid w:val="0"/>
        <w:jc w:val="center"/>
        <w:textAlignment w:val="auto"/>
        <w:rPr>
          <w:rFonts w:ascii="宋体" w:hAnsi="宋体"/>
          <w:bCs/>
          <w:sz w:val="28"/>
          <w:szCs w:val="28"/>
        </w:rPr>
      </w:pPr>
    </w:p>
    <w:p>
      <w:pPr>
        <w:autoSpaceDE/>
        <w:autoSpaceDN/>
        <w:snapToGrid w:val="0"/>
        <w:jc w:val="center"/>
        <w:textAlignment w:val="auto"/>
        <w:rPr>
          <w:rFonts w:ascii="宋体" w:hAnsi="宋体"/>
          <w:bCs/>
          <w:sz w:val="28"/>
          <w:szCs w:val="28"/>
        </w:rPr>
      </w:pPr>
    </w:p>
    <w:p>
      <w:pPr>
        <w:autoSpaceDE/>
        <w:autoSpaceDN/>
        <w:snapToGrid w:val="0"/>
        <w:jc w:val="center"/>
        <w:textAlignment w:val="auto"/>
        <w:rPr>
          <w:rFonts w:ascii="宋体" w:hAnsi="宋体"/>
          <w:bCs/>
          <w:sz w:val="28"/>
          <w:szCs w:val="28"/>
        </w:rPr>
      </w:pPr>
    </w:p>
    <w:p>
      <w:pPr>
        <w:autoSpaceDE/>
        <w:autoSpaceDN/>
        <w:snapToGrid w:val="0"/>
        <w:jc w:val="center"/>
        <w:textAlignment w:val="auto"/>
        <w:rPr>
          <w:rFonts w:ascii="宋体" w:hAnsi="宋体"/>
          <w:bCs/>
          <w:sz w:val="28"/>
          <w:szCs w:val="28"/>
        </w:rPr>
      </w:pPr>
    </w:p>
    <w:p>
      <w:pPr>
        <w:autoSpaceDE/>
        <w:autoSpaceDN/>
        <w:snapToGrid w:val="0"/>
        <w:jc w:val="center"/>
        <w:textAlignment w:val="auto"/>
        <w:rPr>
          <w:rFonts w:ascii="宋体" w:hAnsi="宋体"/>
          <w:bCs/>
          <w:sz w:val="28"/>
          <w:szCs w:val="28"/>
        </w:rPr>
      </w:pPr>
    </w:p>
    <w:p>
      <w:pPr>
        <w:pStyle w:val="2"/>
        <w:rPr>
          <w:rFonts w:hAnsi="宋体"/>
          <w:bCs/>
          <w:sz w:val="28"/>
          <w:szCs w:val="28"/>
        </w:rPr>
      </w:pPr>
    </w:p>
    <w:p>
      <w:pPr>
        <w:pStyle w:val="2"/>
        <w:rPr>
          <w:rFonts w:hAnsi="宋体"/>
          <w:bCs/>
          <w:sz w:val="28"/>
          <w:szCs w:val="28"/>
        </w:rPr>
      </w:pPr>
    </w:p>
    <w:p>
      <w:pPr>
        <w:pStyle w:val="2"/>
        <w:rPr>
          <w:rFonts w:hAnsi="宋体"/>
          <w:bCs/>
          <w:sz w:val="28"/>
          <w:szCs w:val="28"/>
        </w:rPr>
      </w:pPr>
    </w:p>
    <w:p>
      <w:pPr>
        <w:pStyle w:val="2"/>
        <w:rPr>
          <w:rFonts w:hAnsi="宋体"/>
          <w:bCs/>
          <w:sz w:val="28"/>
          <w:szCs w:val="28"/>
        </w:rPr>
      </w:pPr>
    </w:p>
    <w:p>
      <w:pPr>
        <w:pStyle w:val="2"/>
        <w:rPr>
          <w:rFonts w:hAnsi="宋体"/>
          <w:bCs/>
          <w:sz w:val="28"/>
          <w:szCs w:val="28"/>
        </w:rPr>
      </w:pPr>
    </w:p>
    <w:p>
      <w:pPr>
        <w:pStyle w:val="2"/>
        <w:rPr>
          <w:rFonts w:hAnsi="宋体"/>
          <w:bCs/>
          <w:sz w:val="28"/>
          <w:szCs w:val="28"/>
        </w:rPr>
      </w:pPr>
    </w:p>
    <w:p>
      <w:pPr>
        <w:pStyle w:val="2"/>
        <w:rPr>
          <w:rFonts w:hAnsi="宋体"/>
          <w:bCs/>
          <w:sz w:val="28"/>
          <w:szCs w:val="28"/>
        </w:rPr>
      </w:pPr>
    </w:p>
    <w:p>
      <w:pPr>
        <w:pStyle w:val="2"/>
        <w:rPr>
          <w:rFonts w:hAnsi="宋体"/>
          <w:bCs/>
          <w:sz w:val="28"/>
          <w:szCs w:val="28"/>
        </w:rPr>
      </w:pPr>
    </w:p>
    <w:p>
      <w:pPr>
        <w:pStyle w:val="2"/>
        <w:rPr>
          <w:rFonts w:hAnsi="宋体"/>
          <w:bCs/>
          <w:sz w:val="28"/>
          <w:szCs w:val="28"/>
        </w:rPr>
      </w:pPr>
    </w:p>
    <w:p>
      <w:pPr>
        <w:autoSpaceDE/>
        <w:autoSpaceDN/>
        <w:snapToGrid w:val="0"/>
        <w:jc w:val="center"/>
        <w:textAlignment w:val="auto"/>
        <w:rPr>
          <w:rFonts w:ascii="宋体" w:hAnsi="宋体"/>
          <w:bCs/>
          <w:sz w:val="28"/>
          <w:szCs w:val="28"/>
        </w:rPr>
      </w:pPr>
    </w:p>
    <w:p>
      <w:pPr>
        <w:autoSpaceDE/>
        <w:autoSpaceDN/>
        <w:snapToGrid w:val="0"/>
        <w:jc w:val="center"/>
        <w:textAlignment w:val="auto"/>
        <w:rPr>
          <w:rFonts w:ascii="宋体" w:hAnsi="宋体"/>
          <w:bCs/>
          <w:sz w:val="28"/>
          <w:szCs w:val="28"/>
        </w:rPr>
      </w:pPr>
    </w:p>
    <w:p>
      <w:pPr>
        <w:autoSpaceDE/>
        <w:autoSpaceDN/>
        <w:snapToGrid w:val="0"/>
        <w:jc w:val="center"/>
        <w:textAlignment w:val="auto"/>
        <w:rPr>
          <w:rFonts w:ascii="宋体" w:hAnsi="宋体"/>
          <w:bCs/>
          <w:sz w:val="28"/>
          <w:szCs w:val="28"/>
        </w:rPr>
      </w:pPr>
    </w:p>
    <w:p>
      <w:pPr>
        <w:autoSpaceDE/>
        <w:autoSpaceDN/>
        <w:snapToGrid w:val="0"/>
        <w:jc w:val="center"/>
        <w:textAlignment w:val="auto"/>
        <w:rPr>
          <w:rFonts w:ascii="宋体" w:hAnsi="宋体"/>
          <w:bCs/>
          <w:sz w:val="28"/>
          <w:szCs w:val="28"/>
        </w:rPr>
      </w:pPr>
    </w:p>
    <w:p>
      <w:pPr>
        <w:autoSpaceDE/>
        <w:autoSpaceDN/>
        <w:snapToGrid w:val="0"/>
        <w:jc w:val="center"/>
        <w:textAlignment w:val="auto"/>
        <w:rPr>
          <w:rFonts w:ascii="宋体" w:hAnsi="宋体"/>
          <w:bCs/>
          <w:sz w:val="28"/>
          <w:szCs w:val="28"/>
        </w:rPr>
      </w:pPr>
    </w:p>
    <w:p>
      <w:pPr>
        <w:autoSpaceDE/>
        <w:autoSpaceDN/>
        <w:snapToGrid w:val="0"/>
        <w:jc w:val="center"/>
        <w:textAlignment w:val="auto"/>
        <w:rPr>
          <w:rFonts w:ascii="宋体" w:hAnsi="宋体"/>
          <w:bCs/>
          <w:sz w:val="28"/>
          <w:szCs w:val="28"/>
        </w:rPr>
      </w:pPr>
    </w:p>
    <w:p>
      <w:pPr>
        <w:pStyle w:val="2"/>
        <w:rPr>
          <w:rFonts w:hAnsi="宋体"/>
        </w:rPr>
      </w:pPr>
    </w:p>
    <w:p>
      <w:pPr>
        <w:pStyle w:val="2"/>
        <w:rPr>
          <w:rFonts w:hAnsi="宋体"/>
        </w:rPr>
      </w:pPr>
    </w:p>
    <w:p>
      <w:pPr>
        <w:pStyle w:val="2"/>
        <w:rPr>
          <w:rFonts w:hAnsi="宋体"/>
        </w:rPr>
      </w:pPr>
    </w:p>
    <w:p>
      <w:pPr>
        <w:pStyle w:val="2"/>
        <w:rPr>
          <w:rFonts w:hAnsi="宋体"/>
        </w:rPr>
      </w:pPr>
    </w:p>
    <w:p>
      <w:pPr>
        <w:pStyle w:val="2"/>
        <w:rPr>
          <w:rFonts w:hAnsi="宋体"/>
        </w:rPr>
      </w:pPr>
    </w:p>
    <w:p>
      <w:pPr>
        <w:autoSpaceDE/>
        <w:autoSpaceDN/>
        <w:snapToGrid w:val="0"/>
        <w:jc w:val="center"/>
        <w:textAlignment w:val="auto"/>
        <w:rPr>
          <w:rFonts w:ascii="宋体" w:hAnsi="宋体"/>
          <w:bCs/>
          <w:sz w:val="28"/>
          <w:szCs w:val="28"/>
        </w:rPr>
      </w:pPr>
      <w:r>
        <w:rPr>
          <w:rFonts w:hint="eastAsia" w:ascii="宋体" w:hAnsi="宋体"/>
          <w:bCs/>
          <w:sz w:val="28"/>
          <w:szCs w:val="28"/>
        </w:rPr>
        <w:t>附件10 报价方认为需要提供的其他资料。</w:t>
      </w:r>
    </w:p>
    <w:p>
      <w:pPr>
        <w:kinsoku w:val="0"/>
        <w:overflowPunct w:val="0"/>
        <w:adjustRightInd/>
        <w:spacing w:line="400" w:lineRule="atLeast"/>
        <w:jc w:val="center"/>
        <w:rPr>
          <w:rFonts w:ascii="宋体" w:hAnsi="宋体"/>
          <w:b/>
          <w:bCs/>
          <w:sz w:val="28"/>
          <w:szCs w:val="28"/>
        </w:rPr>
      </w:pPr>
    </w:p>
    <w:p>
      <w:pPr>
        <w:kinsoku w:val="0"/>
        <w:overflowPunct w:val="0"/>
        <w:adjustRightInd/>
        <w:spacing w:line="400" w:lineRule="atLeast"/>
        <w:jc w:val="center"/>
        <w:rPr>
          <w:rFonts w:ascii="宋体" w:hAnsi="宋体"/>
          <w:b/>
          <w:bCs/>
          <w:sz w:val="28"/>
          <w:szCs w:val="28"/>
        </w:rPr>
      </w:pPr>
    </w:p>
    <w:p>
      <w:pPr>
        <w:pStyle w:val="4"/>
        <w:keepNext w:val="0"/>
        <w:keepLines w:val="0"/>
        <w:kinsoku w:val="0"/>
        <w:overflowPunct w:val="0"/>
        <w:autoSpaceDE w:val="0"/>
        <w:autoSpaceDN w:val="0"/>
        <w:adjustRightInd/>
        <w:spacing w:line="400" w:lineRule="atLeast"/>
        <w:ind w:firstLine="522" w:firstLineChars="200"/>
        <w:jc w:val="center"/>
        <w:textAlignment w:val="auto"/>
        <w:rPr>
          <w:rFonts w:ascii="宋体" w:hAnsi="宋体" w:eastAsia="宋体"/>
          <w:bCs/>
          <w:sz w:val="24"/>
          <w:szCs w:val="24"/>
        </w:rPr>
      </w:pPr>
    </w:p>
    <w:p>
      <w:pPr>
        <w:pStyle w:val="5"/>
        <w:rPr>
          <w:rFonts w:ascii="宋体" w:hAnsi="宋体"/>
          <w:bCs/>
          <w:sz w:val="24"/>
          <w:szCs w:val="24"/>
        </w:rPr>
      </w:pPr>
    </w:p>
    <w:p>
      <w:pPr>
        <w:pStyle w:val="5"/>
        <w:rPr>
          <w:rFonts w:ascii="宋体" w:hAnsi="宋体"/>
          <w:bCs/>
          <w:sz w:val="24"/>
          <w:szCs w:val="24"/>
        </w:rPr>
      </w:pPr>
    </w:p>
    <w:p>
      <w:pPr>
        <w:pStyle w:val="5"/>
        <w:rPr>
          <w:rFonts w:ascii="宋体" w:hAnsi="宋体"/>
          <w:bCs/>
          <w:sz w:val="24"/>
          <w:szCs w:val="24"/>
        </w:rPr>
      </w:pPr>
    </w:p>
    <w:p>
      <w:pPr>
        <w:pStyle w:val="5"/>
        <w:rPr>
          <w:rFonts w:ascii="宋体" w:hAnsi="宋体"/>
          <w:bCs/>
          <w:sz w:val="24"/>
          <w:szCs w:val="24"/>
        </w:rPr>
      </w:pPr>
    </w:p>
    <w:p>
      <w:pPr>
        <w:pStyle w:val="5"/>
        <w:rPr>
          <w:rFonts w:ascii="宋体" w:hAnsi="宋体"/>
          <w:bCs/>
          <w:sz w:val="24"/>
          <w:szCs w:val="24"/>
        </w:rPr>
      </w:pPr>
    </w:p>
    <w:p>
      <w:pPr>
        <w:pStyle w:val="5"/>
        <w:rPr>
          <w:rFonts w:ascii="宋体" w:hAnsi="宋体"/>
          <w:bCs/>
          <w:sz w:val="24"/>
          <w:szCs w:val="24"/>
        </w:rPr>
      </w:pPr>
    </w:p>
    <w:p>
      <w:pPr>
        <w:pStyle w:val="5"/>
        <w:rPr>
          <w:rFonts w:ascii="宋体" w:hAnsi="宋体"/>
          <w:bCs/>
          <w:sz w:val="24"/>
          <w:szCs w:val="24"/>
        </w:rPr>
      </w:pPr>
    </w:p>
    <w:p>
      <w:pPr>
        <w:pStyle w:val="5"/>
        <w:rPr>
          <w:rFonts w:ascii="宋体" w:hAnsi="宋体"/>
          <w:bCs/>
          <w:sz w:val="24"/>
          <w:szCs w:val="24"/>
        </w:rPr>
      </w:pPr>
    </w:p>
    <w:p>
      <w:pPr>
        <w:pStyle w:val="5"/>
        <w:rPr>
          <w:rFonts w:ascii="宋体" w:hAnsi="宋体"/>
          <w:bCs/>
          <w:sz w:val="24"/>
          <w:szCs w:val="24"/>
        </w:rPr>
      </w:pPr>
    </w:p>
    <w:p>
      <w:pPr>
        <w:pStyle w:val="5"/>
        <w:rPr>
          <w:rFonts w:ascii="宋体" w:hAnsi="宋体"/>
          <w:bCs/>
          <w:sz w:val="24"/>
          <w:szCs w:val="24"/>
        </w:rPr>
      </w:pPr>
    </w:p>
    <w:p>
      <w:pPr>
        <w:pStyle w:val="5"/>
        <w:rPr>
          <w:rFonts w:ascii="宋体" w:hAnsi="宋体"/>
          <w:bCs/>
          <w:sz w:val="24"/>
          <w:szCs w:val="24"/>
        </w:rPr>
      </w:pPr>
    </w:p>
    <w:p>
      <w:pPr>
        <w:pStyle w:val="5"/>
        <w:rPr>
          <w:rFonts w:ascii="宋体" w:hAnsi="宋体"/>
          <w:bCs/>
          <w:sz w:val="24"/>
          <w:szCs w:val="24"/>
        </w:rPr>
      </w:pPr>
    </w:p>
    <w:p>
      <w:pPr>
        <w:pStyle w:val="5"/>
        <w:rPr>
          <w:rFonts w:ascii="宋体" w:hAnsi="宋体"/>
          <w:bCs/>
          <w:sz w:val="24"/>
          <w:szCs w:val="24"/>
        </w:rPr>
      </w:pPr>
    </w:p>
    <w:p>
      <w:pPr>
        <w:pStyle w:val="5"/>
        <w:rPr>
          <w:rFonts w:ascii="宋体" w:hAnsi="宋体"/>
          <w:bCs/>
          <w:sz w:val="24"/>
          <w:szCs w:val="24"/>
        </w:rPr>
      </w:pPr>
    </w:p>
    <w:p>
      <w:pPr>
        <w:pStyle w:val="5"/>
        <w:rPr>
          <w:rFonts w:ascii="宋体" w:hAnsi="宋体"/>
          <w:bCs/>
          <w:sz w:val="24"/>
          <w:szCs w:val="24"/>
        </w:rPr>
      </w:pPr>
    </w:p>
    <w:p>
      <w:pPr>
        <w:pStyle w:val="5"/>
        <w:rPr>
          <w:rFonts w:ascii="宋体" w:hAnsi="宋体"/>
          <w:bCs/>
          <w:sz w:val="24"/>
          <w:szCs w:val="24"/>
        </w:rPr>
      </w:pPr>
    </w:p>
    <w:p>
      <w:pPr>
        <w:pStyle w:val="5"/>
        <w:rPr>
          <w:rFonts w:ascii="宋体" w:hAnsi="宋体"/>
          <w:bCs/>
          <w:sz w:val="24"/>
          <w:szCs w:val="24"/>
        </w:rPr>
      </w:pPr>
    </w:p>
    <w:p>
      <w:pPr>
        <w:pStyle w:val="5"/>
        <w:rPr>
          <w:rFonts w:ascii="宋体" w:hAnsi="宋体"/>
          <w:bCs/>
          <w:sz w:val="24"/>
          <w:szCs w:val="24"/>
        </w:rPr>
      </w:pPr>
    </w:p>
    <w:p>
      <w:pPr>
        <w:pStyle w:val="5"/>
        <w:rPr>
          <w:rFonts w:ascii="宋体" w:hAnsi="宋体"/>
          <w:bCs/>
          <w:sz w:val="24"/>
          <w:szCs w:val="24"/>
        </w:rPr>
      </w:pPr>
    </w:p>
    <w:p>
      <w:pPr>
        <w:pStyle w:val="5"/>
        <w:rPr>
          <w:rFonts w:ascii="宋体" w:hAnsi="宋体"/>
          <w:bCs/>
          <w:sz w:val="24"/>
          <w:szCs w:val="24"/>
        </w:rPr>
      </w:pPr>
    </w:p>
    <w:p>
      <w:pPr>
        <w:pStyle w:val="5"/>
        <w:rPr>
          <w:rFonts w:ascii="宋体" w:hAnsi="宋体"/>
          <w:bCs/>
          <w:sz w:val="24"/>
          <w:szCs w:val="24"/>
        </w:rPr>
      </w:pPr>
    </w:p>
    <w:p>
      <w:pPr>
        <w:pStyle w:val="5"/>
        <w:rPr>
          <w:rFonts w:ascii="宋体" w:hAnsi="宋体"/>
          <w:bCs/>
          <w:sz w:val="24"/>
          <w:szCs w:val="24"/>
        </w:rPr>
      </w:pPr>
    </w:p>
    <w:p>
      <w:pPr>
        <w:pStyle w:val="5"/>
        <w:rPr>
          <w:rFonts w:ascii="宋体" w:hAnsi="宋体"/>
          <w:bCs/>
          <w:sz w:val="24"/>
          <w:szCs w:val="24"/>
        </w:rPr>
      </w:pPr>
    </w:p>
    <w:p>
      <w:pPr>
        <w:pStyle w:val="5"/>
        <w:rPr>
          <w:rFonts w:ascii="宋体" w:hAnsi="宋体"/>
          <w:bCs/>
          <w:sz w:val="24"/>
          <w:szCs w:val="24"/>
        </w:rPr>
      </w:pPr>
    </w:p>
    <w:p>
      <w:pPr>
        <w:pStyle w:val="5"/>
        <w:rPr>
          <w:rFonts w:ascii="宋体" w:hAnsi="宋体"/>
          <w:bCs/>
          <w:sz w:val="24"/>
          <w:szCs w:val="24"/>
        </w:rPr>
      </w:pPr>
    </w:p>
    <w:p>
      <w:pPr>
        <w:pStyle w:val="5"/>
        <w:rPr>
          <w:rFonts w:ascii="宋体" w:hAnsi="宋体"/>
          <w:bCs/>
          <w:sz w:val="24"/>
          <w:szCs w:val="24"/>
        </w:rPr>
      </w:pPr>
    </w:p>
    <w:p>
      <w:pPr>
        <w:pStyle w:val="5"/>
        <w:rPr>
          <w:rFonts w:ascii="宋体" w:hAnsi="宋体"/>
          <w:bCs/>
          <w:sz w:val="24"/>
          <w:szCs w:val="24"/>
        </w:rPr>
      </w:pPr>
    </w:p>
    <w:p>
      <w:pPr>
        <w:pStyle w:val="5"/>
        <w:rPr>
          <w:rFonts w:ascii="宋体" w:hAnsi="宋体"/>
          <w:bCs/>
          <w:sz w:val="24"/>
          <w:szCs w:val="24"/>
        </w:rPr>
      </w:pPr>
    </w:p>
    <w:p>
      <w:pPr>
        <w:pStyle w:val="5"/>
        <w:rPr>
          <w:rFonts w:ascii="宋体" w:hAnsi="宋体"/>
          <w:bCs/>
          <w:sz w:val="24"/>
          <w:szCs w:val="24"/>
        </w:rPr>
      </w:pPr>
    </w:p>
    <w:p>
      <w:pPr>
        <w:pStyle w:val="5"/>
        <w:rPr>
          <w:rFonts w:ascii="宋体" w:hAnsi="宋体"/>
          <w:bCs/>
          <w:sz w:val="24"/>
          <w:szCs w:val="24"/>
        </w:rPr>
      </w:pPr>
    </w:p>
    <w:p>
      <w:pPr>
        <w:pStyle w:val="5"/>
        <w:rPr>
          <w:rFonts w:ascii="宋体" w:hAnsi="宋体"/>
          <w:bCs/>
          <w:sz w:val="24"/>
          <w:szCs w:val="24"/>
        </w:rPr>
      </w:pPr>
    </w:p>
    <w:p>
      <w:pPr>
        <w:pStyle w:val="5"/>
        <w:rPr>
          <w:rFonts w:ascii="宋体" w:hAnsi="宋体"/>
          <w:bCs/>
          <w:sz w:val="24"/>
          <w:szCs w:val="24"/>
        </w:rPr>
      </w:pPr>
    </w:p>
    <w:p>
      <w:pPr>
        <w:pStyle w:val="5"/>
        <w:rPr>
          <w:rFonts w:ascii="宋体" w:hAnsi="宋体"/>
          <w:bCs/>
          <w:sz w:val="24"/>
          <w:szCs w:val="24"/>
        </w:rPr>
      </w:pPr>
    </w:p>
    <w:p>
      <w:pPr>
        <w:pStyle w:val="5"/>
        <w:rPr>
          <w:rFonts w:ascii="宋体" w:hAnsi="宋体"/>
          <w:bCs/>
          <w:sz w:val="24"/>
          <w:szCs w:val="24"/>
        </w:rPr>
      </w:pPr>
    </w:p>
    <w:p>
      <w:pPr>
        <w:pStyle w:val="5"/>
        <w:rPr>
          <w:rFonts w:ascii="宋体" w:hAnsi="宋体"/>
          <w:bCs/>
          <w:sz w:val="24"/>
          <w:szCs w:val="24"/>
        </w:rPr>
      </w:pPr>
    </w:p>
    <w:p>
      <w:pPr>
        <w:pStyle w:val="5"/>
        <w:rPr>
          <w:rFonts w:ascii="宋体" w:hAnsi="宋体"/>
          <w:bCs/>
          <w:sz w:val="24"/>
          <w:szCs w:val="24"/>
        </w:rPr>
      </w:pPr>
    </w:p>
    <w:p>
      <w:pPr>
        <w:pStyle w:val="5"/>
        <w:rPr>
          <w:rFonts w:ascii="宋体" w:hAnsi="宋体"/>
          <w:bCs/>
          <w:sz w:val="24"/>
          <w:szCs w:val="24"/>
        </w:rPr>
      </w:pPr>
    </w:p>
    <w:p>
      <w:pPr>
        <w:pStyle w:val="5"/>
        <w:rPr>
          <w:rFonts w:ascii="宋体" w:hAnsi="宋体"/>
          <w:bCs/>
          <w:sz w:val="24"/>
          <w:szCs w:val="24"/>
        </w:rPr>
      </w:pPr>
    </w:p>
    <w:bookmarkEnd w:id="18"/>
    <w:bookmarkEnd w:id="19"/>
    <w:bookmarkEnd w:id="20"/>
    <w:bookmarkEnd w:id="21"/>
    <w:bookmarkEnd w:id="22"/>
    <w:bookmarkEnd w:id="23"/>
    <w:p>
      <w:pPr>
        <w:pStyle w:val="2"/>
      </w:pPr>
    </w:p>
    <w:sectPr>
      <w:headerReference r:id="rId9" w:type="default"/>
      <w:footerReference r:id="rId10" w:type="default"/>
      <w:pgSz w:w="11906" w:h="16838"/>
      <w:pgMar w:top="1417" w:right="1417" w:bottom="1134" w:left="1417" w:header="1247" w:footer="1134"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鼎粗行楷体简">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3075" o:spid="_x0000_s307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path/>
          <v:fill on="f" focussize="0,0"/>
          <v:stroke on="f" joinstyle="miter"/>
          <v:imagedata o:title=""/>
          <o:lock v:ext="edit"/>
          <v:textbox inset="0mm,0mm,0mm,0mm" style="mso-fit-shape-to-text:t;">
            <w:txbxContent>
              <w:p>
                <w:pPr>
                  <w:pStyle w:val="9"/>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31</w:t>
                </w:r>
                <w:r>
                  <w:fldChar w:fldCharType="end"/>
                </w:r>
                <w:r>
                  <w:rPr>
                    <w:rFonts w:hint="eastAsia"/>
                  </w:rPr>
                  <w:t xml:space="preserve"> 页</w:t>
                </w:r>
              </w:p>
            </w:txbxContent>
          </v:textbox>
        </v:shape>
      </w:pict>
    </w: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path/>
          <v:fill on="f" focussize="0,0"/>
          <v:stroke on="f" joinstyle="miter"/>
          <v:imagedata o:title=""/>
          <o:lock v:ext="edit"/>
          <v:textbox inset="0mm,0mm,0mm,0mm" style="mso-fit-shape-to-text:t;">
            <w:txbxContent>
              <w:p>
                <w:pPr>
                  <w:pStyle w:val="9"/>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napToGrid w:val="0"/>
      <w:jc w:val="left"/>
      <w:rPr>
        <w:kern w:val="2"/>
        <w:sz w:val="18"/>
        <w:szCs w:val="18"/>
      </w:rPr>
    </w:pPr>
    <w:r>
      <w:rPr>
        <w:kern w:val="2"/>
        <w:sz w:val="18"/>
        <w:szCs w:val="18"/>
      </w:rPr>
      <w:fldChar w:fldCharType="begin"/>
    </w:r>
    <w:r>
      <w:rPr>
        <w:kern w:val="2"/>
        <w:sz w:val="18"/>
        <w:szCs w:val="18"/>
      </w:rPr>
      <w:instrText xml:space="preserve">PAGE  </w:instrText>
    </w:r>
    <w:r>
      <w:rPr>
        <w:kern w:val="2"/>
        <w:sz w:val="18"/>
        <w:szCs w:val="18"/>
      </w:rPr>
      <w:fldChar w:fldCharType="end"/>
    </w:r>
  </w:p>
  <w:p>
    <w:pPr>
      <w:snapToGrid w:val="0"/>
      <w:ind w:right="360"/>
      <w:jc w:val="left"/>
      <w:rPr>
        <w:kern w:val="2"/>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kern w:val="2"/>
        <w:sz w:val="18"/>
        <w:szCs w:val="18"/>
      </w:rPr>
    </w:pPr>
    <w:r>
      <w:rPr>
        <w:kern w:val="2"/>
        <w:sz w:val="18"/>
        <w:szCs w:val="18"/>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joinstyle="miter"/>
          <v:imagedata o:title=""/>
          <o:lock v:ext="edit"/>
          <v:textbox inset="0mm,0mm,0mm,0mm" style="mso-fit-shape-to-text:t;">
            <w:txbxContent>
              <w:p>
                <w:pPr>
                  <w:snapToGrid w:val="0"/>
                  <w:jc w:val="left"/>
                  <w:rPr>
                    <w:kern w:val="2"/>
                    <w:sz w:val="18"/>
                    <w:szCs w:val="18"/>
                  </w:rPr>
                </w:pPr>
                <w:r>
                  <w:rPr>
                    <w:rFonts w:hint="eastAsia"/>
                    <w:kern w:val="2"/>
                    <w:sz w:val="18"/>
                    <w:szCs w:val="18"/>
                  </w:rPr>
                  <w:fldChar w:fldCharType="begin"/>
                </w:r>
                <w:r>
                  <w:rPr>
                    <w:rFonts w:hint="eastAsia"/>
                    <w:kern w:val="2"/>
                    <w:sz w:val="18"/>
                    <w:szCs w:val="18"/>
                  </w:rPr>
                  <w:instrText xml:space="preserve"> PAGE  \* MERGEFORMAT </w:instrText>
                </w:r>
                <w:r>
                  <w:rPr>
                    <w:rFonts w:hint="eastAsia"/>
                    <w:kern w:val="2"/>
                    <w:sz w:val="18"/>
                    <w:szCs w:val="18"/>
                  </w:rPr>
                  <w:fldChar w:fldCharType="separate"/>
                </w:r>
                <w:r>
                  <w:rPr>
                    <w:kern w:val="2"/>
                    <w:sz w:val="18"/>
                    <w:szCs w:val="18"/>
                  </w:rPr>
                  <w:t>11</w:t>
                </w:r>
                <w:r>
                  <w:rPr>
                    <w:rFonts w:hint="eastAsia"/>
                    <w:kern w:val="2"/>
                    <w:sz w:val="18"/>
                    <w:szCs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312"/>
        <w:tab w:val="left" w:pos="4998"/>
      </w:tabs>
    </w:pPr>
    <w:r>
      <w:pict>
        <v:shape id="_x0000_s3073" o:spid="_x0000_s3073"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path/>
          <v:fill on="f" focussize="0,0"/>
          <v:stroke on="f" joinstyle="miter"/>
          <v:imagedata o:title=""/>
          <o:lock v:ext="edit"/>
          <v:textbox inset="0mm,0mm,0mm,0mm" style="mso-fit-shape-to-text:t;">
            <w:txbxContent>
              <w:p>
                <w:pPr>
                  <w:pStyle w:val="9"/>
                </w:pPr>
                <w:r>
                  <w:rPr>
                    <w:rFonts w:hint="eastAsia"/>
                  </w:rPr>
                  <w:t xml:space="preserve">第 </w:t>
                </w:r>
                <w:r>
                  <w:fldChar w:fldCharType="begin"/>
                </w:r>
                <w:r>
                  <w:instrText xml:space="preserve"> PAGE  \* MERGEFORMAT </w:instrText>
                </w:r>
                <w:r>
                  <w:fldChar w:fldCharType="separate"/>
                </w:r>
                <w:r>
                  <w:t>19</w:t>
                </w:r>
                <w:r>
                  <w:fldChar w:fldCharType="end"/>
                </w:r>
                <w:r>
                  <w:rPr>
                    <w:rFonts w:hint="eastAsia"/>
                  </w:rPr>
                  <w:t xml:space="preserve"> 页 共 </w:t>
                </w:r>
                <w:r>
                  <w:fldChar w:fldCharType="begin"/>
                </w:r>
                <w:r>
                  <w:instrText xml:space="preserve"> NUMPAGES  \* MERGEFORMAT </w:instrText>
                </w:r>
                <w:r>
                  <w:fldChar w:fldCharType="separate"/>
                </w:r>
                <w:r>
                  <w:t>31</w:t>
                </w:r>
                <w:r>
                  <w:fldChar w:fldCharType="end"/>
                </w:r>
                <w:r>
                  <w:rPr>
                    <w:rFonts w:hint="eastAsia"/>
                  </w:rPr>
                  <w:t xml:space="preserve"> 页</w:t>
                </w:r>
              </w:p>
            </w:txbxContent>
          </v:textbox>
        </v:shape>
      </w:pict>
    </w:r>
    <w:r>
      <w:rPr>
        <w:rFonts w:hint="eastAsia"/>
      </w:rPr>
      <w:tab/>
    </w:r>
    <w:r>
      <w:rPr>
        <w:rFonts w:hint="eastAsia"/>
      </w:rPr>
      <w:tab/>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jc w:val="center"/>
      <w:rPr>
        <w:kern w:val="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left"/>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C3328"/>
    <w:multiLevelType w:val="singleLevel"/>
    <w:tmpl w:val="855C3328"/>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1">
    <w:nsid w:val="85DC5D7F"/>
    <w:multiLevelType w:val="singleLevel"/>
    <w:tmpl w:val="85DC5D7F"/>
    <w:lvl w:ilvl="0" w:tentative="0">
      <w:start w:val="1"/>
      <w:numFmt w:val="decimal"/>
      <w:suff w:val="nothing"/>
      <w:lvlText w:val="1.1.%1 "/>
      <w:lvlJc w:val="left"/>
      <w:pPr>
        <w:tabs>
          <w:tab w:val="left" w:pos="0"/>
        </w:tabs>
        <w:ind w:left="0" w:firstLine="0"/>
      </w:pPr>
      <w:rPr>
        <w:rFonts w:hint="default" w:ascii="宋体" w:hAnsi="宋体" w:eastAsia="宋体" w:cs="宋体"/>
      </w:rPr>
    </w:lvl>
  </w:abstractNum>
  <w:abstractNum w:abstractNumId="2">
    <w:nsid w:val="8710C23F"/>
    <w:multiLevelType w:val="singleLevel"/>
    <w:tmpl w:val="8710C23F"/>
    <w:lvl w:ilvl="0" w:tentative="0">
      <w:start w:val="1"/>
      <w:numFmt w:val="decimal"/>
      <w:suff w:val="nothing"/>
      <w:lvlText w:val="%1、"/>
      <w:lvlJc w:val="left"/>
    </w:lvl>
  </w:abstractNum>
  <w:abstractNum w:abstractNumId="3">
    <w:nsid w:val="8FD86AAB"/>
    <w:multiLevelType w:val="singleLevel"/>
    <w:tmpl w:val="8FD86AAB"/>
    <w:lvl w:ilvl="0" w:tentative="0">
      <w:start w:val="1"/>
      <w:numFmt w:val="decimal"/>
      <w:suff w:val="nothing"/>
      <w:lvlText w:val="3.%1 "/>
      <w:lvlJc w:val="left"/>
      <w:pPr>
        <w:ind w:left="0" w:firstLine="0"/>
      </w:pPr>
      <w:rPr>
        <w:rFonts w:hint="default"/>
      </w:rPr>
    </w:lvl>
  </w:abstractNum>
  <w:abstractNum w:abstractNumId="4">
    <w:nsid w:val="9122BC05"/>
    <w:multiLevelType w:val="singleLevel"/>
    <w:tmpl w:val="9122BC05"/>
    <w:lvl w:ilvl="0" w:tentative="0">
      <w:start w:val="1"/>
      <w:numFmt w:val="decimal"/>
      <w:suff w:val="nothing"/>
      <w:lvlText w:val="4.%1 "/>
      <w:lvlJc w:val="left"/>
      <w:pPr>
        <w:ind w:left="0" w:firstLine="0"/>
      </w:pPr>
      <w:rPr>
        <w:rFonts w:hint="default"/>
      </w:rPr>
    </w:lvl>
  </w:abstractNum>
  <w:abstractNum w:abstractNumId="5">
    <w:nsid w:val="97D92BF2"/>
    <w:multiLevelType w:val="singleLevel"/>
    <w:tmpl w:val="97D92BF2"/>
    <w:lvl w:ilvl="0" w:tentative="0">
      <w:start w:val="1"/>
      <w:numFmt w:val="decimal"/>
      <w:suff w:val="nothing"/>
      <w:lvlText w:val="1.%1 "/>
      <w:lvlJc w:val="left"/>
      <w:pPr>
        <w:tabs>
          <w:tab w:val="left" w:pos="0"/>
        </w:tabs>
        <w:ind w:left="0" w:firstLine="0"/>
      </w:pPr>
      <w:rPr>
        <w:rFonts w:hint="default" w:ascii="宋体" w:hAnsi="宋体" w:eastAsia="宋体" w:cs="宋体"/>
      </w:rPr>
    </w:lvl>
  </w:abstractNum>
  <w:abstractNum w:abstractNumId="6">
    <w:nsid w:val="A08370F4"/>
    <w:multiLevelType w:val="singleLevel"/>
    <w:tmpl w:val="A08370F4"/>
    <w:lvl w:ilvl="0" w:tentative="0">
      <w:start w:val="1"/>
      <w:numFmt w:val="decimal"/>
      <w:suff w:val="nothing"/>
      <w:lvlText w:val="%1 "/>
      <w:lvlJc w:val="left"/>
      <w:pPr>
        <w:ind w:left="0" w:firstLine="0"/>
      </w:pPr>
      <w:rPr>
        <w:rFonts w:hint="default"/>
      </w:rPr>
    </w:lvl>
  </w:abstractNum>
  <w:abstractNum w:abstractNumId="7">
    <w:nsid w:val="A78C8219"/>
    <w:multiLevelType w:val="singleLevel"/>
    <w:tmpl w:val="A78C8219"/>
    <w:lvl w:ilvl="0" w:tentative="0">
      <w:start w:val="4"/>
      <w:numFmt w:val="chineseCounting"/>
      <w:suff w:val="space"/>
      <w:lvlText w:val="第%1部分"/>
      <w:lvlJc w:val="left"/>
      <w:rPr>
        <w:rFonts w:hint="eastAsia"/>
      </w:rPr>
    </w:lvl>
  </w:abstractNum>
  <w:abstractNum w:abstractNumId="8">
    <w:nsid w:val="AA5BE932"/>
    <w:multiLevelType w:val="singleLevel"/>
    <w:tmpl w:val="AA5BE932"/>
    <w:lvl w:ilvl="0" w:tentative="0">
      <w:start w:val="1"/>
      <w:numFmt w:val="decimal"/>
      <w:suff w:val="nothing"/>
      <w:lvlText w:val="%1．"/>
      <w:lvlJc w:val="left"/>
      <w:pPr>
        <w:ind w:left="0" w:firstLine="400"/>
      </w:pPr>
      <w:rPr>
        <w:rFonts w:hint="default"/>
      </w:rPr>
    </w:lvl>
  </w:abstractNum>
  <w:abstractNum w:abstractNumId="9">
    <w:nsid w:val="B4922EE6"/>
    <w:multiLevelType w:val="singleLevel"/>
    <w:tmpl w:val="B4922EE6"/>
    <w:lvl w:ilvl="0" w:tentative="0">
      <w:start w:val="1"/>
      <w:numFmt w:val="decimal"/>
      <w:suff w:val="nothing"/>
      <w:lvlText w:val="5.1.%1 "/>
      <w:lvlJc w:val="left"/>
      <w:pPr>
        <w:tabs>
          <w:tab w:val="left" w:pos="0"/>
        </w:tabs>
        <w:ind w:left="0" w:firstLine="0"/>
      </w:pPr>
      <w:rPr>
        <w:rFonts w:hint="default" w:ascii="宋体" w:hAnsi="宋体" w:eastAsia="宋体" w:cs="宋体"/>
      </w:rPr>
    </w:lvl>
  </w:abstractNum>
  <w:abstractNum w:abstractNumId="10">
    <w:nsid w:val="BB222211"/>
    <w:multiLevelType w:val="singleLevel"/>
    <w:tmpl w:val="BB222211"/>
    <w:lvl w:ilvl="0" w:tentative="0">
      <w:start w:val="1"/>
      <w:numFmt w:val="decimal"/>
      <w:suff w:val="nothing"/>
      <w:lvlText w:val="%1 "/>
      <w:lvlJc w:val="left"/>
      <w:pPr>
        <w:tabs>
          <w:tab w:val="left" w:pos="0"/>
        </w:tabs>
        <w:ind w:left="0" w:firstLine="2"/>
      </w:pPr>
      <w:rPr>
        <w:rFonts w:hint="default" w:ascii="宋体" w:hAnsi="宋体" w:eastAsia="宋体" w:cs="宋体"/>
      </w:rPr>
    </w:lvl>
  </w:abstractNum>
  <w:abstractNum w:abstractNumId="11">
    <w:nsid w:val="BC110F0D"/>
    <w:multiLevelType w:val="singleLevel"/>
    <w:tmpl w:val="BC110F0D"/>
    <w:lvl w:ilvl="0" w:tentative="0">
      <w:start w:val="1"/>
      <w:numFmt w:val="decimal"/>
      <w:suff w:val="nothing"/>
      <w:lvlText w:val="2.%1 "/>
      <w:lvlJc w:val="left"/>
      <w:pPr>
        <w:tabs>
          <w:tab w:val="left" w:pos="0"/>
        </w:tabs>
        <w:ind w:left="0" w:firstLine="0"/>
      </w:pPr>
      <w:rPr>
        <w:rFonts w:hint="default" w:ascii="宋体" w:hAnsi="宋体" w:eastAsia="宋体" w:cs="宋体"/>
      </w:rPr>
    </w:lvl>
  </w:abstractNum>
  <w:abstractNum w:abstractNumId="12">
    <w:nsid w:val="BFA3D087"/>
    <w:multiLevelType w:val="singleLevel"/>
    <w:tmpl w:val="BFA3D087"/>
    <w:lvl w:ilvl="0" w:tentative="0">
      <w:start w:val="1"/>
      <w:numFmt w:val="decimal"/>
      <w:suff w:val="nothing"/>
      <w:lvlText w:val="1.2.%1 "/>
      <w:lvlJc w:val="left"/>
      <w:pPr>
        <w:tabs>
          <w:tab w:val="left" w:pos="0"/>
        </w:tabs>
        <w:ind w:left="0" w:firstLine="0"/>
      </w:pPr>
      <w:rPr>
        <w:rFonts w:hint="default" w:ascii="宋体" w:hAnsi="宋体" w:eastAsia="宋体" w:cs="宋体"/>
      </w:rPr>
    </w:lvl>
  </w:abstractNum>
  <w:abstractNum w:abstractNumId="13">
    <w:nsid w:val="C7A79031"/>
    <w:multiLevelType w:val="singleLevel"/>
    <w:tmpl w:val="C7A79031"/>
    <w:lvl w:ilvl="0" w:tentative="0">
      <w:start w:val="1"/>
      <w:numFmt w:val="decimal"/>
      <w:suff w:val="nothing"/>
      <w:lvlText w:val="%1 "/>
      <w:lvlJc w:val="left"/>
      <w:pPr>
        <w:ind w:left="0" w:firstLine="0"/>
      </w:pPr>
      <w:rPr>
        <w:rFonts w:hint="default"/>
      </w:rPr>
    </w:lvl>
  </w:abstractNum>
  <w:abstractNum w:abstractNumId="14">
    <w:nsid w:val="CF647CB0"/>
    <w:multiLevelType w:val="singleLevel"/>
    <w:tmpl w:val="CF647CB0"/>
    <w:lvl w:ilvl="0" w:tentative="0">
      <w:start w:val="1"/>
      <w:numFmt w:val="decimal"/>
      <w:lvlText w:val="(%1)"/>
      <w:lvlJc w:val="left"/>
      <w:pPr>
        <w:tabs>
          <w:tab w:val="left" w:pos="0"/>
        </w:tabs>
        <w:ind w:left="0" w:firstLine="0"/>
      </w:pPr>
      <w:rPr>
        <w:rFonts w:hint="default"/>
      </w:rPr>
    </w:lvl>
  </w:abstractNum>
  <w:abstractNum w:abstractNumId="15">
    <w:nsid w:val="DFBF39C5"/>
    <w:multiLevelType w:val="singleLevel"/>
    <w:tmpl w:val="DFBF39C5"/>
    <w:lvl w:ilvl="0" w:tentative="0">
      <w:start w:val="1"/>
      <w:numFmt w:val="decimal"/>
      <w:suff w:val="nothing"/>
      <w:lvlText w:val="6.%1 "/>
      <w:lvlJc w:val="left"/>
      <w:pPr>
        <w:tabs>
          <w:tab w:val="left" w:pos="0"/>
        </w:tabs>
        <w:ind w:left="0" w:firstLine="0"/>
      </w:pPr>
      <w:rPr>
        <w:rFonts w:hint="default" w:ascii="宋体" w:hAnsi="宋体" w:eastAsia="宋体" w:cs="宋体"/>
      </w:rPr>
    </w:lvl>
  </w:abstractNum>
  <w:abstractNum w:abstractNumId="16">
    <w:nsid w:val="E4A78161"/>
    <w:multiLevelType w:val="singleLevel"/>
    <w:tmpl w:val="E4A78161"/>
    <w:lvl w:ilvl="0" w:tentative="0">
      <w:start w:val="1"/>
      <w:numFmt w:val="decimal"/>
      <w:suff w:val="nothing"/>
      <w:lvlText w:val="%1 "/>
      <w:lvlJc w:val="left"/>
      <w:pPr>
        <w:ind w:left="0" w:firstLine="0"/>
      </w:pPr>
      <w:rPr>
        <w:rFonts w:hint="default"/>
      </w:rPr>
    </w:lvl>
  </w:abstractNum>
  <w:abstractNum w:abstractNumId="17">
    <w:nsid w:val="E5DA6A5E"/>
    <w:multiLevelType w:val="singleLevel"/>
    <w:tmpl w:val="E5DA6A5E"/>
    <w:lvl w:ilvl="0" w:tentative="0">
      <w:start w:val="8"/>
      <w:numFmt w:val="decimal"/>
      <w:suff w:val="nothing"/>
      <w:lvlText w:val="3.%1 "/>
      <w:lvlJc w:val="left"/>
      <w:pPr>
        <w:tabs>
          <w:tab w:val="left" w:pos="0"/>
        </w:tabs>
        <w:ind w:left="0" w:firstLine="0"/>
      </w:pPr>
      <w:rPr>
        <w:rFonts w:hint="default" w:ascii="宋体" w:hAnsi="宋体" w:eastAsia="宋体" w:cs="宋体"/>
      </w:rPr>
    </w:lvl>
  </w:abstractNum>
  <w:abstractNum w:abstractNumId="18">
    <w:nsid w:val="EF9E2025"/>
    <w:multiLevelType w:val="singleLevel"/>
    <w:tmpl w:val="EF9E2025"/>
    <w:lvl w:ilvl="0" w:tentative="0">
      <w:start w:val="2"/>
      <w:numFmt w:val="decimal"/>
      <w:suff w:val="nothing"/>
      <w:lvlText w:val="%1、"/>
      <w:lvlJc w:val="left"/>
    </w:lvl>
  </w:abstractNum>
  <w:abstractNum w:abstractNumId="19">
    <w:nsid w:val="F5BF3CB6"/>
    <w:multiLevelType w:val="singleLevel"/>
    <w:tmpl w:val="F5BF3CB6"/>
    <w:lvl w:ilvl="0" w:tentative="0">
      <w:start w:val="1"/>
      <w:numFmt w:val="decimal"/>
      <w:suff w:val="nothing"/>
      <w:lvlText w:val="2.1.%1 "/>
      <w:lvlJc w:val="left"/>
      <w:pPr>
        <w:tabs>
          <w:tab w:val="left" w:pos="0"/>
        </w:tabs>
        <w:ind w:left="0" w:firstLine="0"/>
      </w:pPr>
      <w:rPr>
        <w:rFonts w:hint="default" w:ascii="宋体" w:hAnsi="宋体" w:eastAsia="宋体" w:cs="宋体"/>
      </w:rPr>
    </w:lvl>
  </w:abstractNum>
  <w:abstractNum w:abstractNumId="20">
    <w:nsid w:val="FC42B09F"/>
    <w:multiLevelType w:val="singleLevel"/>
    <w:tmpl w:val="FC42B09F"/>
    <w:lvl w:ilvl="0" w:tentative="0">
      <w:start w:val="1"/>
      <w:numFmt w:val="decimal"/>
      <w:suff w:val="nothing"/>
      <w:lvlText w:val="%1．"/>
      <w:lvlJc w:val="left"/>
      <w:pPr>
        <w:ind w:left="0" w:firstLine="397"/>
      </w:pPr>
      <w:rPr>
        <w:rFonts w:hint="default"/>
      </w:rPr>
    </w:lvl>
  </w:abstractNum>
  <w:abstractNum w:abstractNumId="21">
    <w:nsid w:val="0BE35FD9"/>
    <w:multiLevelType w:val="singleLevel"/>
    <w:tmpl w:val="0BE35FD9"/>
    <w:lvl w:ilvl="0" w:tentative="0">
      <w:start w:val="1"/>
      <w:numFmt w:val="decimal"/>
      <w:lvlText w:val="1.%1 "/>
      <w:lvlJc w:val="left"/>
      <w:pPr>
        <w:tabs>
          <w:tab w:val="left" w:pos="0"/>
        </w:tabs>
        <w:ind w:left="0" w:firstLine="0"/>
      </w:pPr>
      <w:rPr>
        <w:rFonts w:hint="default" w:ascii="宋体" w:hAnsi="宋体" w:eastAsia="宋体" w:cs="宋体"/>
      </w:rPr>
    </w:lvl>
  </w:abstractNum>
  <w:abstractNum w:abstractNumId="22">
    <w:nsid w:val="0E5C7998"/>
    <w:multiLevelType w:val="singleLevel"/>
    <w:tmpl w:val="0E5C7998"/>
    <w:lvl w:ilvl="0" w:tentative="0">
      <w:start w:val="1"/>
      <w:numFmt w:val="decimal"/>
      <w:suff w:val="nothing"/>
      <w:lvlText w:val="%1、"/>
      <w:lvlJc w:val="left"/>
    </w:lvl>
  </w:abstractNum>
  <w:abstractNum w:abstractNumId="23">
    <w:nsid w:val="1102924A"/>
    <w:multiLevelType w:val="singleLevel"/>
    <w:tmpl w:val="1102924A"/>
    <w:lvl w:ilvl="0" w:tentative="0">
      <w:start w:val="1"/>
      <w:numFmt w:val="decimal"/>
      <w:suff w:val="nothing"/>
      <w:lvlText w:val="%1．"/>
      <w:lvlJc w:val="left"/>
      <w:pPr>
        <w:ind w:left="440" w:firstLine="400"/>
      </w:pPr>
      <w:rPr>
        <w:rFonts w:hint="default"/>
      </w:rPr>
    </w:lvl>
  </w:abstractNum>
  <w:abstractNum w:abstractNumId="24">
    <w:nsid w:val="1AA396A2"/>
    <w:multiLevelType w:val="singleLevel"/>
    <w:tmpl w:val="1AA396A2"/>
    <w:lvl w:ilvl="0" w:tentative="0">
      <w:start w:val="1"/>
      <w:numFmt w:val="decimal"/>
      <w:suff w:val="nothing"/>
      <w:lvlText w:val="%1．"/>
      <w:lvlJc w:val="left"/>
      <w:pPr>
        <w:ind w:left="0" w:firstLine="400"/>
      </w:pPr>
      <w:rPr>
        <w:rFonts w:hint="default"/>
      </w:rPr>
    </w:lvl>
  </w:abstractNum>
  <w:abstractNum w:abstractNumId="25">
    <w:nsid w:val="1F577DF3"/>
    <w:multiLevelType w:val="singleLevel"/>
    <w:tmpl w:val="1F577DF3"/>
    <w:lvl w:ilvl="0" w:tentative="0">
      <w:start w:val="1"/>
      <w:numFmt w:val="decimal"/>
      <w:lvlText w:val="*2.%1 "/>
      <w:lvlJc w:val="left"/>
      <w:pPr>
        <w:tabs>
          <w:tab w:val="left" w:pos="0"/>
        </w:tabs>
        <w:ind w:left="0" w:firstLine="0"/>
      </w:pPr>
      <w:rPr>
        <w:rFonts w:hint="default" w:ascii="宋体" w:hAnsi="宋体" w:eastAsia="宋体" w:cs="宋体"/>
      </w:rPr>
    </w:lvl>
  </w:abstractNum>
  <w:abstractNum w:abstractNumId="26">
    <w:nsid w:val="2B2A0A27"/>
    <w:multiLevelType w:val="singleLevel"/>
    <w:tmpl w:val="2B2A0A27"/>
    <w:lvl w:ilvl="0" w:tentative="0">
      <w:start w:val="1"/>
      <w:numFmt w:val="decimal"/>
      <w:suff w:val="nothing"/>
      <w:lvlText w:val="5.1.4.%1 "/>
      <w:lvlJc w:val="left"/>
      <w:pPr>
        <w:tabs>
          <w:tab w:val="left" w:pos="0"/>
        </w:tabs>
        <w:ind w:left="0" w:firstLine="0"/>
      </w:pPr>
      <w:rPr>
        <w:rFonts w:hint="default" w:ascii="宋体" w:hAnsi="宋体" w:eastAsia="宋体" w:cs="宋体"/>
      </w:rPr>
    </w:lvl>
  </w:abstractNum>
  <w:abstractNum w:abstractNumId="27">
    <w:nsid w:val="2B6AC72D"/>
    <w:multiLevelType w:val="singleLevel"/>
    <w:tmpl w:val="2B6AC72D"/>
    <w:lvl w:ilvl="0" w:tentative="0">
      <w:start w:val="1"/>
      <w:numFmt w:val="decimal"/>
      <w:suff w:val="nothing"/>
      <w:lvlText w:val="3.%1 "/>
      <w:lvlJc w:val="left"/>
      <w:pPr>
        <w:tabs>
          <w:tab w:val="left" w:pos="0"/>
        </w:tabs>
        <w:ind w:left="0" w:firstLine="0"/>
      </w:pPr>
      <w:rPr>
        <w:rFonts w:hint="default" w:ascii="宋体" w:hAnsi="宋体" w:eastAsia="宋体" w:cs="宋体"/>
      </w:rPr>
    </w:lvl>
  </w:abstractNum>
  <w:abstractNum w:abstractNumId="28">
    <w:nsid w:val="2C73C765"/>
    <w:multiLevelType w:val="singleLevel"/>
    <w:tmpl w:val="2C73C765"/>
    <w:lvl w:ilvl="0" w:tentative="0">
      <w:start w:val="1"/>
      <w:numFmt w:val="decimal"/>
      <w:suff w:val="nothing"/>
      <w:lvlText w:val="5.%1 "/>
      <w:lvlJc w:val="left"/>
      <w:pPr>
        <w:tabs>
          <w:tab w:val="left" w:pos="0"/>
        </w:tabs>
        <w:ind w:left="0" w:firstLine="0"/>
      </w:pPr>
      <w:rPr>
        <w:rFonts w:hint="default" w:ascii="宋体" w:hAnsi="宋体" w:eastAsia="宋体" w:cs="宋体"/>
      </w:rPr>
    </w:lvl>
  </w:abstractNum>
  <w:abstractNum w:abstractNumId="29">
    <w:nsid w:val="3B1C529F"/>
    <w:multiLevelType w:val="singleLevel"/>
    <w:tmpl w:val="3B1C529F"/>
    <w:lvl w:ilvl="0" w:tentative="0">
      <w:start w:val="1"/>
      <w:numFmt w:val="decimal"/>
      <w:suff w:val="nothing"/>
      <w:lvlText w:val="6.3.%1 "/>
      <w:lvlJc w:val="left"/>
      <w:pPr>
        <w:tabs>
          <w:tab w:val="left" w:pos="0"/>
        </w:tabs>
        <w:ind w:left="0" w:firstLine="0"/>
      </w:pPr>
      <w:rPr>
        <w:rFonts w:hint="default" w:ascii="宋体" w:hAnsi="宋体" w:eastAsia="宋体" w:cs="宋体"/>
      </w:rPr>
    </w:lvl>
  </w:abstractNum>
  <w:abstractNum w:abstractNumId="30">
    <w:nsid w:val="3C05B837"/>
    <w:multiLevelType w:val="singleLevel"/>
    <w:tmpl w:val="3C05B837"/>
    <w:lvl w:ilvl="0" w:tentative="0">
      <w:start w:val="1"/>
      <w:numFmt w:val="decimal"/>
      <w:suff w:val="nothing"/>
      <w:lvlText w:val="4.%1 "/>
      <w:lvlJc w:val="left"/>
      <w:pPr>
        <w:tabs>
          <w:tab w:val="left" w:pos="0"/>
        </w:tabs>
        <w:ind w:left="0" w:firstLine="0"/>
      </w:pPr>
      <w:rPr>
        <w:rFonts w:hint="default" w:ascii="宋体" w:hAnsi="宋体" w:eastAsia="宋体" w:cs="宋体"/>
      </w:rPr>
    </w:lvl>
  </w:abstractNum>
  <w:abstractNum w:abstractNumId="31">
    <w:nsid w:val="4AB74B42"/>
    <w:multiLevelType w:val="singleLevel"/>
    <w:tmpl w:val="4AB74B42"/>
    <w:lvl w:ilvl="0" w:tentative="0">
      <w:start w:val="1"/>
      <w:numFmt w:val="decimal"/>
      <w:suff w:val="nothing"/>
      <w:lvlText w:val="5.2.2.%1 "/>
      <w:lvlJc w:val="left"/>
      <w:pPr>
        <w:tabs>
          <w:tab w:val="left" w:pos="0"/>
        </w:tabs>
        <w:ind w:left="0" w:firstLine="0"/>
      </w:pPr>
      <w:rPr>
        <w:rFonts w:hint="default" w:ascii="宋体" w:hAnsi="宋体" w:eastAsia="宋体" w:cs="宋体"/>
      </w:rPr>
    </w:lvl>
  </w:abstractNum>
  <w:abstractNum w:abstractNumId="32">
    <w:nsid w:val="4BC68695"/>
    <w:multiLevelType w:val="singleLevel"/>
    <w:tmpl w:val="4BC68695"/>
    <w:lvl w:ilvl="0" w:tentative="0">
      <w:start w:val="1"/>
      <w:numFmt w:val="decimal"/>
      <w:suff w:val="nothing"/>
      <w:lvlText w:val="3.%1 "/>
      <w:lvlJc w:val="left"/>
      <w:pPr>
        <w:tabs>
          <w:tab w:val="left" w:pos="0"/>
        </w:tabs>
        <w:ind w:left="0" w:firstLine="0"/>
      </w:pPr>
      <w:rPr>
        <w:rFonts w:hint="default" w:ascii="宋体" w:hAnsi="宋体" w:eastAsia="宋体" w:cs="宋体"/>
      </w:rPr>
    </w:lvl>
  </w:abstractNum>
  <w:abstractNum w:abstractNumId="33">
    <w:nsid w:val="54D4062F"/>
    <w:multiLevelType w:val="singleLevel"/>
    <w:tmpl w:val="54D4062F"/>
    <w:lvl w:ilvl="0" w:tentative="0">
      <w:start w:val="1"/>
      <w:numFmt w:val="decimal"/>
      <w:suff w:val="nothing"/>
      <w:lvlText w:val="%1、"/>
      <w:lvlJc w:val="left"/>
    </w:lvl>
  </w:abstractNum>
  <w:abstractNum w:abstractNumId="34">
    <w:nsid w:val="5A712147"/>
    <w:multiLevelType w:val="singleLevel"/>
    <w:tmpl w:val="5A712147"/>
    <w:lvl w:ilvl="0" w:tentative="0">
      <w:start w:val="1"/>
      <w:numFmt w:val="chineseCounting"/>
      <w:suff w:val="nothing"/>
      <w:lvlText w:val="第%1部分　"/>
      <w:lvlJc w:val="left"/>
      <w:rPr>
        <w:rFonts w:hint="eastAsia"/>
      </w:rPr>
    </w:lvl>
  </w:abstractNum>
  <w:abstractNum w:abstractNumId="35">
    <w:nsid w:val="5AC02FCA"/>
    <w:multiLevelType w:val="multilevel"/>
    <w:tmpl w:val="5AC02FC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AC4A8FF"/>
    <w:multiLevelType w:val="singleLevel"/>
    <w:tmpl w:val="6AC4A8FF"/>
    <w:lvl w:ilvl="0" w:tentative="0">
      <w:start w:val="1"/>
      <w:numFmt w:val="decimal"/>
      <w:suff w:val="nothing"/>
      <w:lvlText w:val="5.2.%1 "/>
      <w:lvlJc w:val="left"/>
      <w:pPr>
        <w:tabs>
          <w:tab w:val="left" w:pos="0"/>
        </w:tabs>
        <w:ind w:left="0" w:firstLine="0"/>
      </w:pPr>
      <w:rPr>
        <w:rFonts w:hint="default" w:ascii="宋体" w:hAnsi="宋体" w:eastAsia="宋体" w:cs="宋体"/>
      </w:rPr>
    </w:lvl>
  </w:abstractNum>
  <w:abstractNum w:abstractNumId="37">
    <w:nsid w:val="6EBC8B77"/>
    <w:multiLevelType w:val="singleLevel"/>
    <w:tmpl w:val="6EBC8B77"/>
    <w:lvl w:ilvl="0" w:tentative="0">
      <w:start w:val="7"/>
      <w:numFmt w:val="decimal"/>
      <w:suff w:val="nothing"/>
      <w:lvlText w:val="*3.%1 "/>
      <w:lvlJc w:val="left"/>
      <w:pPr>
        <w:tabs>
          <w:tab w:val="left" w:pos="0"/>
        </w:tabs>
        <w:ind w:left="0" w:firstLine="0"/>
      </w:pPr>
      <w:rPr>
        <w:rFonts w:hint="default" w:ascii="宋体" w:hAnsi="宋体" w:eastAsia="宋体" w:cs="宋体"/>
      </w:rPr>
    </w:lvl>
  </w:abstractNum>
  <w:abstractNum w:abstractNumId="38">
    <w:nsid w:val="70CC9F3E"/>
    <w:multiLevelType w:val="singleLevel"/>
    <w:tmpl w:val="70CC9F3E"/>
    <w:lvl w:ilvl="0" w:tentative="0">
      <w:start w:val="1"/>
      <w:numFmt w:val="decimal"/>
      <w:suff w:val="nothing"/>
      <w:lvlText w:val="1.%1 "/>
      <w:lvlJc w:val="left"/>
      <w:pPr>
        <w:tabs>
          <w:tab w:val="left" w:pos="0"/>
        </w:tabs>
        <w:ind w:left="0" w:firstLine="0"/>
      </w:pPr>
      <w:rPr>
        <w:rFonts w:hint="default" w:ascii="宋体" w:hAnsi="宋体" w:eastAsia="宋体" w:cs="宋体"/>
      </w:rPr>
    </w:lvl>
  </w:abstractNum>
  <w:abstractNum w:abstractNumId="39">
    <w:nsid w:val="7C097FCD"/>
    <w:multiLevelType w:val="singleLevel"/>
    <w:tmpl w:val="7C097FCD"/>
    <w:lvl w:ilvl="0" w:tentative="0">
      <w:start w:val="1"/>
      <w:numFmt w:val="decimal"/>
      <w:suff w:val="nothing"/>
      <w:lvlText w:val="5.1.5.%1 "/>
      <w:lvlJc w:val="left"/>
      <w:pPr>
        <w:tabs>
          <w:tab w:val="left" w:pos="0"/>
        </w:tabs>
        <w:ind w:left="0" w:firstLine="0"/>
      </w:pPr>
      <w:rPr>
        <w:rFonts w:hint="default" w:ascii="宋体" w:hAnsi="宋体" w:eastAsia="宋体" w:cs="宋体"/>
      </w:rPr>
    </w:lvl>
  </w:abstractNum>
  <w:num w:numId="1">
    <w:abstractNumId w:val="34"/>
  </w:num>
  <w:num w:numId="2">
    <w:abstractNumId w:val="6"/>
  </w:num>
  <w:num w:numId="3">
    <w:abstractNumId w:val="21"/>
  </w:num>
  <w:num w:numId="4">
    <w:abstractNumId w:val="25"/>
  </w:num>
  <w:num w:numId="5">
    <w:abstractNumId w:val="3"/>
  </w:num>
  <w:num w:numId="6">
    <w:abstractNumId w:val="4"/>
  </w:num>
  <w:num w:numId="7">
    <w:abstractNumId w:val="14"/>
  </w:num>
  <w:num w:numId="8">
    <w:abstractNumId w:val="2"/>
  </w:num>
  <w:num w:numId="9">
    <w:abstractNumId w:val="22"/>
  </w:num>
  <w:num w:numId="10">
    <w:abstractNumId w:val="33"/>
  </w:num>
  <w:num w:numId="11">
    <w:abstractNumId w:val="16"/>
  </w:num>
  <w:num w:numId="12">
    <w:abstractNumId w:val="38"/>
  </w:num>
  <w:num w:numId="13">
    <w:abstractNumId w:val="11"/>
  </w:num>
  <w:num w:numId="14">
    <w:abstractNumId w:val="27"/>
  </w:num>
  <w:num w:numId="15">
    <w:abstractNumId w:val="30"/>
  </w:num>
  <w:num w:numId="16">
    <w:abstractNumId w:val="28"/>
  </w:num>
  <w:num w:numId="17">
    <w:abstractNumId w:val="9"/>
  </w:num>
  <w:num w:numId="18">
    <w:abstractNumId w:val="26"/>
  </w:num>
  <w:num w:numId="19">
    <w:abstractNumId w:val="39"/>
  </w:num>
  <w:num w:numId="20">
    <w:abstractNumId w:val="36"/>
  </w:num>
  <w:num w:numId="21">
    <w:abstractNumId w:val="31"/>
  </w:num>
  <w:num w:numId="22">
    <w:abstractNumId w:val="15"/>
  </w:num>
  <w:num w:numId="23">
    <w:abstractNumId w:val="29"/>
  </w:num>
  <w:num w:numId="24">
    <w:abstractNumId w:val="13"/>
  </w:num>
  <w:num w:numId="25">
    <w:abstractNumId w:val="5"/>
  </w:num>
  <w:num w:numId="26">
    <w:abstractNumId w:val="1"/>
  </w:num>
  <w:num w:numId="27">
    <w:abstractNumId w:val="12"/>
  </w:num>
  <w:num w:numId="28">
    <w:abstractNumId w:val="0"/>
  </w:num>
  <w:num w:numId="29">
    <w:abstractNumId w:val="19"/>
  </w:num>
  <w:num w:numId="30">
    <w:abstractNumId w:val="32"/>
  </w:num>
  <w:num w:numId="31">
    <w:abstractNumId w:val="37"/>
  </w:num>
  <w:num w:numId="32">
    <w:abstractNumId w:val="17"/>
  </w:num>
  <w:num w:numId="33">
    <w:abstractNumId w:val="7"/>
  </w:num>
  <w:num w:numId="34">
    <w:abstractNumId w:val="35"/>
  </w:num>
  <w:num w:numId="35">
    <w:abstractNumId w:val="10"/>
  </w:num>
  <w:num w:numId="36">
    <w:abstractNumId w:val="20"/>
  </w:num>
  <w:num w:numId="37">
    <w:abstractNumId w:val="8"/>
  </w:num>
  <w:num w:numId="38">
    <w:abstractNumId w:val="18"/>
  </w:num>
  <w:num w:numId="39">
    <w:abstractNumId w:val="23"/>
  </w:num>
  <w:num w:numId="40">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ppy">
    <w15:presenceInfo w15:providerId="WPS Office" w15:userId="3965812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E0OGMyN2I4MjFlZmJmNjU5ODE4MTdjODQ4NDM2YjkifQ=="/>
  </w:docVars>
  <w:rsids>
    <w:rsidRoot w:val="006D20F9"/>
    <w:rsid w:val="0000114F"/>
    <w:rsid w:val="00003071"/>
    <w:rsid w:val="00006A04"/>
    <w:rsid w:val="0001165B"/>
    <w:rsid w:val="00023041"/>
    <w:rsid w:val="00026B20"/>
    <w:rsid w:val="0007010B"/>
    <w:rsid w:val="00084BEE"/>
    <w:rsid w:val="000D51CC"/>
    <w:rsid w:val="000E428B"/>
    <w:rsid w:val="001559B3"/>
    <w:rsid w:val="002248CB"/>
    <w:rsid w:val="002E5C88"/>
    <w:rsid w:val="00334E3A"/>
    <w:rsid w:val="0035390C"/>
    <w:rsid w:val="003C7CB6"/>
    <w:rsid w:val="003D04AE"/>
    <w:rsid w:val="00427756"/>
    <w:rsid w:val="004511D2"/>
    <w:rsid w:val="0047626D"/>
    <w:rsid w:val="004952FF"/>
    <w:rsid w:val="004A5C3E"/>
    <w:rsid w:val="00573622"/>
    <w:rsid w:val="0061570A"/>
    <w:rsid w:val="006D20F9"/>
    <w:rsid w:val="006D7B1E"/>
    <w:rsid w:val="00717504"/>
    <w:rsid w:val="00756EBA"/>
    <w:rsid w:val="007E3D29"/>
    <w:rsid w:val="00823288"/>
    <w:rsid w:val="00840134"/>
    <w:rsid w:val="0096181D"/>
    <w:rsid w:val="0097225D"/>
    <w:rsid w:val="009B02AD"/>
    <w:rsid w:val="009C119E"/>
    <w:rsid w:val="009D05AF"/>
    <w:rsid w:val="009F409D"/>
    <w:rsid w:val="00BF0A85"/>
    <w:rsid w:val="00BF31F7"/>
    <w:rsid w:val="00C02CBD"/>
    <w:rsid w:val="00C34824"/>
    <w:rsid w:val="00C70CA6"/>
    <w:rsid w:val="00CB0A35"/>
    <w:rsid w:val="00D11F57"/>
    <w:rsid w:val="00D34188"/>
    <w:rsid w:val="00DA3251"/>
    <w:rsid w:val="00DE7C2A"/>
    <w:rsid w:val="00E20E24"/>
    <w:rsid w:val="00F025EF"/>
    <w:rsid w:val="00FF6020"/>
    <w:rsid w:val="010D43F5"/>
    <w:rsid w:val="01A22F5E"/>
    <w:rsid w:val="05A32DCA"/>
    <w:rsid w:val="07A90523"/>
    <w:rsid w:val="07D35AA7"/>
    <w:rsid w:val="085C6F7C"/>
    <w:rsid w:val="08691EC1"/>
    <w:rsid w:val="087701CC"/>
    <w:rsid w:val="089B7581"/>
    <w:rsid w:val="0BFE1FE9"/>
    <w:rsid w:val="0C5A7AB9"/>
    <w:rsid w:val="0CF40D68"/>
    <w:rsid w:val="0D386193"/>
    <w:rsid w:val="0DB54259"/>
    <w:rsid w:val="0FA37654"/>
    <w:rsid w:val="0FDD23A2"/>
    <w:rsid w:val="10F354B0"/>
    <w:rsid w:val="11197146"/>
    <w:rsid w:val="11DD7C6F"/>
    <w:rsid w:val="1222054A"/>
    <w:rsid w:val="138403CC"/>
    <w:rsid w:val="17AC02EB"/>
    <w:rsid w:val="19CC487B"/>
    <w:rsid w:val="1BD76DDB"/>
    <w:rsid w:val="1C016089"/>
    <w:rsid w:val="1CE73720"/>
    <w:rsid w:val="1D857C85"/>
    <w:rsid w:val="1DAA13AA"/>
    <w:rsid w:val="1E137DC5"/>
    <w:rsid w:val="1E1D0230"/>
    <w:rsid w:val="1F38019F"/>
    <w:rsid w:val="20104A4D"/>
    <w:rsid w:val="21096CEA"/>
    <w:rsid w:val="21190011"/>
    <w:rsid w:val="215246EB"/>
    <w:rsid w:val="21853C65"/>
    <w:rsid w:val="221D07FC"/>
    <w:rsid w:val="22CD6F6E"/>
    <w:rsid w:val="2500362B"/>
    <w:rsid w:val="25AF6935"/>
    <w:rsid w:val="282A2EFA"/>
    <w:rsid w:val="28953575"/>
    <w:rsid w:val="28E045DF"/>
    <w:rsid w:val="2D6C0D51"/>
    <w:rsid w:val="2E6B483B"/>
    <w:rsid w:val="31D010A8"/>
    <w:rsid w:val="332D17DB"/>
    <w:rsid w:val="33303C02"/>
    <w:rsid w:val="341A075A"/>
    <w:rsid w:val="34C70BF7"/>
    <w:rsid w:val="35B32950"/>
    <w:rsid w:val="362C24D2"/>
    <w:rsid w:val="370E5432"/>
    <w:rsid w:val="391F7140"/>
    <w:rsid w:val="3B1B1899"/>
    <w:rsid w:val="3C75525B"/>
    <w:rsid w:val="3CB40325"/>
    <w:rsid w:val="3D4D24FA"/>
    <w:rsid w:val="3F0062A9"/>
    <w:rsid w:val="401272A7"/>
    <w:rsid w:val="4129607E"/>
    <w:rsid w:val="41E26CB2"/>
    <w:rsid w:val="44B21147"/>
    <w:rsid w:val="45726666"/>
    <w:rsid w:val="49FF760F"/>
    <w:rsid w:val="4AA973F5"/>
    <w:rsid w:val="4AB52D8D"/>
    <w:rsid w:val="4BB33C33"/>
    <w:rsid w:val="4BB856CC"/>
    <w:rsid w:val="4DAB3F2C"/>
    <w:rsid w:val="4FD15525"/>
    <w:rsid w:val="50BB37C5"/>
    <w:rsid w:val="51781C18"/>
    <w:rsid w:val="52F93FAD"/>
    <w:rsid w:val="53D22A0C"/>
    <w:rsid w:val="54244FB7"/>
    <w:rsid w:val="584C18A2"/>
    <w:rsid w:val="587A3157"/>
    <w:rsid w:val="594E46B3"/>
    <w:rsid w:val="595F5605"/>
    <w:rsid w:val="59D10B16"/>
    <w:rsid w:val="5A961EC7"/>
    <w:rsid w:val="5C6A13BF"/>
    <w:rsid w:val="5C9B55B0"/>
    <w:rsid w:val="5CCC1161"/>
    <w:rsid w:val="5E49617C"/>
    <w:rsid w:val="5E8D1D22"/>
    <w:rsid w:val="5F531564"/>
    <w:rsid w:val="60BB3199"/>
    <w:rsid w:val="62F53B9C"/>
    <w:rsid w:val="66052B07"/>
    <w:rsid w:val="684804C7"/>
    <w:rsid w:val="687436E1"/>
    <w:rsid w:val="68A166DE"/>
    <w:rsid w:val="69134737"/>
    <w:rsid w:val="6CC436FB"/>
    <w:rsid w:val="6F313A8A"/>
    <w:rsid w:val="6F6E361F"/>
    <w:rsid w:val="7158547D"/>
    <w:rsid w:val="73565C82"/>
    <w:rsid w:val="73C04351"/>
    <w:rsid w:val="740753A4"/>
    <w:rsid w:val="776821F4"/>
    <w:rsid w:val="788144FB"/>
    <w:rsid w:val="792725EF"/>
    <w:rsid w:val="79D1617C"/>
    <w:rsid w:val="7A1E7F56"/>
    <w:rsid w:val="7ABC0FCF"/>
    <w:rsid w:val="7ACF5DF6"/>
    <w:rsid w:val="7DB65948"/>
    <w:rsid w:val="7EF403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3">
    <w:name w:val="heading 1"/>
    <w:basedOn w:val="1"/>
    <w:next w:val="1"/>
    <w:qFormat/>
    <w:uiPriority w:val="0"/>
    <w:pPr>
      <w:keepNext/>
      <w:keepLines/>
      <w:spacing w:line="578" w:lineRule="atLeast"/>
      <w:outlineLvl w:val="0"/>
    </w:pPr>
    <w:rPr>
      <w:b/>
      <w:kern w:val="44"/>
      <w:sz w:val="44"/>
    </w:rPr>
  </w:style>
  <w:style w:type="paragraph" w:styleId="4">
    <w:name w:val="heading 2"/>
    <w:basedOn w:val="1"/>
    <w:next w:val="5"/>
    <w:qFormat/>
    <w:uiPriority w:val="0"/>
    <w:pPr>
      <w:keepNext/>
      <w:keepLines/>
      <w:autoSpaceDE/>
      <w:autoSpaceDN/>
      <w:spacing w:line="416" w:lineRule="atLeast"/>
      <w:jc w:val="left"/>
      <w:outlineLvl w:val="1"/>
    </w:pPr>
    <w:rPr>
      <w:rFonts w:ascii="Arial" w:hAnsi="Arial" w:eastAsia="黑体"/>
      <w:b/>
      <w:spacing w:val="10"/>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autoSpaceDE/>
      <w:autoSpaceDN/>
      <w:adjustRightInd/>
      <w:spacing w:line="240" w:lineRule="auto"/>
      <w:textAlignment w:val="auto"/>
    </w:pPr>
    <w:rPr>
      <w:rFonts w:ascii="宋体" w:hAnsi="Courier New"/>
      <w:kern w:val="2"/>
    </w:rPr>
  </w:style>
  <w:style w:type="paragraph" w:styleId="5">
    <w:name w:val="Normal Indent"/>
    <w:basedOn w:val="1"/>
    <w:qFormat/>
    <w:uiPriority w:val="0"/>
    <w:pPr>
      <w:ind w:firstLine="420"/>
    </w:pPr>
  </w:style>
  <w:style w:type="paragraph" w:styleId="6">
    <w:name w:val="annotation text"/>
    <w:basedOn w:val="1"/>
    <w:qFormat/>
    <w:uiPriority w:val="0"/>
    <w:pPr>
      <w:jc w:val="left"/>
    </w:pPr>
  </w:style>
  <w:style w:type="paragraph" w:styleId="7">
    <w:name w:val="Body Text Indent"/>
    <w:basedOn w:val="1"/>
    <w:link w:val="21"/>
    <w:qFormat/>
    <w:uiPriority w:val="0"/>
    <w:pPr>
      <w:spacing w:after="120"/>
      <w:ind w:left="420" w:leftChars="200"/>
    </w:pPr>
  </w:style>
  <w:style w:type="paragraph" w:styleId="8">
    <w:name w:val="Balloon Text"/>
    <w:basedOn w:val="1"/>
    <w:link w:val="23"/>
    <w:qFormat/>
    <w:uiPriority w:val="0"/>
    <w:pPr>
      <w:spacing w:line="240" w:lineRule="auto"/>
    </w:pPr>
    <w:rPr>
      <w:sz w:val="18"/>
      <w:szCs w:val="18"/>
    </w:rPr>
  </w:style>
  <w:style w:type="paragraph" w:styleId="9">
    <w:name w:val="footer"/>
    <w:basedOn w:val="1"/>
    <w:qFormat/>
    <w:uiPriority w:val="0"/>
    <w:pPr>
      <w:tabs>
        <w:tab w:val="center" w:pos="4153"/>
        <w:tab w:val="right" w:pos="8306"/>
      </w:tabs>
      <w:spacing w:line="240" w:lineRule="atLeast"/>
      <w:jc w:val="left"/>
    </w:pPr>
    <w:rPr>
      <w:sz w:val="18"/>
    </w:rPr>
  </w:style>
  <w:style w:type="paragraph" w:styleId="10">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11">
    <w:name w:val="Normal (Web)"/>
    <w:basedOn w:val="1"/>
    <w:qFormat/>
    <w:uiPriority w:val="99"/>
    <w:pPr>
      <w:spacing w:before="100" w:beforeAutospacing="1" w:after="100" w:afterAutospacing="1"/>
      <w:jc w:val="left"/>
    </w:pPr>
    <w:rPr>
      <w:sz w:val="24"/>
    </w:rPr>
  </w:style>
  <w:style w:type="paragraph" w:styleId="12">
    <w:name w:val="Body Text First Indent 2"/>
    <w:basedOn w:val="7"/>
    <w:next w:val="1"/>
    <w:link w:val="22"/>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annotation reference"/>
    <w:basedOn w:val="15"/>
    <w:qFormat/>
    <w:uiPriority w:val="0"/>
    <w:rPr>
      <w:sz w:val="21"/>
      <w:szCs w:val="21"/>
    </w:rPr>
  </w:style>
  <w:style w:type="paragraph" w:customStyle="1" w:styleId="17">
    <w:name w:val="标题 2 居中"/>
    <w:basedOn w:val="4"/>
    <w:qFormat/>
    <w:uiPriority w:val="0"/>
    <w:pPr>
      <w:jc w:val="center"/>
    </w:pPr>
    <w:rPr>
      <w:rFonts w:ascii="宋体" w:hAnsi="宋体"/>
    </w:rPr>
  </w:style>
  <w:style w:type="paragraph" w:customStyle="1" w:styleId="18">
    <w:name w:val="样式3"/>
    <w:basedOn w:val="2"/>
    <w:qFormat/>
    <w:uiPriority w:val="0"/>
    <w:pPr>
      <w:spacing w:line="0" w:lineRule="atLeast"/>
      <w:outlineLvl w:val="0"/>
    </w:pPr>
    <w:rPr>
      <w:sz w:val="28"/>
    </w:rPr>
  </w:style>
  <w:style w:type="character" w:customStyle="1" w:styleId="19">
    <w:name w:val="font11"/>
    <w:basedOn w:val="15"/>
    <w:qFormat/>
    <w:uiPriority w:val="0"/>
    <w:rPr>
      <w:rFonts w:hint="eastAsia" w:ascii="宋体" w:hAnsi="宋体" w:eastAsia="宋体" w:cs="宋体"/>
      <w:color w:val="000000"/>
      <w:sz w:val="21"/>
      <w:szCs w:val="21"/>
      <w:u w:val="none"/>
    </w:rPr>
  </w:style>
  <w:style w:type="paragraph" w:styleId="20">
    <w:name w:val="List Paragraph"/>
    <w:basedOn w:val="1"/>
    <w:unhideWhenUsed/>
    <w:qFormat/>
    <w:uiPriority w:val="99"/>
    <w:pPr>
      <w:ind w:firstLine="420" w:firstLineChars="200"/>
    </w:pPr>
  </w:style>
  <w:style w:type="character" w:customStyle="1" w:styleId="21">
    <w:name w:val="正文文本缩进 Char"/>
    <w:basedOn w:val="15"/>
    <w:link w:val="7"/>
    <w:qFormat/>
    <w:uiPriority w:val="0"/>
    <w:rPr>
      <w:sz w:val="21"/>
    </w:rPr>
  </w:style>
  <w:style w:type="character" w:customStyle="1" w:styleId="22">
    <w:name w:val="正文首行缩进 2 Char"/>
    <w:basedOn w:val="21"/>
    <w:link w:val="12"/>
    <w:qFormat/>
    <w:uiPriority w:val="0"/>
  </w:style>
  <w:style w:type="character" w:customStyle="1" w:styleId="23">
    <w:name w:val="批注框文本 Char"/>
    <w:basedOn w:val="15"/>
    <w:link w:val="8"/>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5"/>
    <customShpInfo spid="_x0000_s3074"/>
    <customShpInfo spid="_x0000_s1026"/>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13185</Words>
  <Characters>14052</Characters>
  <Lines>111</Lines>
  <Paragraphs>31</Paragraphs>
  <TotalTime>17</TotalTime>
  <ScaleCrop>false</ScaleCrop>
  <LinksUpToDate>false</LinksUpToDate>
  <CharactersWithSpaces>14677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2020-03-17T05:50:00Z</dcterms:created>
  <dc:creator>Administrator</dc:creator>
  <cp:lastModifiedBy>Happy</cp:lastModifiedBy>
  <dcterms:modified xsi:type="dcterms:W3CDTF">2023-12-07T07:28:15Z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AE31A21E4D77479BBD70D9FBD21694A1_13</vt:lpwstr>
  </property>
</Properties>
</file>