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spacing w:line="400" w:lineRule="atLeast"/>
        <w:jc w:val="center"/>
        <w:rPr>
          <w:rFonts w:ascii="新宋体" w:hAnsi="新宋体" w:eastAsia="新宋体" w:cs="新宋体"/>
          <w:b/>
          <w:sz w:val="44"/>
          <w:szCs w:val="44"/>
        </w:rPr>
      </w:pPr>
      <w:r>
        <w:rPr>
          <w:rFonts w:hint="eastAsia" w:ascii="新宋体" w:hAnsi="新宋体" w:eastAsia="新宋体" w:cs="新宋体"/>
          <w:b/>
          <w:sz w:val="44"/>
          <w:szCs w:val="44"/>
        </w:rPr>
        <w:t>厦门海发环保能源股份有限公司</w:t>
      </w:r>
    </w:p>
    <w:p>
      <w:pPr>
        <w:kinsoku w:val="0"/>
        <w:overflowPunct w:val="0"/>
        <w:spacing w:line="400" w:lineRule="atLeast"/>
        <w:jc w:val="center"/>
        <w:rPr>
          <w:rFonts w:ascii="新宋体" w:hAnsi="新宋体" w:eastAsia="新宋体" w:cs="新宋体"/>
          <w:b/>
          <w:sz w:val="44"/>
          <w:szCs w:val="44"/>
        </w:rPr>
      </w:pPr>
    </w:p>
    <w:p>
      <w:pPr>
        <w:kinsoku w:val="0"/>
        <w:overflowPunct w:val="0"/>
        <w:spacing w:line="400" w:lineRule="atLeast"/>
        <w:jc w:val="center"/>
        <w:rPr>
          <w:rFonts w:ascii="新宋体" w:hAnsi="新宋体" w:eastAsia="新宋体" w:cs="新宋体"/>
          <w:b/>
          <w:sz w:val="44"/>
          <w:szCs w:val="44"/>
        </w:rPr>
      </w:pPr>
      <w:r>
        <w:rPr>
          <w:rFonts w:hint="eastAsia" w:ascii="新宋体" w:hAnsi="新宋体" w:eastAsia="新宋体" w:cs="新宋体"/>
          <w:b/>
          <w:sz w:val="44"/>
          <w:szCs w:val="44"/>
        </w:rPr>
        <w:t>新阳热电事业部</w:t>
      </w:r>
    </w:p>
    <w:p>
      <w:pPr>
        <w:pStyle w:val="5"/>
      </w:pPr>
    </w:p>
    <w:p>
      <w:pPr>
        <w:kinsoku w:val="0"/>
        <w:overflowPunct w:val="0"/>
        <w:spacing w:line="400" w:lineRule="atLeast"/>
        <w:jc w:val="center"/>
        <w:rPr>
          <w:rFonts w:ascii="新宋体" w:hAnsi="新宋体" w:eastAsia="新宋体" w:cs="新宋体"/>
          <w:b/>
          <w:sz w:val="44"/>
          <w:szCs w:val="44"/>
        </w:rPr>
      </w:pPr>
    </w:p>
    <w:p>
      <w:pPr>
        <w:kinsoku w:val="0"/>
        <w:overflowPunct w:val="0"/>
        <w:spacing w:line="400" w:lineRule="atLeast"/>
        <w:jc w:val="center"/>
        <w:rPr>
          <w:rFonts w:ascii="新宋体" w:hAnsi="新宋体" w:eastAsia="新宋体" w:cs="新宋体"/>
          <w:b/>
          <w:sz w:val="44"/>
          <w:szCs w:val="44"/>
        </w:rPr>
      </w:pPr>
      <w:r>
        <w:rPr>
          <w:rFonts w:hint="eastAsia" w:ascii="新宋体" w:hAnsi="新宋体" w:eastAsia="新宋体" w:cs="新宋体"/>
          <w:b/>
          <w:sz w:val="44"/>
          <w:szCs w:val="44"/>
        </w:rPr>
        <w:t>一体式</w:t>
      </w:r>
      <w:r>
        <w:rPr>
          <w:rFonts w:ascii="新宋体" w:hAnsi="新宋体" w:eastAsia="新宋体" w:cs="新宋体"/>
          <w:b/>
          <w:sz w:val="44"/>
          <w:szCs w:val="44"/>
        </w:rPr>
        <w:t>氧化锆分析仪</w:t>
      </w:r>
      <w:r>
        <w:rPr>
          <w:rFonts w:hint="eastAsia" w:ascii="新宋体" w:hAnsi="新宋体" w:eastAsia="新宋体" w:cs="新宋体"/>
          <w:b/>
          <w:sz w:val="44"/>
          <w:szCs w:val="44"/>
        </w:rPr>
        <w:t>备件询价采购文件</w:t>
      </w:r>
    </w:p>
    <w:p>
      <w:pPr>
        <w:kinsoku w:val="0"/>
        <w:overflowPunct w:val="0"/>
        <w:spacing w:line="400" w:lineRule="atLeast"/>
        <w:jc w:val="center"/>
        <w:rPr>
          <w:rFonts w:eastAsia="文鼎粗行楷体简"/>
          <w:b/>
          <w:sz w:val="32"/>
        </w:rPr>
      </w:pPr>
    </w:p>
    <w:p>
      <w:pPr>
        <w:kinsoku w:val="0"/>
        <w:overflowPunct w:val="0"/>
        <w:spacing w:line="400" w:lineRule="atLeast"/>
        <w:jc w:val="center"/>
        <w:rPr>
          <w:rFonts w:eastAsia="文鼎粗行楷体简"/>
          <w:b/>
          <w:sz w:val="32"/>
        </w:rPr>
      </w:pPr>
    </w:p>
    <w:p>
      <w:pPr>
        <w:kinsoku w:val="0"/>
        <w:overflowPunct w:val="0"/>
        <w:spacing w:line="400" w:lineRule="atLeast"/>
        <w:jc w:val="center"/>
        <w:rPr>
          <w:rFonts w:hint="default" w:ascii="宋体" w:hAnsi="宋体" w:cs="宋体" w:eastAsiaTheme="minorEastAsia"/>
          <w:b/>
          <w:sz w:val="32"/>
          <w:lang w:val="en-US" w:eastAsia="zh-CN"/>
        </w:rPr>
      </w:pPr>
      <w:r>
        <w:rPr>
          <w:rFonts w:hint="eastAsia" w:ascii="宋体" w:hAnsi="宋体" w:cs="宋体"/>
          <w:sz w:val="32"/>
          <w:szCs w:val="32"/>
        </w:rPr>
        <w:t>项目编号：HFHN-XY2021-</w:t>
      </w:r>
      <w:r>
        <w:rPr>
          <w:rFonts w:hint="eastAsia" w:ascii="宋体" w:hAnsi="宋体" w:cs="宋体"/>
          <w:sz w:val="32"/>
          <w:szCs w:val="32"/>
          <w:lang w:val="en-US" w:eastAsia="zh-CN"/>
        </w:rPr>
        <w:t>015</w:t>
      </w:r>
    </w:p>
    <w:p>
      <w:pPr>
        <w:kinsoku w:val="0"/>
        <w:overflowPunct w:val="0"/>
        <w:spacing w:line="400" w:lineRule="atLeast"/>
        <w:ind w:firstLine="2249" w:firstLineChars="700"/>
        <w:rPr>
          <w:b/>
          <w:sz w:val="32"/>
        </w:rPr>
      </w:pPr>
    </w:p>
    <w:p>
      <w:pPr>
        <w:tabs>
          <w:tab w:val="left" w:pos="6902"/>
        </w:tabs>
        <w:kinsoku w:val="0"/>
        <w:overflowPunct w:val="0"/>
        <w:spacing w:line="400" w:lineRule="atLeast"/>
        <w:jc w:val="center"/>
        <w:rPr>
          <w:b/>
          <w:sz w:val="32"/>
        </w:rPr>
      </w:pPr>
    </w:p>
    <w:p>
      <w:pPr>
        <w:tabs>
          <w:tab w:val="left" w:pos="6902"/>
        </w:tabs>
        <w:kinsoku w:val="0"/>
        <w:overflowPunct w:val="0"/>
        <w:spacing w:line="400" w:lineRule="atLeast"/>
        <w:jc w:val="center"/>
        <w:rPr>
          <w:b/>
          <w:sz w:val="32"/>
        </w:rPr>
      </w:pPr>
    </w:p>
    <w:p>
      <w:pPr>
        <w:tabs>
          <w:tab w:val="left" w:pos="6902"/>
        </w:tabs>
        <w:kinsoku w:val="0"/>
        <w:overflowPunct w:val="0"/>
        <w:spacing w:line="400" w:lineRule="atLeast"/>
        <w:jc w:val="center"/>
        <w:rPr>
          <w:b/>
          <w:sz w:val="32"/>
        </w:rPr>
      </w:pPr>
    </w:p>
    <w:p>
      <w:pPr>
        <w:pStyle w:val="5"/>
        <w:rPr>
          <w:b/>
          <w:sz w:val="32"/>
        </w:rPr>
      </w:pPr>
    </w:p>
    <w:p>
      <w:pPr>
        <w:pStyle w:val="5"/>
        <w:rPr>
          <w:b/>
          <w:sz w:val="32"/>
        </w:rPr>
      </w:pPr>
    </w:p>
    <w:p>
      <w:pPr>
        <w:pStyle w:val="5"/>
        <w:rPr>
          <w:b/>
          <w:sz w:val="32"/>
        </w:rPr>
      </w:pPr>
    </w:p>
    <w:p>
      <w:pPr>
        <w:pStyle w:val="5"/>
        <w:rPr>
          <w:b/>
          <w:sz w:val="32"/>
        </w:rPr>
      </w:pPr>
    </w:p>
    <w:p>
      <w:pPr>
        <w:kinsoku w:val="0"/>
        <w:overflowPunct w:val="0"/>
        <w:spacing w:line="620" w:lineRule="atLeast"/>
        <w:jc w:val="center"/>
        <w:rPr>
          <w:rFonts w:ascii="宋体" w:hAnsi="宋体" w:cs="宋体"/>
          <w:b/>
          <w:bCs/>
          <w:sz w:val="35"/>
          <w:szCs w:val="35"/>
        </w:rPr>
      </w:pPr>
      <w:r>
        <w:rPr>
          <w:rFonts w:hint="eastAsia" w:ascii="宋体" w:hAnsi="宋体" w:cs="宋体"/>
          <w:b/>
          <w:bCs/>
          <w:sz w:val="35"/>
          <w:szCs w:val="35"/>
        </w:rPr>
        <w:t>厦门海发环保能源股份有限公司</w:t>
      </w:r>
    </w:p>
    <w:p>
      <w:pPr>
        <w:kinsoku w:val="0"/>
        <w:overflowPunct w:val="0"/>
        <w:spacing w:line="620" w:lineRule="atLeast"/>
        <w:jc w:val="center"/>
        <w:rPr>
          <w:rFonts w:ascii="宋体" w:hAnsi="宋体" w:cs="宋体"/>
          <w:b/>
          <w:bCs/>
          <w:sz w:val="35"/>
          <w:szCs w:val="35"/>
        </w:rPr>
      </w:pPr>
      <w:r>
        <w:rPr>
          <w:rFonts w:hint="eastAsia" w:ascii="宋体" w:hAnsi="宋体" w:cs="宋体"/>
          <w:b/>
          <w:bCs/>
          <w:sz w:val="35"/>
          <w:szCs w:val="35"/>
        </w:rPr>
        <w:t>2021年05月</w:t>
      </w:r>
    </w:p>
    <w:p>
      <w:pPr>
        <w:pStyle w:val="5"/>
        <w:rPr>
          <w:rFonts w:hAnsi="宋体" w:cs="宋体"/>
          <w:b/>
          <w:bCs/>
          <w:sz w:val="35"/>
          <w:szCs w:val="35"/>
        </w:rPr>
      </w:pPr>
    </w:p>
    <w:p>
      <w:pPr>
        <w:pStyle w:val="5"/>
        <w:rPr>
          <w:rFonts w:hAnsi="宋体" w:cs="宋体"/>
          <w:b/>
          <w:bCs/>
          <w:sz w:val="35"/>
          <w:szCs w:val="35"/>
        </w:rPr>
      </w:pPr>
    </w:p>
    <w:p>
      <w:pPr>
        <w:pStyle w:val="5"/>
        <w:rPr>
          <w:rFonts w:hAnsi="宋体" w:cs="宋体"/>
          <w:b/>
          <w:bCs/>
          <w:sz w:val="35"/>
          <w:szCs w:val="35"/>
        </w:rPr>
      </w:pPr>
    </w:p>
    <w:p>
      <w:pPr>
        <w:pStyle w:val="5"/>
        <w:rPr>
          <w:rFonts w:hAnsi="宋体" w:cs="宋体"/>
          <w:b/>
          <w:bCs/>
          <w:sz w:val="35"/>
          <w:szCs w:val="35"/>
        </w:rPr>
      </w:pPr>
    </w:p>
    <w:p>
      <w:pPr>
        <w:pStyle w:val="2"/>
        <w:keepNext w:val="0"/>
        <w:keepLines w:val="0"/>
        <w:kinsoku w:val="0"/>
        <w:overflowPunct w:val="0"/>
        <w:autoSpaceDE w:val="0"/>
        <w:autoSpaceDN w:val="0"/>
        <w:spacing w:before="0" w:after="0" w:line="400" w:lineRule="atLeast"/>
        <w:jc w:val="center"/>
        <w:rPr>
          <w:rFonts w:ascii="宋体" w:hAnsi="宋体" w:eastAsia="宋体"/>
          <w:bCs/>
          <w:sz w:val="28"/>
          <w:szCs w:val="28"/>
        </w:rPr>
        <w:sectPr>
          <w:pgSz w:w="11906" w:h="16838"/>
          <w:pgMar w:top="1440" w:right="1406" w:bottom="1440" w:left="1463" w:header="851" w:footer="992" w:gutter="0"/>
          <w:pgNumType w:start="1"/>
          <w:cols w:space="425" w:num="1"/>
          <w:docGrid w:type="lines" w:linePitch="312" w:charSpace="0"/>
        </w:sectPr>
      </w:pPr>
      <w:bookmarkStart w:id="0" w:name="_Toc4629_WPSOffice_Level1"/>
      <w:bookmarkStart w:id="1" w:name="_Toc21029_WPSOffice_Level1"/>
      <w:bookmarkStart w:id="2" w:name="_Toc15109_WPSOffice_Level1"/>
      <w:bookmarkStart w:id="3" w:name="_Toc4413_WPSOffice_Level1"/>
      <w:bookmarkStart w:id="4" w:name="_Toc8263_WPSOffice_Level1"/>
      <w:bookmarkStart w:id="5" w:name="_Toc15524"/>
    </w:p>
    <w:p>
      <w:pPr>
        <w:pStyle w:val="2"/>
        <w:keepNext w:val="0"/>
        <w:keepLines w:val="0"/>
        <w:kinsoku w:val="0"/>
        <w:overflowPunct w:val="0"/>
        <w:autoSpaceDE w:val="0"/>
        <w:autoSpaceDN w:val="0"/>
        <w:spacing w:before="0" w:after="0" w:line="400" w:lineRule="atLeast"/>
        <w:jc w:val="center"/>
        <w:rPr>
          <w:rFonts w:ascii="宋体" w:hAnsi="宋体" w:eastAsia="宋体"/>
          <w:bCs/>
          <w:sz w:val="28"/>
          <w:szCs w:val="28"/>
        </w:rPr>
      </w:pPr>
      <w:r>
        <w:rPr>
          <w:rFonts w:hint="eastAsia" w:ascii="宋体" w:hAnsi="宋体" w:eastAsia="宋体"/>
          <w:bCs/>
          <w:sz w:val="28"/>
          <w:szCs w:val="28"/>
        </w:rPr>
        <w:t xml:space="preserve">第一部分 </w:t>
      </w:r>
      <w:bookmarkEnd w:id="0"/>
      <w:bookmarkEnd w:id="1"/>
      <w:bookmarkEnd w:id="2"/>
      <w:bookmarkEnd w:id="3"/>
      <w:bookmarkEnd w:id="4"/>
      <w:r>
        <w:rPr>
          <w:rFonts w:hint="eastAsia" w:ascii="宋体" w:hAnsi="宋体" w:eastAsia="宋体"/>
          <w:bCs/>
          <w:sz w:val="28"/>
          <w:szCs w:val="28"/>
        </w:rPr>
        <w:t>询价邀请书</w:t>
      </w:r>
      <w:bookmarkEnd w:id="5"/>
    </w:p>
    <w:p>
      <w:pPr>
        <w:pStyle w:val="2"/>
        <w:keepNext w:val="0"/>
        <w:keepLines w:val="0"/>
        <w:kinsoku w:val="0"/>
        <w:overflowPunct w:val="0"/>
        <w:autoSpaceDE w:val="0"/>
        <w:autoSpaceDN w:val="0"/>
        <w:adjustRightInd w:val="0"/>
        <w:spacing w:before="0" w:after="0" w:line="400" w:lineRule="atLeast"/>
        <w:ind w:right="210" w:rightChars="100" w:firstLine="520" w:firstLineChars="200"/>
        <w:rPr>
          <w:rFonts w:ascii="宋体" w:hAnsi="宋体" w:eastAsia="宋体" w:cs="Times New Roman"/>
          <w:b w:val="0"/>
          <w:bCs/>
          <w:kern w:val="0"/>
          <w:sz w:val="24"/>
          <w:szCs w:val="24"/>
        </w:rPr>
      </w:pPr>
      <w:r>
        <w:rPr>
          <w:rFonts w:hint="eastAsia" w:ascii="宋体" w:hAnsi="宋体" w:eastAsia="宋体" w:cs="Times New Roman"/>
          <w:b w:val="0"/>
          <w:bCs/>
          <w:kern w:val="0"/>
          <w:sz w:val="24"/>
          <w:szCs w:val="24"/>
        </w:rPr>
        <w:t>厦门海发环保能源股份有限公司对新阳热电事业部</w:t>
      </w:r>
      <w:r>
        <w:rPr>
          <w:rFonts w:hint="eastAsia" w:ascii="宋体" w:hAnsi="宋体" w:eastAsia="宋体" w:cs="Times New Roman"/>
          <w:b w:val="0"/>
          <w:bCs/>
          <w:kern w:val="0"/>
          <w:sz w:val="24"/>
          <w:szCs w:val="24"/>
          <w:u w:val="single"/>
        </w:rPr>
        <w:t>一体式氧化锆分析仪备件采购</w:t>
      </w:r>
      <w:r>
        <w:rPr>
          <w:rFonts w:hint="eastAsia" w:ascii="宋体" w:hAnsi="宋体" w:eastAsia="宋体" w:cs="Times New Roman"/>
          <w:b w:val="0"/>
          <w:bCs/>
          <w:kern w:val="0"/>
          <w:sz w:val="24"/>
          <w:szCs w:val="24"/>
        </w:rPr>
        <w:t>项目进行公开询价，邀请具备长期供应能力的供应商参与本采购项目报价。具体采购项目及要求如下：</w:t>
      </w:r>
    </w:p>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bookmarkStart w:id="6" w:name="_Toc13536_WPSOffice_Level2"/>
      <w:bookmarkStart w:id="7" w:name="_Toc24068_WPSOffice_Level2"/>
      <w:bookmarkStart w:id="8" w:name="_Toc8748_WPSOffice_Level2"/>
      <w:bookmarkStart w:id="9" w:name="_Toc30742_WPSOffice_Level2"/>
      <w:r>
        <w:rPr>
          <w:rFonts w:hint="eastAsia" w:ascii="宋体" w:hAnsi="宋体" w:eastAsia="宋体"/>
          <w:bCs/>
          <w:sz w:val="24"/>
          <w:szCs w:val="24"/>
        </w:rPr>
        <w:t>项目概况</w:t>
      </w:r>
      <w:bookmarkEnd w:id="6"/>
      <w:bookmarkEnd w:id="7"/>
      <w:bookmarkEnd w:id="8"/>
      <w:bookmarkEnd w:id="9"/>
    </w:p>
    <w:p>
      <w:pPr>
        <w:pStyle w:val="2"/>
        <w:keepNext w:val="0"/>
        <w:keepLines w:val="0"/>
        <w:numPr>
          <w:ilvl w:val="0"/>
          <w:numId w:val="2"/>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项目名称：一体式氧化锆分析仪备件采购</w:t>
      </w:r>
    </w:p>
    <w:p>
      <w:pPr>
        <w:pStyle w:val="2"/>
        <w:keepNext w:val="0"/>
        <w:keepLines w:val="0"/>
        <w:numPr>
          <w:ilvl w:val="0"/>
          <w:numId w:val="2"/>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项目地点：厦门海发环保能源股份有限公司新阳热电厂区</w:t>
      </w:r>
    </w:p>
    <w:p>
      <w:pPr>
        <w:pStyle w:val="2"/>
        <w:keepNext w:val="0"/>
        <w:keepLines w:val="0"/>
        <w:numPr>
          <w:ilvl w:val="0"/>
          <w:numId w:val="2"/>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 xml:space="preserve">资金来源：国有企业自筹资金    </w:t>
      </w:r>
    </w:p>
    <w:p>
      <w:pPr>
        <w:pStyle w:val="2"/>
        <w:keepNext w:val="0"/>
        <w:keepLines w:val="0"/>
        <w:numPr>
          <w:ilvl w:val="0"/>
          <w:numId w:val="2"/>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供货周期：合同签订生效后30日(涉及非标件另行商议)</w:t>
      </w:r>
    </w:p>
    <w:p>
      <w:pPr>
        <w:pStyle w:val="2"/>
        <w:keepNext w:val="0"/>
        <w:keepLines w:val="0"/>
        <w:numPr>
          <w:ilvl w:val="0"/>
          <w:numId w:val="2"/>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 xml:space="preserve">采购内容：见供货清单一览表     </w:t>
      </w:r>
    </w:p>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报价方资格要求</w:t>
      </w:r>
    </w:p>
    <w:p>
      <w:pPr>
        <w:pStyle w:val="2"/>
        <w:keepNext w:val="0"/>
        <w:keepLines w:val="0"/>
        <w:numPr>
          <w:ilvl w:val="0"/>
          <w:numId w:val="3"/>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中华人民共和国境内注册的独立法人企业，提供有效期内的营业执照复印件并加盖公章。</w:t>
      </w:r>
    </w:p>
    <w:p>
      <w:pPr>
        <w:pStyle w:val="2"/>
        <w:keepNext w:val="0"/>
        <w:keepLines w:val="0"/>
        <w:numPr>
          <w:ilvl w:val="0"/>
          <w:numId w:val="3"/>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报价方必须提供法定代表人身份证明书，若非企业法定代表人签字报价还需提交法人授权委托书。</w:t>
      </w:r>
    </w:p>
    <w:p>
      <w:pPr>
        <w:pStyle w:val="2"/>
        <w:keepNext w:val="0"/>
        <w:keepLines w:val="0"/>
        <w:numPr>
          <w:ilvl w:val="0"/>
          <w:numId w:val="3"/>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报价方是计划品牌范围制造商，提供相关制造许可证明材料，代理商提供代理授权书，原与我司合作过的供应商提供1份相关加盖公章的合同，未合作过的供应商提供自2018年起3个以上不同热电厂或火力发电厂供货合同业绩。证明材料为复印件加盖报价方公章。</w:t>
      </w:r>
    </w:p>
    <w:p>
      <w:pPr>
        <w:pStyle w:val="2"/>
        <w:keepNext w:val="0"/>
        <w:keepLines w:val="0"/>
        <w:numPr>
          <w:ilvl w:val="0"/>
          <w:numId w:val="3"/>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报价方为计划品牌同质及以上制造商，提供相关制造许可证明材料，代理商提供代理授权书，并提供自2018年起5个以上不同热电厂或火力发电厂一体式氧化锆分析仪供货合同业绩，证明材料为复印件加盖报价方公章。</w:t>
      </w:r>
    </w:p>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bookmarkStart w:id="10" w:name="_Toc8150_WPSOffice_Level2"/>
      <w:bookmarkStart w:id="11" w:name="_Toc12893_WPSOffice_Level2"/>
      <w:bookmarkStart w:id="12" w:name="_Toc14515_WPSOffice_Level2"/>
      <w:bookmarkStart w:id="13" w:name="_Toc17676_WPSOffice_Level2"/>
      <w:bookmarkStart w:id="14" w:name="_Toc15058_WPSOffice_Level2"/>
      <w:r>
        <w:rPr>
          <w:rFonts w:hint="eastAsia" w:ascii="宋体" w:hAnsi="宋体" w:eastAsia="宋体"/>
          <w:bCs/>
          <w:sz w:val="24"/>
          <w:szCs w:val="24"/>
        </w:rPr>
        <w:t>报价截止时间</w:t>
      </w:r>
      <w:bookmarkEnd w:id="10"/>
      <w:bookmarkEnd w:id="11"/>
      <w:bookmarkEnd w:id="12"/>
      <w:bookmarkEnd w:id="13"/>
    </w:p>
    <w:bookmarkEnd w:id="14"/>
    <w:p>
      <w:pPr>
        <w:pStyle w:val="2"/>
        <w:keepNext w:val="0"/>
        <w:keepLines w:val="0"/>
        <w:numPr>
          <w:ilvl w:val="0"/>
          <w:numId w:val="4"/>
        </w:numPr>
        <w:kinsoku w:val="0"/>
        <w:overflowPunct w:val="0"/>
        <w:autoSpaceDE w:val="0"/>
        <w:autoSpaceDN w:val="0"/>
        <w:spacing w:before="0" w:after="0" w:line="400" w:lineRule="atLeast"/>
        <w:ind w:right="210" w:rightChars="100"/>
        <w:jc w:val="both"/>
        <w:rPr>
          <w:rFonts w:ascii="宋体" w:hAnsi="宋体" w:eastAsia="宋体"/>
          <w:b w:val="0"/>
          <w:sz w:val="24"/>
          <w:szCs w:val="24"/>
        </w:rPr>
      </w:pPr>
      <w:bookmarkStart w:id="15" w:name="_Toc11619_WPSOffice_Level2"/>
      <w:bookmarkStart w:id="16" w:name="_Toc14762_WPSOffice_Level2"/>
      <w:bookmarkStart w:id="17" w:name="_Toc14062_WPSOffice_Level2"/>
      <w:bookmarkStart w:id="18" w:name="_Toc11729_WPSOffice_Level2"/>
      <w:bookmarkStart w:id="19" w:name="_Toc6408_WPSOffice_Level2"/>
      <w:r>
        <w:rPr>
          <w:rFonts w:hint="eastAsia" w:ascii="宋体" w:hAnsi="宋体" w:eastAsia="宋体"/>
          <w:b w:val="0"/>
          <w:sz w:val="24"/>
          <w:szCs w:val="24"/>
        </w:rPr>
        <w:t>报价文件须于2021年05月  日上午10:00（北京时间）之前提交到厦门市海沧区阳光西路288号，厦门海发环保能源股份有限公司经营采购部。</w:t>
      </w:r>
    </w:p>
    <w:p>
      <w:pPr>
        <w:pStyle w:val="2"/>
        <w:keepNext w:val="0"/>
        <w:keepLines w:val="0"/>
        <w:numPr>
          <w:ilvl w:val="0"/>
          <w:numId w:val="4"/>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采购方有权拒绝接受迟到的报价文件。</w:t>
      </w:r>
    </w:p>
    <w:p>
      <w:pPr>
        <w:pStyle w:val="2"/>
        <w:keepNext w:val="0"/>
        <w:keepLines w:val="0"/>
        <w:numPr>
          <w:ilvl w:val="0"/>
          <w:numId w:val="4"/>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报价文件须盖单位公章，所有报价文件装入封袋密封后都必须在封口处盖章，并在密封袋上正确标明报价项目名称、同时加盖公章。</w:t>
      </w:r>
    </w:p>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bookmarkStart w:id="20" w:name="_Toc22931_WPSOffice_Level2"/>
      <w:bookmarkStart w:id="21" w:name="_Toc17981_WPSOffice_Level2"/>
      <w:bookmarkStart w:id="22" w:name="_Toc25278_WPSOffice_Level2"/>
      <w:bookmarkStart w:id="23" w:name="_Toc17410_WPSOffice_Level2"/>
      <w:bookmarkStart w:id="24" w:name="_Toc24072_WPSOffice_Level2"/>
      <w:r>
        <w:rPr>
          <w:rFonts w:hint="eastAsia" w:ascii="宋体" w:hAnsi="宋体" w:eastAsia="宋体"/>
          <w:bCs/>
          <w:sz w:val="24"/>
          <w:szCs w:val="24"/>
        </w:rPr>
        <w:t>评审时间和地点</w:t>
      </w:r>
      <w:bookmarkEnd w:id="20"/>
      <w:bookmarkEnd w:id="21"/>
      <w:bookmarkEnd w:id="22"/>
      <w:bookmarkEnd w:id="23"/>
      <w:bookmarkEnd w:id="24"/>
    </w:p>
    <w:p>
      <w:pPr>
        <w:pStyle w:val="2"/>
        <w:keepNext w:val="0"/>
        <w:keepLines w:val="0"/>
        <w:numPr>
          <w:ilvl w:val="0"/>
          <w:numId w:val="5"/>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采购方将于2021年05月  日上午10:00（北京时间），在厦门海发环保能源股份有限公司二楼评标室评审。</w:t>
      </w:r>
    </w:p>
    <w:p>
      <w:pPr>
        <w:pStyle w:val="2"/>
        <w:keepNext w:val="0"/>
        <w:keepLines w:val="0"/>
        <w:numPr>
          <w:ilvl w:val="0"/>
          <w:numId w:val="5"/>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邀请报价方现场参与监督。</w:t>
      </w:r>
    </w:p>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保证金</w:t>
      </w:r>
    </w:p>
    <w:p>
      <w:pPr>
        <w:pStyle w:val="2"/>
        <w:keepNext w:val="0"/>
        <w:keepLines w:val="0"/>
        <w:numPr>
          <w:ilvl w:val="0"/>
          <w:numId w:val="6"/>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报价方应在报价截止时间2021年05月  日上午10:00前须缴足谈判保证金人民币壹仟元整（¥1000.00），未按规定缴足判保证金，属无效报价文件。</w:t>
      </w:r>
    </w:p>
    <w:p>
      <w:pPr>
        <w:pStyle w:val="2"/>
        <w:keepNext w:val="0"/>
        <w:keepLines w:val="0"/>
        <w:numPr>
          <w:ilvl w:val="0"/>
          <w:numId w:val="6"/>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保证金提交的时间及方式：报价方应于报价截止时间前从供应商基本账户以电汇或银行转账的方式汇达采购方指定的保证金账户。</w:t>
      </w:r>
    </w:p>
    <w:p>
      <w:pPr>
        <w:pStyle w:val="2"/>
        <w:keepNext w:val="0"/>
        <w:keepLines w:val="0"/>
        <w:numPr>
          <w:ilvl w:val="0"/>
          <w:numId w:val="6"/>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原则上不接受以个人账户缴交保证金，确需以个人账户为报价方缴交保证金的，经我司同意后，需报价方提供书面说明，并加盖公章。</w:t>
      </w:r>
    </w:p>
    <w:p>
      <w:pPr>
        <w:pStyle w:val="2"/>
        <w:keepNext w:val="0"/>
        <w:keepLines w:val="0"/>
        <w:numPr>
          <w:ilvl w:val="0"/>
          <w:numId w:val="6"/>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保证金汇款凭证上用途栏应注明“项目名称+保证金”。在汇款凭证单背面注明退还谈判保证金时报价方收款的银行账号和开户行。</w:t>
      </w:r>
    </w:p>
    <w:p>
      <w:pPr>
        <w:pStyle w:val="2"/>
        <w:keepNext w:val="0"/>
        <w:keepLines w:val="0"/>
        <w:numPr>
          <w:ilvl w:val="0"/>
          <w:numId w:val="6"/>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第一成交候选供应商谈判保证金将自动转为合同履约金；若第一成交候选供应商拒不履行签订合同，我司将不予退还该保证金并顺延第二成交供应商签订合同。除出现不予退还谈判保证金情形及成交供应商外的报价方谈判保证金，我司将在项目谈判后10个工作日内无息退还该保证金。</w:t>
      </w:r>
    </w:p>
    <w:p>
      <w:pPr>
        <w:pStyle w:val="2"/>
        <w:keepNext w:val="0"/>
        <w:keepLines w:val="0"/>
        <w:numPr>
          <w:ilvl w:val="0"/>
          <w:numId w:val="6"/>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谈判保证金账户，谈判保证金均须存入或转入以下账号，其它收款单位均视为无效。</w:t>
      </w:r>
    </w:p>
    <w:p>
      <w:pPr>
        <w:pStyle w:val="2"/>
        <w:tabs>
          <w:tab w:val="left" w:pos="0"/>
        </w:tabs>
        <w:kinsoku w:val="0"/>
        <w:overflowPunct w:val="0"/>
        <w:autoSpaceDE w:val="0"/>
        <w:autoSpaceDN w:val="0"/>
        <w:spacing w:before="0" w:after="0" w:line="400" w:lineRule="atLeast"/>
        <w:ind w:firstLine="520" w:firstLineChars="200"/>
        <w:jc w:val="both"/>
        <w:rPr>
          <w:rFonts w:ascii="宋体" w:hAnsi="宋体" w:eastAsia="宋体" w:cs="宋体"/>
          <w:b w:val="0"/>
          <w:bCs/>
          <w:sz w:val="24"/>
          <w:szCs w:val="24"/>
        </w:rPr>
      </w:pPr>
      <w:r>
        <w:rPr>
          <w:rFonts w:hint="eastAsia" w:ascii="宋体" w:hAnsi="宋体" w:eastAsia="宋体" w:cs="宋体"/>
          <w:b w:val="0"/>
          <w:bCs/>
          <w:sz w:val="24"/>
          <w:szCs w:val="24"/>
        </w:rPr>
        <w:t>收款单位：厦门海发环保能源股份有限公司</w:t>
      </w:r>
    </w:p>
    <w:p>
      <w:pPr>
        <w:pStyle w:val="2"/>
        <w:tabs>
          <w:tab w:val="left" w:pos="0"/>
        </w:tabs>
        <w:kinsoku w:val="0"/>
        <w:overflowPunct w:val="0"/>
        <w:autoSpaceDE w:val="0"/>
        <w:autoSpaceDN w:val="0"/>
        <w:spacing w:before="0" w:after="0" w:line="400" w:lineRule="atLeast"/>
        <w:ind w:firstLine="520" w:firstLineChars="200"/>
        <w:jc w:val="both"/>
        <w:rPr>
          <w:rFonts w:ascii="宋体" w:hAnsi="宋体" w:eastAsia="宋体" w:cs="宋体"/>
          <w:b w:val="0"/>
          <w:bCs/>
          <w:sz w:val="24"/>
          <w:szCs w:val="24"/>
        </w:rPr>
      </w:pPr>
      <w:r>
        <w:rPr>
          <w:rFonts w:hint="eastAsia" w:ascii="宋体" w:hAnsi="宋体" w:eastAsia="宋体" w:cs="宋体"/>
          <w:b w:val="0"/>
          <w:bCs/>
          <w:sz w:val="24"/>
          <w:szCs w:val="24"/>
        </w:rPr>
        <w:t>账号：35101561001052501775   </w:t>
      </w:r>
    </w:p>
    <w:p>
      <w:pPr>
        <w:pStyle w:val="2"/>
        <w:tabs>
          <w:tab w:val="left" w:pos="0"/>
        </w:tabs>
        <w:kinsoku w:val="0"/>
        <w:overflowPunct w:val="0"/>
        <w:autoSpaceDE w:val="0"/>
        <w:autoSpaceDN w:val="0"/>
        <w:spacing w:before="0" w:after="0" w:line="400" w:lineRule="atLeast"/>
        <w:ind w:firstLine="520" w:firstLineChars="200"/>
        <w:jc w:val="both"/>
        <w:rPr>
          <w:rFonts w:ascii="宋体" w:hAnsi="宋体" w:eastAsia="宋体" w:cs="宋体"/>
          <w:b w:val="0"/>
          <w:bCs/>
          <w:sz w:val="24"/>
          <w:szCs w:val="24"/>
        </w:rPr>
      </w:pPr>
      <w:r>
        <w:rPr>
          <w:rFonts w:hint="eastAsia" w:ascii="宋体" w:hAnsi="宋体" w:eastAsia="宋体" w:cs="宋体"/>
          <w:b w:val="0"/>
          <w:bCs/>
          <w:sz w:val="24"/>
          <w:szCs w:val="24"/>
        </w:rPr>
        <w:t>开户行：中国建设银行厦门市分行厦禾支行</w:t>
      </w:r>
    </w:p>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成交原则</w:t>
      </w:r>
      <w:bookmarkEnd w:id="15"/>
      <w:bookmarkEnd w:id="16"/>
      <w:bookmarkEnd w:id="17"/>
      <w:bookmarkEnd w:id="18"/>
    </w:p>
    <w:bookmarkEnd w:id="19"/>
    <w:p>
      <w:pPr>
        <w:tabs>
          <w:tab w:val="left" w:pos="0"/>
        </w:tabs>
        <w:kinsoku w:val="0"/>
        <w:overflowPunct w:val="0"/>
        <w:spacing w:line="400" w:lineRule="atLeast"/>
        <w:ind w:right="210" w:rightChars="100" w:firstLine="480" w:firstLineChars="200"/>
        <w:jc w:val="left"/>
        <w:rPr>
          <w:rFonts w:ascii="宋体" w:hAnsi="宋体"/>
          <w:sz w:val="24"/>
          <w:szCs w:val="24"/>
        </w:rPr>
      </w:pPr>
      <w:bookmarkStart w:id="25" w:name="_Toc11529_WPSOffice_Level2"/>
      <w:bookmarkStart w:id="26" w:name="_Toc4523_WPSOffice_Level2"/>
      <w:bookmarkStart w:id="27" w:name="_Toc20683_WPSOffice_Level2"/>
      <w:bookmarkStart w:id="28" w:name="_Toc18288_WPSOffice_Level2"/>
      <w:bookmarkStart w:id="29" w:name="_Toc7789_WPSOffice_Level2"/>
      <w:r>
        <w:rPr>
          <w:rFonts w:hint="eastAsia" w:ascii="宋体" w:hAnsi="宋体"/>
          <w:sz w:val="24"/>
        </w:rPr>
        <w:t>本次谈判采用经评审合格最低价成交法</w:t>
      </w:r>
      <w:r>
        <w:rPr>
          <w:rFonts w:hint="eastAsia" w:ascii="宋体" w:hAnsi="宋体"/>
          <w:sz w:val="24"/>
          <w:szCs w:val="24"/>
        </w:rPr>
        <w:t>。本采购项目不进行二次报价，</w:t>
      </w:r>
      <w:r>
        <w:rPr>
          <w:rFonts w:hint="eastAsia" w:ascii="宋体" w:hAnsi="宋体"/>
          <w:sz w:val="24"/>
        </w:rPr>
        <w:t>通过资格</w:t>
      </w:r>
      <w:r>
        <w:rPr>
          <w:rFonts w:hint="eastAsia" w:ascii="宋体" w:hAnsi="宋体"/>
          <w:sz w:val="24"/>
          <w:szCs w:val="24"/>
        </w:rPr>
        <w:t>审查，符合询价采购文件要求且报价最低的原则确定成交供应商。</w:t>
      </w:r>
    </w:p>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联系人</w:t>
      </w:r>
      <w:bookmarkEnd w:id="25"/>
      <w:bookmarkEnd w:id="26"/>
      <w:bookmarkEnd w:id="27"/>
      <w:bookmarkEnd w:id="28"/>
    </w:p>
    <w:p>
      <w:pPr>
        <w:pStyle w:val="2"/>
        <w:keepNext w:val="0"/>
        <w:keepLines w:val="0"/>
        <w:kinsoku w:val="0"/>
        <w:overflowPunct w:val="0"/>
        <w:autoSpaceDE w:val="0"/>
        <w:autoSpaceDN w:val="0"/>
        <w:adjustRightInd w:val="0"/>
        <w:snapToGrid w:val="0"/>
        <w:spacing w:before="0" w:after="0" w:line="420" w:lineRule="exact"/>
        <w:ind w:right="210" w:rightChars="100" w:firstLine="520" w:firstLineChars="200"/>
        <w:jc w:val="both"/>
        <w:rPr>
          <w:rFonts w:hint="default" w:ascii="宋体" w:hAnsi="宋体" w:eastAsia="宋体"/>
          <w:b w:val="0"/>
          <w:sz w:val="24"/>
          <w:szCs w:val="24"/>
          <w:lang w:val="en-US"/>
        </w:rPr>
      </w:pPr>
      <w:r>
        <w:rPr>
          <w:rFonts w:hint="eastAsia" w:ascii="宋体" w:hAnsi="宋体" w:eastAsia="宋体"/>
          <w:b w:val="0"/>
          <w:sz w:val="24"/>
          <w:szCs w:val="24"/>
        </w:rPr>
        <w:t xml:space="preserve">技术联系人：  </w:t>
      </w:r>
      <w:r>
        <w:rPr>
          <w:rFonts w:hint="eastAsia" w:ascii="宋体" w:hAnsi="宋体" w:eastAsia="宋体"/>
          <w:b w:val="0"/>
          <w:sz w:val="24"/>
          <w:szCs w:val="24"/>
          <w:lang w:val="en-US" w:eastAsia="zh-CN"/>
        </w:rPr>
        <w:t>高士忠</w:t>
      </w:r>
      <w:r>
        <w:rPr>
          <w:rFonts w:hint="eastAsia" w:ascii="宋体" w:hAnsi="宋体" w:eastAsia="宋体"/>
          <w:b w:val="0"/>
          <w:sz w:val="24"/>
          <w:szCs w:val="24"/>
        </w:rPr>
        <w:t xml:space="preserve">    联系电话：0592-68075</w:t>
      </w:r>
      <w:r>
        <w:rPr>
          <w:rFonts w:hint="eastAsia" w:ascii="宋体" w:hAnsi="宋体" w:eastAsia="宋体"/>
          <w:b w:val="0"/>
          <w:sz w:val="24"/>
          <w:szCs w:val="24"/>
          <w:lang w:val="en-US" w:eastAsia="zh-CN"/>
        </w:rPr>
        <w:t>37</w:t>
      </w:r>
      <w:bookmarkStart w:id="211" w:name="_GoBack"/>
      <w:bookmarkEnd w:id="211"/>
    </w:p>
    <w:p>
      <w:pPr>
        <w:adjustRightInd w:val="0"/>
        <w:snapToGrid w:val="0"/>
        <w:spacing w:line="420" w:lineRule="exact"/>
        <w:rPr>
          <w:rFonts w:eastAsia="宋体"/>
        </w:rPr>
      </w:pPr>
      <w:r>
        <w:rPr>
          <w:rFonts w:hint="eastAsia" w:ascii="宋体" w:hAnsi="宋体" w:eastAsia="宋体"/>
          <w:sz w:val="24"/>
          <w:szCs w:val="24"/>
        </w:rPr>
        <w:t xml:space="preserve">    报价文件接收人：林鹭莺     联系电话：13959259483</w:t>
      </w:r>
    </w:p>
    <w:bookmarkEnd w:id="29"/>
    <w:p>
      <w:pPr>
        <w:pStyle w:val="2"/>
        <w:keepNext w:val="0"/>
        <w:keepLines w:val="0"/>
        <w:numPr>
          <w:ilvl w:val="0"/>
          <w:numId w:val="1"/>
        </w:numPr>
        <w:kinsoku w:val="0"/>
        <w:overflowPunct w:val="0"/>
        <w:autoSpaceDE w:val="0"/>
        <w:autoSpaceDN w:val="0"/>
        <w:spacing w:before="0" w:after="0" w:line="400" w:lineRule="atLeast"/>
        <w:ind w:right="210" w:rightChars="100"/>
        <w:jc w:val="both"/>
        <w:rPr>
          <w:rFonts w:ascii="宋体" w:hAnsi="宋体" w:eastAsia="宋体"/>
          <w:bCs/>
          <w:sz w:val="24"/>
          <w:szCs w:val="24"/>
        </w:rPr>
      </w:pPr>
      <w:bookmarkStart w:id="30" w:name="_Toc4595_WPSOffice_Level2"/>
      <w:bookmarkStart w:id="31" w:name="_Toc22469_WPSOffice_Level2"/>
      <w:bookmarkStart w:id="32" w:name="_Toc12064_WPSOffice_Level2"/>
      <w:bookmarkStart w:id="33" w:name="_Toc18891_WPSOffice_Level2"/>
      <w:bookmarkStart w:id="34" w:name="_Toc15902_WPSOffice_Level2"/>
      <w:r>
        <w:rPr>
          <w:rFonts w:hint="eastAsia" w:ascii="宋体" w:hAnsi="宋体" w:eastAsia="宋体"/>
          <w:bCs/>
          <w:sz w:val="24"/>
          <w:szCs w:val="24"/>
        </w:rPr>
        <w:t>监督电话</w:t>
      </w:r>
      <w:bookmarkEnd w:id="30"/>
      <w:bookmarkEnd w:id="31"/>
      <w:bookmarkEnd w:id="32"/>
      <w:bookmarkEnd w:id="33"/>
    </w:p>
    <w:p>
      <w:pPr>
        <w:pStyle w:val="2"/>
        <w:keepNext w:val="0"/>
        <w:keepLines w:val="0"/>
        <w:kinsoku w:val="0"/>
        <w:overflowPunct w:val="0"/>
        <w:autoSpaceDE w:val="0"/>
        <w:autoSpaceDN w:val="0"/>
        <w:spacing w:before="0" w:after="0" w:line="400" w:lineRule="atLeast"/>
        <w:ind w:right="210" w:rightChars="100" w:firstLine="520" w:firstLineChars="200"/>
        <w:jc w:val="both"/>
        <w:rPr>
          <w:rFonts w:ascii="宋体" w:hAnsi="宋体" w:eastAsia="宋体"/>
          <w:b w:val="0"/>
          <w:sz w:val="24"/>
          <w:szCs w:val="24"/>
        </w:rPr>
      </w:pPr>
      <w:r>
        <w:rPr>
          <w:rFonts w:hint="eastAsia" w:ascii="宋体" w:hAnsi="宋体" w:eastAsia="宋体"/>
          <w:b w:val="0"/>
          <w:sz w:val="24"/>
          <w:szCs w:val="24"/>
        </w:rPr>
        <w:t xml:space="preserve">0592-6807512，0592-6807528  </w:t>
      </w:r>
      <w:bookmarkEnd w:id="34"/>
      <w:r>
        <w:rPr>
          <w:rFonts w:hint="eastAsia" w:ascii="宋体" w:hAnsi="宋体" w:eastAsia="宋体"/>
          <w:b w:val="0"/>
          <w:sz w:val="24"/>
          <w:szCs w:val="24"/>
        </w:rPr>
        <w:t xml:space="preserve"> </w:t>
      </w:r>
    </w:p>
    <w:p>
      <w:pPr>
        <w:rPr>
          <w:rFonts w:ascii="宋体" w:hAnsi="宋体" w:eastAsia="宋体"/>
          <w:sz w:val="24"/>
          <w:szCs w:val="24"/>
        </w:rPr>
      </w:pPr>
    </w:p>
    <w:p>
      <w:pPr>
        <w:spacing w:line="52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厦门海发环保能源股份有限公司</w:t>
      </w:r>
    </w:p>
    <w:p>
      <w:pPr>
        <w:spacing w:line="520" w:lineRule="exact"/>
        <w:ind w:firstLine="6720" w:firstLineChars="2800"/>
        <w:rPr>
          <w:rFonts w:asciiTheme="minorEastAsia" w:hAnsiTheme="minorEastAsia" w:cstheme="minorEastAsia"/>
          <w:sz w:val="24"/>
          <w:szCs w:val="24"/>
        </w:rPr>
      </w:pPr>
      <w:r>
        <w:rPr>
          <w:rFonts w:hint="eastAsia" w:asciiTheme="minorEastAsia" w:hAnsiTheme="minorEastAsia" w:cstheme="minorEastAsia"/>
          <w:sz w:val="24"/>
          <w:szCs w:val="24"/>
        </w:rPr>
        <w:t>2021年5月    日</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2"/>
        <w:keepNext w:val="0"/>
        <w:keepLines w:val="0"/>
        <w:kinsoku w:val="0"/>
        <w:overflowPunct w:val="0"/>
        <w:autoSpaceDE w:val="0"/>
        <w:autoSpaceDN w:val="0"/>
        <w:spacing w:before="0" w:after="0" w:line="400" w:lineRule="atLeast"/>
        <w:ind w:firstLine="522" w:firstLineChars="200"/>
        <w:jc w:val="center"/>
        <w:rPr>
          <w:rFonts w:ascii="宋体" w:hAnsi="宋体" w:eastAsia="宋体"/>
          <w:bCs/>
          <w:sz w:val="24"/>
          <w:szCs w:val="24"/>
        </w:rPr>
      </w:pPr>
      <w:bookmarkStart w:id="35" w:name="_Toc32729_WPSOffice_Level1"/>
      <w:bookmarkStart w:id="36" w:name="_Toc28625_WPSOffice_Level1"/>
      <w:bookmarkStart w:id="37" w:name="_Toc11260_WPSOffice_Level1"/>
      <w:bookmarkStart w:id="38" w:name="_Toc22879"/>
      <w:bookmarkStart w:id="39" w:name="_Toc9417_WPSOffice_Level1"/>
      <w:bookmarkStart w:id="40" w:name="_Toc7186_WPSOffice_Level1"/>
      <w:r>
        <w:rPr>
          <w:rFonts w:hint="eastAsia" w:ascii="宋体" w:hAnsi="宋体" w:eastAsia="宋体"/>
          <w:bCs/>
          <w:sz w:val="24"/>
          <w:szCs w:val="24"/>
        </w:rPr>
        <w:t>第二部分 报价须知</w:t>
      </w:r>
      <w:bookmarkEnd w:id="35"/>
      <w:bookmarkEnd w:id="36"/>
      <w:bookmarkEnd w:id="37"/>
      <w:bookmarkEnd w:id="38"/>
      <w:bookmarkEnd w:id="39"/>
      <w:bookmarkEnd w:id="40"/>
    </w:p>
    <w:p>
      <w:pPr>
        <w:pStyle w:val="2"/>
        <w:keepNext w:val="0"/>
        <w:keepLines w:val="0"/>
        <w:kinsoku w:val="0"/>
        <w:overflowPunct w:val="0"/>
        <w:autoSpaceDE w:val="0"/>
        <w:autoSpaceDN w:val="0"/>
        <w:spacing w:before="0" w:after="0" w:line="400" w:lineRule="atLeast"/>
        <w:jc w:val="both"/>
        <w:rPr>
          <w:rFonts w:ascii="宋体" w:hAnsi="宋体" w:eastAsia="宋体"/>
          <w:bCs/>
          <w:sz w:val="24"/>
          <w:szCs w:val="24"/>
        </w:rPr>
      </w:pPr>
      <w:bookmarkStart w:id="41" w:name="_Toc5871_WPSOffice_Level2"/>
      <w:r>
        <w:rPr>
          <w:rFonts w:hint="eastAsia" w:ascii="宋体" w:hAnsi="宋体" w:eastAsia="宋体"/>
          <w:bCs/>
          <w:sz w:val="24"/>
          <w:szCs w:val="24"/>
        </w:rPr>
        <w:t>备注：</w:t>
      </w:r>
      <w:bookmarkEnd w:id="41"/>
    </w:p>
    <w:p>
      <w:pPr>
        <w:pStyle w:val="2"/>
        <w:keepNext w:val="0"/>
        <w:keepLines w:val="0"/>
        <w:numPr>
          <w:ilvl w:val="0"/>
          <w:numId w:val="7"/>
        </w:numPr>
        <w:kinsoku w:val="0"/>
        <w:overflowPunct w:val="0"/>
        <w:autoSpaceDE w:val="0"/>
        <w:autoSpaceDN w:val="0"/>
        <w:spacing w:before="0" w:after="0" w:line="400" w:lineRule="atLeast"/>
        <w:jc w:val="both"/>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7"/>
        </w:numPr>
        <w:kinsoku w:val="0"/>
        <w:overflowPunct w:val="0"/>
        <w:autoSpaceDE w:val="0"/>
        <w:autoSpaceDN w:val="0"/>
        <w:spacing w:before="0" w:after="0" w:line="400" w:lineRule="atLeast"/>
        <w:jc w:val="both"/>
        <w:rPr>
          <w:rFonts w:ascii="宋体" w:hAnsi="宋体" w:eastAsia="宋体"/>
          <w:bCs/>
          <w:sz w:val="24"/>
          <w:szCs w:val="24"/>
        </w:rPr>
      </w:pPr>
      <w:r>
        <w:rPr>
          <w:rFonts w:hint="eastAsia" w:ascii="宋体" w:hAnsi="宋体" w:eastAsia="宋体"/>
          <w:bCs/>
          <w:sz w:val="24"/>
          <w:szCs w:val="24"/>
        </w:rPr>
        <w:t>采购文件中所述技术要求，应视为保证实现本项目施工所需要的最低要求，如有遗漏，报价方应予以补充，否则，一旦成交将认为报价方认同遗漏部分并免费提供。</w:t>
      </w:r>
    </w:p>
    <w:p>
      <w:pPr>
        <w:pStyle w:val="2"/>
        <w:keepNext w:val="0"/>
        <w:keepLines w:val="0"/>
        <w:numPr>
          <w:ilvl w:val="0"/>
          <w:numId w:val="8"/>
        </w:numPr>
        <w:kinsoku w:val="0"/>
        <w:overflowPunct w:val="0"/>
        <w:autoSpaceDE w:val="0"/>
        <w:autoSpaceDN w:val="0"/>
        <w:spacing w:before="0" w:after="0" w:line="400" w:lineRule="atLeast"/>
        <w:ind w:right="210" w:rightChars="100"/>
        <w:jc w:val="both"/>
        <w:rPr>
          <w:rFonts w:ascii="宋体" w:hAnsi="宋体" w:eastAsia="宋体"/>
          <w:bCs/>
          <w:sz w:val="24"/>
          <w:szCs w:val="24"/>
        </w:rPr>
      </w:pPr>
      <w:bookmarkStart w:id="42" w:name="_Toc7295_WPSOffice_Level2"/>
      <w:r>
        <w:rPr>
          <w:rFonts w:hint="eastAsia" w:ascii="宋体" w:hAnsi="宋体" w:eastAsia="宋体"/>
          <w:bCs/>
          <w:sz w:val="24"/>
          <w:szCs w:val="24"/>
        </w:rPr>
        <w:t>报价文件</w:t>
      </w:r>
      <w:bookmarkEnd w:id="42"/>
    </w:p>
    <w:p>
      <w:pPr>
        <w:pStyle w:val="2"/>
        <w:keepNext w:val="0"/>
        <w:keepLines w:val="0"/>
        <w:numPr>
          <w:ilvl w:val="0"/>
          <w:numId w:val="9"/>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询价采购邀请书</w:t>
      </w:r>
    </w:p>
    <w:p>
      <w:pPr>
        <w:pStyle w:val="2"/>
        <w:keepNext w:val="0"/>
        <w:keepLines w:val="0"/>
        <w:numPr>
          <w:ilvl w:val="0"/>
          <w:numId w:val="9"/>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报价须知</w:t>
      </w:r>
    </w:p>
    <w:p>
      <w:pPr>
        <w:pStyle w:val="2"/>
        <w:keepNext w:val="0"/>
        <w:keepLines w:val="0"/>
        <w:numPr>
          <w:ilvl w:val="0"/>
          <w:numId w:val="9"/>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技术规范书</w:t>
      </w:r>
    </w:p>
    <w:p>
      <w:pPr>
        <w:pStyle w:val="2"/>
        <w:keepNext w:val="0"/>
        <w:keepLines w:val="0"/>
        <w:numPr>
          <w:ilvl w:val="0"/>
          <w:numId w:val="9"/>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合同主要条款</w:t>
      </w:r>
    </w:p>
    <w:p>
      <w:pPr>
        <w:pStyle w:val="2"/>
        <w:keepNext w:val="0"/>
        <w:keepLines w:val="0"/>
        <w:numPr>
          <w:ilvl w:val="0"/>
          <w:numId w:val="9"/>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响应报价文件格式</w:t>
      </w:r>
    </w:p>
    <w:p>
      <w:pPr>
        <w:pStyle w:val="2"/>
        <w:keepNext w:val="0"/>
        <w:keepLines w:val="0"/>
        <w:numPr>
          <w:ilvl w:val="0"/>
          <w:numId w:val="8"/>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采购文件的澄清和修改</w:t>
      </w:r>
    </w:p>
    <w:p>
      <w:pPr>
        <w:pStyle w:val="2"/>
        <w:keepNext w:val="0"/>
        <w:keepLines w:val="0"/>
        <w:numPr>
          <w:ilvl w:val="0"/>
          <w:numId w:val="10"/>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询价文件的澄清</w:t>
      </w:r>
    </w:p>
    <w:p>
      <w:pPr>
        <w:pStyle w:val="2"/>
        <w:keepNext w:val="0"/>
        <w:keepLines w:val="0"/>
        <w:kinsoku w:val="0"/>
        <w:overflowPunct w:val="0"/>
        <w:autoSpaceDE w:val="0"/>
        <w:autoSpaceDN w:val="0"/>
        <w:spacing w:before="0" w:after="0" w:line="400" w:lineRule="atLeast"/>
        <w:ind w:firstLine="520" w:firstLineChars="200"/>
        <w:jc w:val="both"/>
        <w:rPr>
          <w:rFonts w:ascii="宋体" w:hAnsi="宋体" w:eastAsia="宋体"/>
          <w:b w:val="0"/>
          <w:spacing w:val="0"/>
          <w:sz w:val="24"/>
          <w:szCs w:val="24"/>
        </w:rPr>
      </w:pPr>
      <w:r>
        <w:rPr>
          <w:rFonts w:hint="eastAsia" w:ascii="宋体" w:hAnsi="宋体" w:eastAsia="宋体"/>
          <w:b w:val="0"/>
          <w:sz w:val="24"/>
          <w:szCs w:val="24"/>
        </w:rPr>
        <w:t>报价方对询价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复作为询价文件的一部分，对报价方有约束力。</w:t>
      </w:r>
    </w:p>
    <w:p>
      <w:pPr>
        <w:pStyle w:val="2"/>
        <w:keepNext w:val="0"/>
        <w:keepLines w:val="0"/>
        <w:numPr>
          <w:ilvl w:val="0"/>
          <w:numId w:val="10"/>
        </w:numPr>
        <w:kinsoku w:val="0"/>
        <w:overflowPunct w:val="0"/>
        <w:autoSpaceDE w:val="0"/>
        <w:autoSpaceDN w:val="0"/>
        <w:spacing w:before="0" w:after="0" w:line="400" w:lineRule="atLeast"/>
        <w:ind w:right="210" w:rightChars="100"/>
        <w:jc w:val="both"/>
        <w:rPr>
          <w:rFonts w:ascii="宋体" w:hAnsi="宋体" w:eastAsia="宋体"/>
          <w:b w:val="0"/>
          <w:sz w:val="24"/>
          <w:szCs w:val="24"/>
        </w:rPr>
      </w:pPr>
      <w:r>
        <w:rPr>
          <w:rFonts w:hint="eastAsia" w:ascii="宋体" w:hAnsi="宋体" w:eastAsia="宋体"/>
          <w:b w:val="0"/>
          <w:sz w:val="24"/>
          <w:szCs w:val="24"/>
        </w:rPr>
        <w:t>询价文件的修改</w:t>
      </w:r>
    </w:p>
    <w:p>
      <w:pPr>
        <w:pStyle w:val="2"/>
        <w:keepNext w:val="0"/>
        <w:keepLines w:val="0"/>
        <w:kinsoku w:val="0"/>
        <w:overflowPunct w:val="0"/>
        <w:autoSpaceDE w:val="0"/>
        <w:autoSpaceDN w:val="0"/>
        <w:spacing w:before="0" w:after="0" w:line="400" w:lineRule="atLeast"/>
        <w:ind w:firstLine="520" w:firstLineChars="200"/>
        <w:jc w:val="both"/>
        <w:rPr>
          <w:rFonts w:ascii="宋体" w:hAnsi="宋体" w:eastAsia="宋体"/>
          <w:b w:val="0"/>
          <w:sz w:val="24"/>
          <w:szCs w:val="24"/>
        </w:rPr>
      </w:pPr>
      <w:r>
        <w:rPr>
          <w:rFonts w:hint="eastAsia" w:ascii="宋体" w:hAnsi="宋体" w:eastAsia="宋体"/>
          <w:b w:val="0"/>
          <w:sz w:val="24"/>
          <w:szCs w:val="24"/>
        </w:rPr>
        <w:t>采购方可以在报价文件投递截止时间之前的任何时候对询价文件进行修改。由于询价文件的修改可适当延长报价文件投递截止时间。询价文件的修改将以书面形式（邮件、传真等方式）发给所有已知报价方，该修改书将构成谈判文件的一部分，对报价方有约束力。报价方在收到通知后应立即以书面形式（邮件、传真等方式）予以确认。</w:t>
      </w:r>
    </w:p>
    <w:p>
      <w:pPr>
        <w:pStyle w:val="2"/>
        <w:keepNext w:val="0"/>
        <w:keepLines w:val="0"/>
        <w:numPr>
          <w:ilvl w:val="0"/>
          <w:numId w:val="8"/>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响应文件的编制</w:t>
      </w:r>
    </w:p>
    <w:p>
      <w:pPr>
        <w:numPr>
          <w:ilvl w:val="0"/>
          <w:numId w:val="11"/>
        </w:numPr>
        <w:snapToGrid w:val="0"/>
        <w:spacing w:line="400" w:lineRule="atLeast"/>
        <w:jc w:val="left"/>
        <w:rPr>
          <w:rFonts w:ascii="宋体" w:hAnsi="宋体"/>
          <w:sz w:val="24"/>
          <w:szCs w:val="24"/>
        </w:rPr>
      </w:pPr>
      <w:bookmarkStart w:id="43" w:name="_Toc24083813"/>
      <w:bookmarkStart w:id="44" w:name="_Toc1802_WPSOffice_Level2"/>
      <w:bookmarkStart w:id="45" w:name="_Toc260230612"/>
      <w:bookmarkStart w:id="46" w:name="_Toc28706_WPSOffice_Level2"/>
      <w:bookmarkStart w:id="47" w:name="_Toc17624_WPSOffice_Level2"/>
      <w:bookmarkStart w:id="48" w:name="_Toc24455233"/>
      <w:bookmarkStart w:id="49" w:name="_Toc229281571"/>
      <w:bookmarkStart w:id="50" w:name="_Toc33340838"/>
      <w:bookmarkStart w:id="51" w:name="_Toc260238416"/>
      <w:bookmarkStart w:id="52" w:name="_Toc293413480"/>
      <w:bookmarkStart w:id="53" w:name="_Toc12004_WPSOffice_Level2"/>
      <w:r>
        <w:rPr>
          <w:rFonts w:hint="eastAsia" w:ascii="宋体" w:hAnsi="宋体"/>
          <w:sz w:val="24"/>
          <w:szCs w:val="24"/>
        </w:rPr>
        <w:t>响应函；</w:t>
      </w:r>
    </w:p>
    <w:p>
      <w:pPr>
        <w:numPr>
          <w:ilvl w:val="0"/>
          <w:numId w:val="11"/>
        </w:numPr>
        <w:snapToGrid w:val="0"/>
        <w:spacing w:line="400" w:lineRule="atLeast"/>
        <w:jc w:val="left"/>
        <w:rPr>
          <w:rFonts w:ascii="宋体" w:hAnsi="宋体"/>
          <w:sz w:val="24"/>
          <w:szCs w:val="24"/>
        </w:rPr>
      </w:pPr>
      <w:r>
        <w:rPr>
          <w:rFonts w:hint="eastAsia" w:ascii="宋体" w:hAnsi="宋体"/>
          <w:sz w:val="24"/>
          <w:szCs w:val="24"/>
        </w:rPr>
        <w:t>报价表；</w:t>
      </w:r>
    </w:p>
    <w:p>
      <w:pPr>
        <w:numPr>
          <w:ilvl w:val="0"/>
          <w:numId w:val="11"/>
        </w:numPr>
        <w:snapToGrid w:val="0"/>
        <w:spacing w:line="400" w:lineRule="atLeast"/>
        <w:jc w:val="left"/>
        <w:rPr>
          <w:rFonts w:ascii="宋体" w:hAnsi="宋体"/>
          <w:sz w:val="24"/>
          <w:szCs w:val="24"/>
        </w:rPr>
      </w:pPr>
      <w:r>
        <w:rPr>
          <w:rFonts w:hint="eastAsia" w:ascii="宋体" w:hAnsi="宋体"/>
          <w:sz w:val="24"/>
          <w:szCs w:val="24"/>
        </w:rPr>
        <w:t>法定代表人身份证明书；</w:t>
      </w:r>
    </w:p>
    <w:p>
      <w:pPr>
        <w:numPr>
          <w:ilvl w:val="0"/>
          <w:numId w:val="11"/>
        </w:numPr>
        <w:snapToGrid w:val="0"/>
        <w:spacing w:line="400" w:lineRule="atLeast"/>
        <w:jc w:val="left"/>
        <w:rPr>
          <w:rFonts w:ascii="宋体" w:hAnsi="宋体"/>
          <w:sz w:val="24"/>
          <w:szCs w:val="24"/>
        </w:rPr>
      </w:pPr>
      <w:r>
        <w:rPr>
          <w:rFonts w:hint="eastAsia" w:ascii="宋体" w:hAnsi="宋体"/>
          <w:sz w:val="24"/>
          <w:szCs w:val="24"/>
        </w:rPr>
        <w:t>法人授权委托书（报价签字非法定代表人签署时需出具）；</w:t>
      </w:r>
    </w:p>
    <w:p>
      <w:pPr>
        <w:numPr>
          <w:ilvl w:val="0"/>
          <w:numId w:val="11"/>
        </w:numPr>
        <w:snapToGrid w:val="0"/>
        <w:spacing w:line="400" w:lineRule="atLeast"/>
        <w:jc w:val="left"/>
        <w:rPr>
          <w:rFonts w:ascii="宋体" w:hAnsi="宋体"/>
          <w:sz w:val="24"/>
          <w:szCs w:val="24"/>
        </w:rPr>
      </w:pPr>
      <w:r>
        <w:rPr>
          <w:rFonts w:hint="eastAsia" w:ascii="宋体" w:hAnsi="宋体"/>
          <w:sz w:val="24"/>
          <w:szCs w:val="24"/>
        </w:rPr>
        <w:t>关于资格的声明函；</w:t>
      </w:r>
    </w:p>
    <w:p>
      <w:pPr>
        <w:numPr>
          <w:ilvl w:val="0"/>
          <w:numId w:val="11"/>
        </w:numPr>
        <w:snapToGrid w:val="0"/>
        <w:spacing w:line="400" w:lineRule="atLeast"/>
        <w:jc w:val="left"/>
        <w:rPr>
          <w:rFonts w:ascii="宋体" w:hAnsi="宋体"/>
          <w:sz w:val="24"/>
          <w:szCs w:val="24"/>
        </w:rPr>
      </w:pPr>
      <w:r>
        <w:rPr>
          <w:rFonts w:hint="eastAsia" w:ascii="宋体" w:hAnsi="宋体"/>
          <w:sz w:val="24"/>
          <w:szCs w:val="24"/>
        </w:rPr>
        <w:t>报价方廉洁承诺书；</w:t>
      </w:r>
    </w:p>
    <w:p>
      <w:pPr>
        <w:numPr>
          <w:ilvl w:val="0"/>
          <w:numId w:val="11"/>
        </w:numPr>
        <w:snapToGrid w:val="0"/>
        <w:spacing w:line="400" w:lineRule="atLeast"/>
        <w:jc w:val="left"/>
        <w:rPr>
          <w:rFonts w:ascii="宋体" w:hAnsi="宋体"/>
          <w:sz w:val="24"/>
          <w:szCs w:val="24"/>
        </w:rPr>
      </w:pPr>
      <w:r>
        <w:rPr>
          <w:rFonts w:hint="eastAsia" w:ascii="宋体" w:hAnsi="宋体"/>
          <w:sz w:val="24"/>
          <w:szCs w:val="24"/>
        </w:rPr>
        <w:t>企业能有效识别二维码且加盖报价单位公章的营业执照复印件；</w:t>
      </w:r>
    </w:p>
    <w:p>
      <w:pPr>
        <w:numPr>
          <w:ilvl w:val="0"/>
          <w:numId w:val="11"/>
        </w:numPr>
        <w:snapToGrid w:val="0"/>
        <w:spacing w:line="400" w:lineRule="atLeast"/>
        <w:jc w:val="left"/>
        <w:rPr>
          <w:rFonts w:ascii="宋体" w:hAnsi="宋体"/>
          <w:bCs/>
          <w:sz w:val="24"/>
          <w:szCs w:val="24"/>
        </w:rPr>
      </w:pPr>
      <w:r>
        <w:rPr>
          <w:rFonts w:hint="eastAsia" w:ascii="宋体" w:hAnsi="宋体"/>
          <w:sz w:val="24"/>
          <w:szCs w:val="24"/>
        </w:rPr>
        <w:t>相关业绩证明，提供加盖报价单位公章的合同复印件；</w:t>
      </w:r>
    </w:p>
    <w:p>
      <w:pPr>
        <w:numPr>
          <w:ilvl w:val="0"/>
          <w:numId w:val="11"/>
        </w:numPr>
        <w:snapToGrid w:val="0"/>
        <w:spacing w:line="400" w:lineRule="atLeast"/>
        <w:jc w:val="left"/>
        <w:rPr>
          <w:rFonts w:ascii="宋体" w:hAnsi="宋体"/>
          <w:bCs/>
          <w:sz w:val="24"/>
          <w:szCs w:val="24"/>
        </w:rPr>
      </w:pPr>
      <w:r>
        <w:rPr>
          <w:rFonts w:hint="eastAsia" w:ascii="宋体" w:hAnsi="宋体"/>
          <w:bCs/>
          <w:sz w:val="24"/>
          <w:szCs w:val="24"/>
        </w:rPr>
        <w:t>报价方认为需要提供的其它资料。</w:t>
      </w:r>
    </w:p>
    <w:bookmarkEnd w:id="43"/>
    <w:bookmarkEnd w:id="44"/>
    <w:bookmarkEnd w:id="45"/>
    <w:bookmarkEnd w:id="46"/>
    <w:bookmarkEnd w:id="47"/>
    <w:bookmarkEnd w:id="48"/>
    <w:bookmarkEnd w:id="49"/>
    <w:bookmarkEnd w:id="50"/>
    <w:bookmarkEnd w:id="51"/>
    <w:bookmarkEnd w:id="52"/>
    <w:bookmarkEnd w:id="53"/>
    <w:p>
      <w:pPr>
        <w:pStyle w:val="2"/>
        <w:keepNext w:val="0"/>
        <w:keepLines w:val="0"/>
        <w:numPr>
          <w:ilvl w:val="0"/>
          <w:numId w:val="8"/>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报价文件的递交</w:t>
      </w:r>
    </w:p>
    <w:p>
      <w:pPr>
        <w:numPr>
          <w:ilvl w:val="0"/>
          <w:numId w:val="12"/>
        </w:numPr>
        <w:kinsoku w:val="0"/>
        <w:overflowPunct w:val="0"/>
        <w:spacing w:line="400" w:lineRule="atLeast"/>
        <w:jc w:val="left"/>
        <w:rPr>
          <w:rFonts w:ascii="宋体" w:hAnsi="宋体"/>
          <w:sz w:val="24"/>
          <w:szCs w:val="24"/>
        </w:rPr>
      </w:pPr>
      <w:r>
        <w:rPr>
          <w:rFonts w:hint="eastAsia" w:ascii="宋体" w:hAnsi="宋体"/>
          <w:sz w:val="24"/>
          <w:szCs w:val="24"/>
        </w:rPr>
        <w:t>报价文件的递交。报价方必须按报价邀请书的要求在规定的时间内将报价文件送达规定的地点。</w:t>
      </w:r>
    </w:p>
    <w:p>
      <w:pPr>
        <w:numPr>
          <w:ilvl w:val="0"/>
          <w:numId w:val="12"/>
        </w:numPr>
        <w:kinsoku w:val="0"/>
        <w:overflowPunct w:val="0"/>
        <w:spacing w:line="400" w:lineRule="atLeast"/>
        <w:jc w:val="left"/>
        <w:rPr>
          <w:rFonts w:ascii="宋体" w:hAnsi="宋体"/>
          <w:sz w:val="24"/>
          <w:szCs w:val="24"/>
        </w:rPr>
      </w:pPr>
      <w:r>
        <w:rPr>
          <w:rFonts w:hint="eastAsia" w:ascii="宋体" w:hAnsi="宋体"/>
          <w:sz w:val="24"/>
          <w:szCs w:val="24"/>
        </w:rPr>
        <w:t>迟到的报价文件。采购方对于迟到的报价文件有权拒绝接收。</w:t>
      </w:r>
    </w:p>
    <w:p>
      <w:pPr>
        <w:numPr>
          <w:ilvl w:val="0"/>
          <w:numId w:val="12"/>
        </w:numPr>
        <w:kinsoku w:val="0"/>
        <w:overflowPunct w:val="0"/>
        <w:spacing w:line="400" w:lineRule="atLeast"/>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以后，不能修改报价文件。修改后的报价文件应按要求密封等，并在报价截止时间前送达采购方。</w:t>
      </w:r>
    </w:p>
    <w:p>
      <w:pPr>
        <w:pStyle w:val="2"/>
        <w:keepNext w:val="0"/>
        <w:keepLines w:val="0"/>
        <w:numPr>
          <w:ilvl w:val="0"/>
          <w:numId w:val="8"/>
        </w:numPr>
        <w:kinsoku w:val="0"/>
        <w:overflowPunct w:val="0"/>
        <w:autoSpaceDE w:val="0"/>
        <w:autoSpaceDN w:val="0"/>
        <w:spacing w:before="0" w:after="0" w:line="400" w:lineRule="atLeast"/>
        <w:ind w:right="210" w:rightChars="100"/>
        <w:jc w:val="both"/>
        <w:rPr>
          <w:rFonts w:ascii="宋体" w:hAnsi="宋体" w:eastAsia="宋体"/>
          <w:bCs/>
          <w:sz w:val="24"/>
          <w:szCs w:val="24"/>
        </w:rPr>
      </w:pPr>
      <w:bookmarkStart w:id="54" w:name="_Toc24455234"/>
      <w:bookmarkStart w:id="55" w:name="_Toc260230613"/>
      <w:bookmarkStart w:id="56" w:name="_Toc24083814"/>
      <w:bookmarkStart w:id="57" w:name="_Toc14599_WPSOffice_Level2"/>
      <w:bookmarkStart w:id="58" w:name="_Toc33340839"/>
      <w:bookmarkStart w:id="59" w:name="_Toc293413481"/>
      <w:bookmarkStart w:id="60" w:name="_Toc260238417"/>
      <w:bookmarkStart w:id="61" w:name="_Toc7288_WPSOffice_Level2"/>
      <w:bookmarkStart w:id="62" w:name="_Toc229281572"/>
      <w:bookmarkStart w:id="63" w:name="_Toc22570_WPSOffice_Level2"/>
      <w:bookmarkStart w:id="64" w:name="_Toc19491_WPSOffice_Level2"/>
      <w:r>
        <w:rPr>
          <w:rFonts w:hint="eastAsia" w:ascii="宋体" w:hAnsi="宋体" w:eastAsia="宋体"/>
          <w:bCs/>
          <w:sz w:val="24"/>
          <w:szCs w:val="24"/>
        </w:rPr>
        <w:t>评</w:t>
      </w:r>
      <w:bookmarkEnd w:id="54"/>
      <w:bookmarkEnd w:id="55"/>
      <w:bookmarkEnd w:id="56"/>
      <w:bookmarkEnd w:id="57"/>
      <w:bookmarkEnd w:id="58"/>
      <w:bookmarkEnd w:id="59"/>
      <w:bookmarkEnd w:id="60"/>
      <w:bookmarkEnd w:id="61"/>
      <w:bookmarkEnd w:id="62"/>
      <w:bookmarkEnd w:id="63"/>
      <w:bookmarkEnd w:id="64"/>
      <w:r>
        <w:rPr>
          <w:rFonts w:hint="eastAsia" w:ascii="宋体" w:hAnsi="宋体" w:eastAsia="宋体"/>
          <w:bCs/>
          <w:sz w:val="24"/>
          <w:szCs w:val="24"/>
        </w:rPr>
        <w:t>审</w:t>
      </w:r>
    </w:p>
    <w:p>
      <w:pPr>
        <w:numPr>
          <w:ilvl w:val="0"/>
          <w:numId w:val="13"/>
        </w:numPr>
        <w:kinsoku w:val="0"/>
        <w:overflowPunct w:val="0"/>
        <w:spacing w:line="400" w:lineRule="atLeast"/>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采购方将按照采购公告中规定的时间，在厦门市海沧区阳光西路288号厦门海发环保能源股份有限公司评标室评审。</w:t>
      </w:r>
    </w:p>
    <w:p>
      <w:pPr>
        <w:numPr>
          <w:ilvl w:val="0"/>
          <w:numId w:val="13"/>
        </w:numPr>
        <w:kinsoku w:val="0"/>
        <w:overflowPunct w:val="0"/>
        <w:spacing w:line="400" w:lineRule="atLeast"/>
        <w:jc w:val="left"/>
        <w:rPr>
          <w:rFonts w:ascii="宋体" w:hAnsi="宋体"/>
          <w:sz w:val="24"/>
          <w:szCs w:val="24"/>
        </w:rPr>
      </w:pPr>
      <w:r>
        <w:rPr>
          <w:rFonts w:hint="eastAsia" w:ascii="宋体" w:hAnsi="宋体"/>
          <w:sz w:val="24"/>
          <w:szCs w:val="24"/>
        </w:rPr>
        <w:t>报价方代表可监督检查报价文件的密封情况。</w:t>
      </w:r>
    </w:p>
    <w:p>
      <w:pPr>
        <w:numPr>
          <w:ilvl w:val="0"/>
          <w:numId w:val="13"/>
        </w:numPr>
        <w:kinsoku w:val="0"/>
        <w:overflowPunct w:val="0"/>
        <w:spacing w:line="400" w:lineRule="atLeast"/>
        <w:jc w:val="left"/>
        <w:rPr>
          <w:rFonts w:ascii="宋体" w:hAnsi="宋体"/>
          <w:sz w:val="24"/>
          <w:szCs w:val="24"/>
        </w:rPr>
      </w:pPr>
      <w:r>
        <w:rPr>
          <w:rFonts w:hint="eastAsia" w:ascii="宋体" w:hAnsi="宋体"/>
          <w:sz w:val="24"/>
          <w:szCs w:val="24"/>
        </w:rPr>
        <w:t>报价文件有下列情况之一者将被视为废标。</w:t>
      </w:r>
    </w:p>
    <w:p>
      <w:pPr>
        <w:numPr>
          <w:ilvl w:val="0"/>
          <w:numId w:val="14"/>
        </w:numPr>
        <w:kinsoku w:val="0"/>
        <w:overflowPunct w:val="0"/>
        <w:spacing w:line="400" w:lineRule="atLeast"/>
        <w:jc w:val="left"/>
        <w:rPr>
          <w:rFonts w:ascii="宋体" w:hAnsi="宋体"/>
          <w:sz w:val="24"/>
          <w:szCs w:val="24"/>
        </w:rPr>
      </w:pPr>
      <w:r>
        <w:rPr>
          <w:rFonts w:hint="eastAsia" w:ascii="宋体" w:hAnsi="宋体"/>
          <w:sz w:val="24"/>
          <w:szCs w:val="24"/>
        </w:rPr>
        <w:t>报价文件未标识和密封；</w:t>
      </w:r>
    </w:p>
    <w:p>
      <w:pPr>
        <w:numPr>
          <w:ilvl w:val="0"/>
          <w:numId w:val="14"/>
        </w:numPr>
        <w:kinsoku w:val="0"/>
        <w:overflowPunct w:val="0"/>
        <w:spacing w:line="400" w:lineRule="atLeast"/>
        <w:jc w:val="left"/>
        <w:rPr>
          <w:rFonts w:ascii="宋体" w:hAnsi="宋体"/>
          <w:sz w:val="24"/>
          <w:szCs w:val="24"/>
        </w:rPr>
      </w:pPr>
      <w:r>
        <w:rPr>
          <w:rFonts w:hint="eastAsia" w:ascii="宋体" w:hAnsi="宋体"/>
          <w:sz w:val="24"/>
          <w:szCs w:val="24"/>
        </w:rPr>
        <w:t>报价文件密封处未加盖报价方公章；</w:t>
      </w:r>
    </w:p>
    <w:p>
      <w:pPr>
        <w:numPr>
          <w:ilvl w:val="0"/>
          <w:numId w:val="14"/>
        </w:numPr>
        <w:kinsoku w:val="0"/>
        <w:overflowPunct w:val="0"/>
        <w:spacing w:line="400" w:lineRule="atLeast"/>
        <w:jc w:val="left"/>
        <w:rPr>
          <w:rFonts w:ascii="宋体" w:hAnsi="宋体"/>
          <w:sz w:val="24"/>
          <w:szCs w:val="24"/>
        </w:rPr>
      </w:pPr>
      <w:r>
        <w:rPr>
          <w:rFonts w:hint="eastAsia" w:ascii="宋体" w:hAnsi="宋体"/>
          <w:sz w:val="24"/>
          <w:szCs w:val="24"/>
        </w:rPr>
        <w:t>报价截止时间以后送达的报价文件。</w:t>
      </w:r>
    </w:p>
    <w:p>
      <w:pPr>
        <w:numPr>
          <w:ilvl w:val="0"/>
          <w:numId w:val="13"/>
        </w:numPr>
        <w:kinsoku w:val="0"/>
        <w:overflowPunct w:val="0"/>
        <w:spacing w:line="400" w:lineRule="atLeast"/>
        <w:jc w:val="left"/>
        <w:rPr>
          <w:rFonts w:ascii="宋体" w:hAnsi="宋体"/>
          <w:sz w:val="24"/>
          <w:szCs w:val="24"/>
        </w:rPr>
      </w:pPr>
      <w:r>
        <w:rPr>
          <w:rFonts w:hint="eastAsia" w:ascii="宋体" w:hAnsi="宋体"/>
          <w:sz w:val="24"/>
          <w:szCs w:val="24"/>
        </w:rPr>
        <w:t>报价方存在下列情形之一，被认定为串通投标行为的：</w:t>
      </w:r>
    </w:p>
    <w:p>
      <w:pPr>
        <w:numPr>
          <w:ilvl w:val="0"/>
          <w:numId w:val="15"/>
        </w:numPr>
        <w:kinsoku w:val="0"/>
        <w:overflowPunct w:val="0"/>
        <w:spacing w:line="400" w:lineRule="atLeast"/>
        <w:jc w:val="left"/>
        <w:rPr>
          <w:rFonts w:ascii="宋体" w:hAnsi="宋体"/>
          <w:sz w:val="24"/>
          <w:szCs w:val="24"/>
        </w:rPr>
      </w:pPr>
      <w:r>
        <w:rPr>
          <w:rFonts w:hint="eastAsia" w:ascii="宋体" w:hAnsi="宋体"/>
          <w:sz w:val="24"/>
          <w:szCs w:val="24"/>
        </w:rPr>
        <w:t>不同报价人的报价文件错、漏之处一致或雷同，且不能合理解释的；</w:t>
      </w:r>
    </w:p>
    <w:p>
      <w:pPr>
        <w:numPr>
          <w:ilvl w:val="0"/>
          <w:numId w:val="15"/>
        </w:numPr>
        <w:kinsoku w:val="0"/>
        <w:overflowPunct w:val="0"/>
        <w:spacing w:line="400" w:lineRule="atLeast"/>
        <w:jc w:val="left"/>
        <w:rPr>
          <w:rFonts w:ascii="宋体" w:hAnsi="宋体"/>
          <w:sz w:val="24"/>
          <w:szCs w:val="24"/>
        </w:rPr>
      </w:pPr>
      <w:r>
        <w:rPr>
          <w:rFonts w:hint="eastAsia" w:ascii="宋体" w:hAnsi="宋体"/>
          <w:sz w:val="24"/>
          <w:szCs w:val="24"/>
        </w:rPr>
        <w:t>不同的报价人的法定代表人、委托代理人等由同一个单位缴纳社会保险的；</w:t>
      </w:r>
    </w:p>
    <w:p>
      <w:pPr>
        <w:numPr>
          <w:ilvl w:val="0"/>
          <w:numId w:val="15"/>
        </w:numPr>
        <w:kinsoku w:val="0"/>
        <w:overflowPunct w:val="0"/>
        <w:spacing w:line="400" w:lineRule="atLeast"/>
        <w:jc w:val="left"/>
        <w:rPr>
          <w:rFonts w:ascii="宋体" w:hAnsi="宋体"/>
          <w:sz w:val="24"/>
          <w:szCs w:val="24"/>
        </w:rPr>
      </w:pPr>
      <w:r>
        <w:rPr>
          <w:rFonts w:hint="eastAsia" w:ascii="宋体" w:hAnsi="宋体"/>
          <w:sz w:val="24"/>
          <w:szCs w:val="24"/>
        </w:rPr>
        <w:t>由同一人或分别由几个有利害关系的人携带两个以上（含两个）报价人的企业资料参与资格审查、报价，或代表两个以上（含两个）报价人参加答疑会、交纳或退还投标保证金、开标的；</w:t>
      </w:r>
    </w:p>
    <w:p>
      <w:pPr>
        <w:numPr>
          <w:ilvl w:val="0"/>
          <w:numId w:val="15"/>
        </w:numPr>
        <w:kinsoku w:val="0"/>
        <w:overflowPunct w:val="0"/>
        <w:spacing w:line="400" w:lineRule="atLeast"/>
        <w:jc w:val="left"/>
        <w:rPr>
          <w:rFonts w:ascii="宋体" w:hAnsi="宋体"/>
          <w:sz w:val="24"/>
          <w:szCs w:val="24"/>
        </w:rPr>
      </w:pPr>
      <w:r>
        <w:rPr>
          <w:rFonts w:hint="eastAsia" w:ascii="宋体" w:hAnsi="宋体"/>
          <w:sz w:val="24"/>
          <w:szCs w:val="24"/>
        </w:rPr>
        <w:t>有关法律、法规或规章规定的其他串通投标行为。</w:t>
      </w:r>
    </w:p>
    <w:p>
      <w:pPr>
        <w:numPr>
          <w:ilvl w:val="0"/>
          <w:numId w:val="13"/>
        </w:numPr>
        <w:kinsoku w:val="0"/>
        <w:overflowPunct w:val="0"/>
        <w:spacing w:line="400" w:lineRule="atLeast"/>
        <w:jc w:val="left"/>
        <w:rPr>
          <w:rFonts w:ascii="宋体" w:hAnsi="宋体"/>
          <w:sz w:val="24"/>
          <w:szCs w:val="24"/>
        </w:rPr>
      </w:pPr>
      <w:bookmarkStart w:id="65" w:name="_Toc420577581"/>
      <w:bookmarkStart w:id="66" w:name="_Toc422416153"/>
      <w:bookmarkStart w:id="67" w:name="_Toc445901129"/>
      <w:bookmarkStart w:id="68" w:name="_Toc444614425"/>
      <w:bookmarkStart w:id="69" w:name="_Toc449635679"/>
      <w:bookmarkStart w:id="70" w:name="_Toc440899515"/>
      <w:bookmarkStart w:id="71" w:name="_Toc462647056"/>
      <w:bookmarkStart w:id="72" w:name="_Toc422906617"/>
      <w:bookmarkStart w:id="73" w:name="_Toc441500070"/>
      <w:bookmarkStart w:id="74" w:name="_Toc445748261"/>
      <w:bookmarkStart w:id="75" w:name="_Toc457383223"/>
      <w:bookmarkStart w:id="76" w:name="_Toc418522815"/>
      <w:bookmarkStart w:id="77" w:name="_Toc445991603"/>
      <w:bookmarkStart w:id="78" w:name="_Toc439661731"/>
      <w:bookmarkStart w:id="79" w:name="_Toc421773672"/>
      <w:bookmarkStart w:id="80" w:name="_Toc425266324"/>
      <w:bookmarkStart w:id="81" w:name="_Toc441224335"/>
      <w:bookmarkStart w:id="82" w:name="_Toc449373772"/>
      <w:r>
        <w:rPr>
          <w:rFonts w:hint="eastAsia" w:ascii="宋体" w:hAnsi="宋体"/>
          <w:sz w:val="24"/>
          <w:szCs w:val="24"/>
        </w:rPr>
        <w:t>本项目若属于首次进行询价采购的，在采购过程中出现下列情况的，本次询价采购失败。</w:t>
      </w:r>
    </w:p>
    <w:p>
      <w:pPr>
        <w:numPr>
          <w:ilvl w:val="0"/>
          <w:numId w:val="16"/>
        </w:numPr>
        <w:kinsoku w:val="0"/>
        <w:overflowPunct w:val="0"/>
        <w:spacing w:line="400" w:lineRule="atLeast"/>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16"/>
        </w:numPr>
        <w:kinsoku w:val="0"/>
        <w:overflowPunct w:val="0"/>
        <w:spacing w:line="400" w:lineRule="atLeast"/>
        <w:jc w:val="left"/>
        <w:rPr>
          <w:rFonts w:ascii="宋体" w:hAnsi="宋体"/>
          <w:sz w:val="24"/>
          <w:szCs w:val="24"/>
        </w:rPr>
      </w:pPr>
      <w:r>
        <w:rPr>
          <w:rFonts w:hint="eastAsia" w:ascii="宋体" w:hAnsi="宋体"/>
          <w:sz w:val="24"/>
          <w:szCs w:val="24"/>
        </w:rPr>
        <w:t>能满足采购文件实质性要求的有效供应商不足三家的；</w:t>
      </w:r>
    </w:p>
    <w:p>
      <w:pPr>
        <w:numPr>
          <w:ilvl w:val="0"/>
          <w:numId w:val="16"/>
        </w:numPr>
        <w:kinsoku w:val="0"/>
        <w:overflowPunct w:val="0"/>
        <w:spacing w:line="400" w:lineRule="atLeast"/>
        <w:jc w:val="left"/>
        <w:rPr>
          <w:rFonts w:ascii="宋体" w:hAnsi="宋体"/>
          <w:sz w:val="24"/>
          <w:szCs w:val="24"/>
        </w:rPr>
      </w:pPr>
      <w:r>
        <w:rPr>
          <w:rFonts w:hint="eastAsia" w:ascii="宋体" w:hAnsi="宋体"/>
          <w:sz w:val="24"/>
          <w:szCs w:val="24"/>
        </w:rPr>
        <w:t>报价未超过采购最高限价的有效供应商不足三家的。</w:t>
      </w:r>
    </w:p>
    <w:p>
      <w:pPr>
        <w:numPr>
          <w:ilvl w:val="0"/>
          <w:numId w:val="13"/>
        </w:numPr>
        <w:kinsoku w:val="0"/>
        <w:overflowPunct w:val="0"/>
        <w:spacing w:line="400" w:lineRule="atLeast"/>
        <w:jc w:val="left"/>
        <w:rPr>
          <w:rFonts w:ascii="宋体" w:hAnsi="宋体"/>
          <w:sz w:val="24"/>
          <w:szCs w:val="24"/>
        </w:rPr>
      </w:pPr>
      <w:r>
        <w:rPr>
          <w:rFonts w:hint="eastAsia" w:ascii="宋体" w:hAnsi="宋体"/>
          <w:sz w:val="24"/>
          <w:szCs w:val="24"/>
        </w:rPr>
        <w:t>本项目若属于首次询价采购失败后进行的第二次询价采购活动的，根据询价文件的规定，若资格性与符合性检查合格的供应商只有两家的，评审谈判小组可以对两家供应商报价文件进行评审推荐成交候选供应商；只有1家响应的，评审谈判小组按照符合采购需求、报价合理的原则推荐成交供应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numPr>
          <w:ilvl w:val="0"/>
          <w:numId w:val="13"/>
        </w:numPr>
        <w:kinsoku w:val="0"/>
        <w:overflowPunct w:val="0"/>
        <w:spacing w:line="400" w:lineRule="atLeast"/>
        <w:jc w:val="left"/>
        <w:rPr>
          <w:rFonts w:ascii="宋体" w:hAnsi="宋体"/>
          <w:sz w:val="24"/>
          <w:szCs w:val="24"/>
        </w:rPr>
      </w:pPr>
      <w:r>
        <w:rPr>
          <w:rFonts w:hint="eastAsia" w:ascii="宋体" w:hAnsi="宋体"/>
          <w:sz w:val="24"/>
          <w:szCs w:val="24"/>
        </w:rPr>
        <w:t>评审原则</w:t>
      </w:r>
    </w:p>
    <w:p>
      <w:pPr>
        <w:pStyle w:val="5"/>
      </w:pPr>
    </w:p>
    <w:p>
      <w:pPr>
        <w:numPr>
          <w:ilvl w:val="0"/>
          <w:numId w:val="17"/>
        </w:numPr>
        <w:kinsoku w:val="0"/>
        <w:overflowPunct w:val="0"/>
        <w:spacing w:line="400" w:lineRule="atLeast"/>
        <w:jc w:val="left"/>
        <w:rPr>
          <w:rFonts w:ascii="宋体" w:hAnsi="宋体"/>
          <w:sz w:val="24"/>
          <w:szCs w:val="24"/>
        </w:rPr>
      </w:pPr>
      <w:r>
        <w:rPr>
          <w:rFonts w:hint="eastAsia" w:ascii="宋体" w:hAnsi="宋体"/>
          <w:sz w:val="24"/>
          <w:szCs w:val="24"/>
        </w:rPr>
        <w:t>评审评审谈判小组对具备实质性的报价文件进行评估和比较。评审评审谈判小组成员由采购方相关人员组成，评审评审谈判小组将严格按照谈判文件的要求和条件对所有报价文件进行评审。</w:t>
      </w:r>
    </w:p>
    <w:p>
      <w:pPr>
        <w:numPr>
          <w:ilvl w:val="0"/>
          <w:numId w:val="17"/>
        </w:numPr>
        <w:kinsoku w:val="0"/>
        <w:overflowPunct w:val="0"/>
        <w:spacing w:line="400" w:lineRule="atLeast"/>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8"/>
        </w:numPr>
        <w:kinsoku w:val="0"/>
        <w:overflowPunct w:val="0"/>
        <w:spacing w:line="400" w:lineRule="atLeast"/>
        <w:jc w:val="left"/>
        <w:rPr>
          <w:rFonts w:ascii="宋体" w:hAnsi="宋体"/>
          <w:sz w:val="24"/>
          <w:szCs w:val="24"/>
        </w:rPr>
      </w:pPr>
      <w:r>
        <w:rPr>
          <w:rFonts w:hint="eastAsia" w:ascii="宋体" w:hAnsi="宋体"/>
          <w:sz w:val="24"/>
          <w:szCs w:val="24"/>
        </w:rPr>
        <w:t>资格证明文件不全的；</w:t>
      </w:r>
    </w:p>
    <w:p>
      <w:pPr>
        <w:numPr>
          <w:ilvl w:val="0"/>
          <w:numId w:val="18"/>
        </w:numPr>
        <w:kinsoku w:val="0"/>
        <w:overflowPunct w:val="0"/>
        <w:spacing w:line="400" w:lineRule="atLeast"/>
        <w:jc w:val="left"/>
        <w:rPr>
          <w:rFonts w:ascii="宋体" w:hAnsi="宋体"/>
          <w:sz w:val="24"/>
          <w:szCs w:val="24"/>
        </w:rPr>
      </w:pPr>
      <w:r>
        <w:rPr>
          <w:rFonts w:hint="eastAsia" w:ascii="宋体" w:hAnsi="宋体"/>
          <w:sz w:val="24"/>
          <w:szCs w:val="24"/>
        </w:rPr>
        <w:t>报价文件未按谈判文件规定盖报价单位公章及签字；</w:t>
      </w:r>
    </w:p>
    <w:p>
      <w:pPr>
        <w:numPr>
          <w:ilvl w:val="0"/>
          <w:numId w:val="18"/>
        </w:numPr>
        <w:kinsoku w:val="0"/>
        <w:overflowPunct w:val="0"/>
        <w:spacing w:line="400" w:lineRule="atLeast"/>
        <w:jc w:val="left"/>
        <w:rPr>
          <w:rFonts w:ascii="宋体" w:hAnsi="宋体"/>
          <w:sz w:val="24"/>
          <w:szCs w:val="24"/>
        </w:rPr>
      </w:pPr>
      <w:r>
        <w:rPr>
          <w:rFonts w:hint="eastAsia" w:ascii="宋体" w:hAnsi="宋体"/>
          <w:sz w:val="24"/>
          <w:szCs w:val="24"/>
        </w:rPr>
        <w:t>报价文件附有采购方不能接受的条件的。</w:t>
      </w:r>
      <w:bookmarkStart w:id="83" w:name="_Toc7598_WPSOffice_Level2"/>
      <w:bookmarkStart w:id="84" w:name="_Toc293413482"/>
      <w:bookmarkStart w:id="85" w:name="_Toc229281573"/>
      <w:bookmarkStart w:id="86" w:name="_Toc18016_WPSOffice_Level2"/>
      <w:bookmarkStart w:id="87" w:name="_Toc18499_WPSOffice_Level2"/>
      <w:bookmarkStart w:id="88" w:name="_Toc260230614"/>
      <w:bookmarkStart w:id="89" w:name="_Toc33340840"/>
      <w:bookmarkStart w:id="90" w:name="_Toc24456368"/>
      <w:bookmarkStart w:id="91" w:name="_Toc24083815"/>
      <w:bookmarkStart w:id="92" w:name="_Toc24455235"/>
      <w:bookmarkStart w:id="93" w:name="_Toc260238418"/>
      <w:bookmarkStart w:id="94" w:name="_Toc24711813"/>
      <w:bookmarkStart w:id="95" w:name="_Toc26749_WPSOffice_Level2"/>
    </w:p>
    <w:p>
      <w:pPr>
        <w:numPr>
          <w:ilvl w:val="0"/>
          <w:numId w:val="17"/>
        </w:numPr>
        <w:kinsoku w:val="0"/>
        <w:overflowPunct w:val="0"/>
        <w:spacing w:line="400" w:lineRule="atLeast"/>
        <w:jc w:val="left"/>
        <w:rPr>
          <w:rFonts w:ascii="宋体" w:hAnsi="宋体"/>
          <w:sz w:val="24"/>
          <w:szCs w:val="24"/>
        </w:rPr>
      </w:pPr>
      <w:r>
        <w:rPr>
          <w:rFonts w:hint="eastAsia" w:ascii="宋体" w:hAnsi="宋体"/>
          <w:sz w:val="24"/>
          <w:szCs w:val="24"/>
        </w:rPr>
        <w:t>评审谈判小组与通过资格和符合性审查的报价方进行谈判。</w:t>
      </w:r>
    </w:p>
    <w:p>
      <w:pPr>
        <w:numPr>
          <w:ilvl w:val="0"/>
          <w:numId w:val="17"/>
        </w:numPr>
        <w:kinsoku w:val="0"/>
        <w:overflowPunct w:val="0"/>
        <w:spacing w:line="400" w:lineRule="atLeast"/>
        <w:jc w:val="left"/>
        <w:rPr>
          <w:rFonts w:ascii="宋体" w:hAnsi="宋体"/>
          <w:sz w:val="24"/>
          <w:szCs w:val="24"/>
        </w:rPr>
      </w:pPr>
      <w:r>
        <w:rPr>
          <w:rFonts w:hint="eastAsia" w:ascii="宋体" w:hAnsi="宋体"/>
          <w:sz w:val="24"/>
          <w:szCs w:val="24"/>
        </w:rPr>
        <w:t>本次谈判采用经评审合格最低价成交法。通过资格审查，符合谈判采购文件要求且报价最低的原则确定成交供应商。</w:t>
      </w:r>
    </w:p>
    <w:p>
      <w:pPr>
        <w:pStyle w:val="2"/>
        <w:keepNext w:val="0"/>
        <w:keepLines w:val="0"/>
        <w:numPr>
          <w:ilvl w:val="0"/>
          <w:numId w:val="8"/>
        </w:numPr>
        <w:kinsoku w:val="0"/>
        <w:overflowPunct w:val="0"/>
        <w:autoSpaceDE w:val="0"/>
        <w:autoSpaceDN w:val="0"/>
        <w:spacing w:before="0" w:after="0" w:line="400" w:lineRule="atLeast"/>
        <w:ind w:right="210" w:rightChars="100"/>
        <w:jc w:val="both"/>
        <w:rPr>
          <w:rFonts w:ascii="宋体" w:hAnsi="宋体" w:eastAsia="宋体"/>
          <w:bCs/>
          <w:sz w:val="24"/>
          <w:szCs w:val="24"/>
        </w:rPr>
      </w:pPr>
      <w:r>
        <w:rPr>
          <w:rFonts w:hint="eastAsia" w:ascii="宋体" w:hAnsi="宋体" w:eastAsia="宋体"/>
          <w:bCs/>
          <w:sz w:val="24"/>
          <w:szCs w:val="24"/>
        </w:rPr>
        <w:t>合同的授予</w:t>
      </w:r>
      <w:bookmarkEnd w:id="83"/>
      <w:bookmarkEnd w:id="84"/>
      <w:bookmarkEnd w:id="85"/>
      <w:bookmarkEnd w:id="86"/>
      <w:bookmarkEnd w:id="87"/>
      <w:bookmarkEnd w:id="88"/>
      <w:bookmarkEnd w:id="89"/>
      <w:bookmarkEnd w:id="90"/>
      <w:bookmarkEnd w:id="91"/>
      <w:bookmarkEnd w:id="92"/>
      <w:bookmarkEnd w:id="93"/>
      <w:bookmarkEnd w:id="94"/>
      <w:bookmarkEnd w:id="95"/>
    </w:p>
    <w:p>
      <w:pPr>
        <w:numPr>
          <w:ilvl w:val="0"/>
          <w:numId w:val="19"/>
        </w:numPr>
        <w:kinsoku w:val="0"/>
        <w:overflowPunct w:val="0"/>
        <w:spacing w:line="400" w:lineRule="atLeast"/>
        <w:jc w:val="left"/>
        <w:rPr>
          <w:rFonts w:ascii="宋体" w:hAnsi="宋体"/>
          <w:sz w:val="24"/>
          <w:szCs w:val="24"/>
        </w:rPr>
      </w:pPr>
      <w:r>
        <w:rPr>
          <w:rFonts w:hint="eastAsia" w:ascii="宋体" w:hAnsi="宋体"/>
          <w:sz w:val="24"/>
          <w:szCs w:val="24"/>
        </w:rPr>
        <w:t>合同授予的条件</w:t>
      </w:r>
    </w:p>
    <w:p>
      <w:pPr>
        <w:pStyle w:val="2"/>
        <w:keepNext w:val="0"/>
        <w:keepLines w:val="0"/>
        <w:kinsoku w:val="0"/>
        <w:overflowPunct w:val="0"/>
        <w:autoSpaceDE w:val="0"/>
        <w:autoSpaceDN w:val="0"/>
        <w:spacing w:before="0" w:after="0" w:line="400" w:lineRule="atLeast"/>
        <w:ind w:firstLine="520" w:firstLineChars="200"/>
        <w:jc w:val="both"/>
        <w:rPr>
          <w:rFonts w:ascii="宋体" w:hAnsi="宋体" w:eastAsia="宋体"/>
          <w:b w:val="0"/>
          <w:sz w:val="24"/>
          <w:szCs w:val="24"/>
        </w:rPr>
      </w:pPr>
      <w:r>
        <w:rPr>
          <w:rFonts w:hint="eastAsia" w:ascii="宋体" w:hAnsi="宋体" w:eastAsia="宋体"/>
          <w:b w:val="0"/>
          <w:sz w:val="24"/>
          <w:szCs w:val="24"/>
        </w:rPr>
        <w:t>采购方将根据评标意见，把合同授予其报价文件在实质上响应谈判文件要求的报价方，被确定的成交供应商必须具有实施本合同的能力和资源。</w:t>
      </w:r>
    </w:p>
    <w:p>
      <w:pPr>
        <w:numPr>
          <w:ilvl w:val="0"/>
          <w:numId w:val="19"/>
        </w:numPr>
        <w:kinsoku w:val="0"/>
        <w:overflowPunct w:val="0"/>
        <w:spacing w:line="400" w:lineRule="atLeast"/>
        <w:jc w:val="left"/>
        <w:rPr>
          <w:rFonts w:ascii="宋体" w:hAnsi="宋体"/>
          <w:sz w:val="24"/>
          <w:szCs w:val="24"/>
        </w:rPr>
      </w:pPr>
      <w:r>
        <w:rPr>
          <w:rFonts w:hint="eastAsia" w:ascii="宋体" w:hAnsi="宋体"/>
          <w:sz w:val="24"/>
          <w:szCs w:val="24"/>
        </w:rPr>
        <w:t>成交通知书</w:t>
      </w:r>
    </w:p>
    <w:p>
      <w:pPr>
        <w:pStyle w:val="2"/>
        <w:keepNext w:val="0"/>
        <w:keepLines w:val="0"/>
        <w:kinsoku w:val="0"/>
        <w:overflowPunct w:val="0"/>
        <w:autoSpaceDE w:val="0"/>
        <w:autoSpaceDN w:val="0"/>
        <w:spacing w:before="0" w:after="0" w:line="400" w:lineRule="atLeast"/>
        <w:ind w:firstLine="520" w:firstLineChars="200"/>
        <w:jc w:val="both"/>
        <w:rPr>
          <w:rFonts w:ascii="宋体" w:hAnsi="宋体" w:eastAsia="宋体"/>
          <w:b w:val="0"/>
          <w:sz w:val="24"/>
          <w:szCs w:val="24"/>
        </w:rPr>
      </w:pPr>
      <w:r>
        <w:rPr>
          <w:rFonts w:hint="eastAsia" w:ascii="宋体" w:hAnsi="宋体" w:eastAsia="宋体"/>
          <w:b w:val="0"/>
          <w:sz w:val="24"/>
          <w:szCs w:val="24"/>
        </w:rPr>
        <w:t>评标结束后，采购方根据评标结果，在报价文件有效期截止前向成交供应商发出《成交通知书》。《成交通知书》是合同文件的组成部分。</w:t>
      </w:r>
    </w:p>
    <w:p>
      <w:pPr>
        <w:numPr>
          <w:ilvl w:val="0"/>
          <w:numId w:val="19"/>
        </w:numPr>
        <w:kinsoku w:val="0"/>
        <w:overflowPunct w:val="0"/>
        <w:spacing w:line="400" w:lineRule="atLeast"/>
        <w:jc w:val="left"/>
        <w:rPr>
          <w:rFonts w:ascii="宋体" w:hAnsi="宋体"/>
          <w:sz w:val="24"/>
          <w:szCs w:val="24"/>
        </w:rPr>
      </w:pPr>
      <w:r>
        <w:rPr>
          <w:rFonts w:hint="eastAsia" w:ascii="宋体" w:hAnsi="宋体"/>
          <w:sz w:val="24"/>
          <w:szCs w:val="24"/>
        </w:rPr>
        <w:t>签订合同</w:t>
      </w:r>
    </w:p>
    <w:p>
      <w:pPr>
        <w:numPr>
          <w:ilvl w:val="0"/>
          <w:numId w:val="20"/>
        </w:numPr>
        <w:kinsoku w:val="0"/>
        <w:overflowPunct w:val="0"/>
        <w:spacing w:line="400" w:lineRule="atLeast"/>
        <w:jc w:val="left"/>
        <w:rPr>
          <w:rFonts w:ascii="宋体" w:hAnsi="宋体"/>
          <w:sz w:val="24"/>
          <w:szCs w:val="24"/>
        </w:rPr>
      </w:pPr>
      <w:r>
        <w:rPr>
          <w:rFonts w:hint="eastAsia" w:ascii="宋体" w:hAnsi="宋体"/>
          <w:sz w:val="24"/>
          <w:szCs w:val="24"/>
        </w:rPr>
        <w:t>成交供应商应在接到成交通知书后尽快与采购方签订合同，采购方和成交供应商不得另行订立背离合同实质性内容的其它协议。</w:t>
      </w:r>
    </w:p>
    <w:p>
      <w:pPr>
        <w:numPr>
          <w:ilvl w:val="0"/>
          <w:numId w:val="20"/>
        </w:numPr>
        <w:kinsoku w:val="0"/>
        <w:overflowPunct w:val="0"/>
        <w:spacing w:line="400" w:lineRule="atLeast"/>
        <w:jc w:val="left"/>
        <w:rPr>
          <w:rFonts w:ascii="宋体" w:hAnsi="宋体"/>
          <w:sz w:val="24"/>
          <w:szCs w:val="24"/>
        </w:rPr>
      </w:pPr>
      <w:r>
        <w:rPr>
          <w:rFonts w:hint="eastAsia" w:ascii="宋体" w:hAnsi="宋体"/>
          <w:sz w:val="24"/>
          <w:szCs w:val="24"/>
        </w:rPr>
        <w:t>成交供应商中标后无正当理由不与采购方签订合同的，采购方不予退还其缴纳的保证金；情节严重的，采购方将其列入不良行为记录名单，在半年至三年内禁止参加采购方的采购活动。</w:t>
      </w:r>
    </w:p>
    <w:p>
      <w:pPr>
        <w:numPr>
          <w:ilvl w:val="0"/>
          <w:numId w:val="20"/>
        </w:numPr>
        <w:kinsoku w:val="0"/>
        <w:overflowPunct w:val="0"/>
        <w:spacing w:line="400" w:lineRule="atLeast"/>
        <w:jc w:val="left"/>
        <w:rPr>
          <w:rFonts w:ascii="宋体" w:hAnsi="宋体"/>
          <w:sz w:val="24"/>
          <w:szCs w:val="24"/>
        </w:rPr>
      </w:pPr>
      <w:r>
        <w:rPr>
          <w:rFonts w:hint="eastAsia" w:ascii="宋体" w:hAnsi="宋体"/>
          <w:sz w:val="24"/>
          <w:szCs w:val="24"/>
        </w:rPr>
        <w:t>成交供应商因不可抗力或者自身原因不能履行采购合同的，采购方可以与排在成交供应商之后第一位的成交候选供应商签订采购合同，以此类推。</w:t>
      </w:r>
    </w:p>
    <w:p>
      <w:pPr>
        <w:jc w:val="center"/>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2"/>
        <w:keepNext w:val="0"/>
        <w:keepLines w:val="0"/>
        <w:kinsoku w:val="0"/>
        <w:overflowPunct w:val="0"/>
        <w:autoSpaceDE w:val="0"/>
        <w:autoSpaceDN w:val="0"/>
        <w:spacing w:before="0" w:after="0" w:line="400" w:lineRule="atLeast"/>
        <w:ind w:firstLine="522" w:firstLineChars="200"/>
        <w:jc w:val="center"/>
        <w:rPr>
          <w:rFonts w:ascii="宋体" w:hAnsi="宋体" w:eastAsia="宋体"/>
          <w:bCs/>
          <w:sz w:val="24"/>
          <w:szCs w:val="24"/>
        </w:rPr>
      </w:pPr>
      <w:bookmarkStart w:id="96" w:name="_Toc585"/>
      <w:r>
        <w:rPr>
          <w:rFonts w:hint="eastAsia" w:ascii="宋体" w:hAnsi="宋体" w:eastAsia="宋体"/>
          <w:bCs/>
          <w:sz w:val="24"/>
          <w:szCs w:val="24"/>
        </w:rPr>
        <w:t>第三部分 技术规范书</w:t>
      </w:r>
      <w:bookmarkEnd w:id="96"/>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97" w:name="_Toc24304"/>
      <w:bookmarkStart w:id="98" w:name="_Toc22167"/>
      <w:bookmarkStart w:id="99" w:name="_Toc381625543"/>
      <w:bookmarkStart w:id="100" w:name="_Toc32616"/>
      <w:bookmarkStart w:id="101" w:name="_Toc31575"/>
      <w:bookmarkStart w:id="102" w:name="_Toc15784"/>
      <w:r>
        <w:rPr>
          <w:rFonts w:hint="eastAsia" w:asciiTheme="minorEastAsia" w:hAnsiTheme="minorEastAsia" w:cstheme="minorEastAsia"/>
          <w:sz w:val="24"/>
          <w:szCs w:val="24"/>
        </w:rPr>
        <w:t>总则</w:t>
      </w:r>
      <w:bookmarkEnd w:id="97"/>
      <w:bookmarkEnd w:id="98"/>
      <w:bookmarkEnd w:id="99"/>
      <w:bookmarkEnd w:id="100"/>
      <w:bookmarkEnd w:id="101"/>
      <w:bookmarkEnd w:id="102"/>
    </w:p>
    <w:p>
      <w:pPr>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rPr>
        <w:tab/>
      </w:r>
      <w:r>
        <w:rPr>
          <w:rFonts w:hint="eastAsia" w:asciiTheme="minorEastAsia" w:hAnsiTheme="minorEastAsia" w:cstheme="minorEastAsia"/>
          <w:sz w:val="24"/>
          <w:szCs w:val="24"/>
        </w:rPr>
        <w:t>本技术规范书提出了厦门海发环保能源股份有限公司一体式氧化锆分析仪采购，包括一体式氧化锆分析仪其附件的功能设计、性能、结构、制造、试验、安装和质量保证等各方面的技术要求。</w:t>
      </w:r>
    </w:p>
    <w:p>
      <w:pPr>
        <w:pStyle w:val="9"/>
        <w:adjustRightInd w:val="0"/>
        <w:snapToGrid w:val="0"/>
        <w:spacing w:after="0" w:line="440" w:lineRule="exact"/>
        <w:ind w:left="0" w:leftChars="0"/>
        <w:rPr>
          <w:rFonts w:asciiTheme="minorEastAsia" w:hAnsiTheme="minorEastAsia" w:cstheme="minorEastAsia"/>
          <w:sz w:val="24"/>
          <w:szCs w:val="24"/>
        </w:rPr>
      </w:pPr>
      <w:r>
        <w:rPr>
          <w:rFonts w:hint="eastAsia" w:asciiTheme="minorEastAsia" w:hAnsiTheme="minorEastAsia" w:cstheme="minorEastAsia"/>
          <w:sz w:val="24"/>
          <w:szCs w:val="24"/>
        </w:rPr>
        <w:t>1.2</w:t>
      </w:r>
      <w:r>
        <w:rPr>
          <w:rFonts w:hint="eastAsia" w:asciiTheme="minorEastAsia" w:hAnsiTheme="minorEastAsia" w:cstheme="minorEastAsia"/>
          <w:sz w:val="24"/>
          <w:szCs w:val="24"/>
        </w:rPr>
        <w:tab/>
      </w:r>
      <w:r>
        <w:rPr>
          <w:rFonts w:hint="eastAsia" w:asciiTheme="minorEastAsia" w:hAnsiTheme="minorEastAsia" w:cstheme="minorEastAsia"/>
          <w:sz w:val="24"/>
          <w:szCs w:val="24"/>
        </w:rPr>
        <w:t>本技术规范提出的是最低限度的技术要求，并没有对一切技术细节作出规定，也未充分引述有关标准及规范的条文。报价方应保证提供符合本技术规范和有关最新工业标准的产品。对国家有关安全、环保、电力等强制性标准，即使本规范书没有提及，报价方也必须满足要求。报价方应提供一套满足本技术规范和所列标准要求的高质量产品及其相应服务。</w:t>
      </w:r>
    </w:p>
    <w:p>
      <w:pPr>
        <w:pStyle w:val="9"/>
        <w:adjustRightInd w:val="0"/>
        <w:snapToGrid w:val="0"/>
        <w:spacing w:after="0" w:line="440" w:lineRule="exact"/>
        <w:ind w:left="0" w:leftChars="0"/>
        <w:rPr>
          <w:rFonts w:asciiTheme="minorEastAsia" w:hAnsiTheme="minorEastAsia" w:cstheme="minorEastAsia"/>
          <w:sz w:val="24"/>
          <w:szCs w:val="24"/>
        </w:rPr>
      </w:pPr>
      <w:r>
        <w:rPr>
          <w:rFonts w:hint="eastAsia" w:asciiTheme="minorEastAsia" w:hAnsiTheme="minorEastAsia" w:cstheme="minorEastAsia"/>
          <w:sz w:val="24"/>
          <w:szCs w:val="24"/>
        </w:rPr>
        <w:t>1.3本技术条件中凡标明参数数值的，是作为特别强调，其他未标明的均应执行相关GB、IEC和DL标准。</w:t>
      </w:r>
    </w:p>
    <w:p>
      <w:pPr>
        <w:pStyle w:val="4"/>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1.4 在签定合同之后，采购方保留对本技术规范提出补充要求和修改的权利，报价方应承诺予以配合。如提出修改，具体项目和条件由供、需双方商定。</w:t>
      </w:r>
    </w:p>
    <w:p>
      <w:pPr>
        <w:pStyle w:val="15"/>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1.5 报价方执行本技术规范所列标准。有矛盾时，按较高标准执行，并在系统设计和设备制造中所涉及的各项规程，规范和标准遵循现行最新版本的标准。</w:t>
      </w:r>
    </w:p>
    <w:p>
      <w:pPr>
        <w:pStyle w:val="4"/>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1.6 系统设备采用的专利涉及到的全部费用均已包含在设备报价中，报价方保证采购方不承担有关设备专利的一切责任。</w:t>
      </w:r>
    </w:p>
    <w:p>
      <w:pPr>
        <w:pStyle w:val="4"/>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1.7 在签订合同之后，采购方有权提出因规范标准和规程发生变化而产生的一些补充要求，具体项目由采购方、报价方双方共同商定，合同设备不因此而加价。</w:t>
      </w:r>
    </w:p>
    <w:p>
      <w:pPr>
        <w:pStyle w:val="4"/>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1.8 本工程采用统一的电厂编码标识系统。报价方应在设计、制造、运输、安装、试运行及项目管理等各个环节使用标识编码。</w:t>
      </w:r>
    </w:p>
    <w:p>
      <w:pPr>
        <w:pStyle w:val="4"/>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1.9 报价方提供的文件，包括图纸、计算、说明、使用手册等，均应使用国际单位制(SI)。所有文件、图纸均应使用中文。若文件为外文，应同时附中文说明。</w:t>
      </w:r>
    </w:p>
    <w:p>
      <w:pPr>
        <w:pStyle w:val="4"/>
        <w:adjustRightInd w:val="0"/>
        <w:snapToGrid w:val="0"/>
        <w:spacing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1.10 若本技术规范前后有不一致的地方，应以更有利于设备安装运行、工程质量为原则，由采购方确定。</w:t>
      </w:r>
    </w:p>
    <w:p>
      <w:pPr>
        <w:adjustRightInd w:val="0"/>
        <w:snapToGrid w:val="0"/>
        <w:spacing w:line="440" w:lineRule="exact"/>
        <w:rPr>
          <w:rFonts w:asciiTheme="minorEastAsia" w:hAnsiTheme="minorEastAsia" w:cstheme="minorEastAsia"/>
          <w:spacing w:val="5"/>
          <w:sz w:val="24"/>
          <w:szCs w:val="24"/>
        </w:rPr>
      </w:pPr>
      <w:r>
        <w:rPr>
          <w:rFonts w:hint="eastAsia" w:asciiTheme="minorEastAsia" w:hAnsiTheme="minorEastAsia" w:cstheme="minorEastAsia"/>
          <w:sz w:val="24"/>
          <w:szCs w:val="24"/>
        </w:rPr>
        <w:t>1.11 在设备质保期内，如发生制造质量问题，应由报价方免费修理或更换；若因保管、使用不当使设备损伤，由报价方协助解决有关问题，做好技术服务工作。</w:t>
      </w:r>
    </w:p>
    <w:p>
      <w:pPr>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1.12 本技术规范中的“天”、“日”均指日历日，“年”、“月”、“日”按公历计算。</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03" w:name="_Toc228"/>
      <w:bookmarkStart w:id="104" w:name="_Toc66848111"/>
      <w:bookmarkStart w:id="105" w:name="_Toc29995"/>
      <w:bookmarkStart w:id="106" w:name="_Toc18630"/>
      <w:bookmarkStart w:id="107" w:name="_Toc515678554"/>
      <w:bookmarkStart w:id="108" w:name="_Toc381625545"/>
      <w:bookmarkStart w:id="109" w:name="_Toc8613"/>
      <w:bookmarkStart w:id="110" w:name="_Toc515678523"/>
      <w:bookmarkStart w:id="111" w:name="_Toc26346"/>
      <w:r>
        <w:rPr>
          <w:rFonts w:hint="eastAsia" w:asciiTheme="minorEastAsia" w:hAnsiTheme="minorEastAsia" w:cstheme="minorEastAsia"/>
          <w:sz w:val="24"/>
          <w:szCs w:val="24"/>
        </w:rPr>
        <w:t>标准</w:t>
      </w:r>
      <w:bookmarkEnd w:id="103"/>
      <w:r>
        <w:rPr>
          <w:rFonts w:hint="eastAsia" w:asciiTheme="minorEastAsia" w:hAnsiTheme="minorEastAsia" w:cstheme="minorEastAsia"/>
          <w:sz w:val="24"/>
          <w:szCs w:val="24"/>
        </w:rPr>
        <w:t xml:space="preserve">及规范 </w:t>
      </w:r>
    </w:p>
    <w:p>
      <w:pPr>
        <w:pStyle w:val="9"/>
        <w:adjustRightInd w:val="0"/>
        <w:snapToGrid w:val="0"/>
        <w:spacing w:after="0" w:line="440" w:lineRule="exact"/>
        <w:ind w:left="0" w:leftChars="0"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报价方提供的产品必需满足最新的国家有关标准和规范，以及IEC，ANSI，BS，IPCEA和NEMA等国际标准，包括其附录，其中优先选用GB标准。当与本技术规范有矛盾时，报价方应以书面形式向采购方提出，原则上以要求高者为准。</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12" w:name="_Toc12440"/>
      <w:r>
        <w:rPr>
          <w:rFonts w:hint="eastAsia" w:asciiTheme="minorEastAsia" w:hAnsiTheme="minorEastAsia" w:cstheme="minorEastAsia"/>
          <w:sz w:val="24"/>
          <w:szCs w:val="24"/>
        </w:rPr>
        <w:t>供货范围</w:t>
      </w:r>
      <w:bookmarkEnd w:id="112"/>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报价方按照供货清单及供货范围内的一体式氧化锆分析仪进行供货。</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供货清单中依次说明型号、数量、产地、生产厂家等内容，所有外购件需得到采购方的确认。</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供货范围应包括使所有一体式氧化锆分析仪达到技术、性能要求所必须的设备和零部件，包括但不限于下列各项：供货清单表中所列的一体式氧化锆分析仪及附件。  </w:t>
      </w:r>
    </w:p>
    <w:p>
      <w:pPr>
        <w:numPr>
          <w:ilvl w:val="0"/>
          <w:numId w:val="22"/>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供货清单一览表</w:t>
      </w:r>
    </w:p>
    <w:tbl>
      <w:tblPr>
        <w:tblStyle w:val="11"/>
        <w:tblpPr w:leftFromText="180" w:rightFromText="180" w:vertAnchor="text" w:horzAnchor="page" w:tblpX="1585" w:tblpY="151"/>
        <w:tblOverlap w:val="never"/>
        <w:tblW w:w="4808" w:type="pct"/>
        <w:tblInd w:w="0" w:type="dxa"/>
        <w:tblLayout w:type="fixed"/>
        <w:tblCellMar>
          <w:top w:w="0" w:type="dxa"/>
          <w:left w:w="108" w:type="dxa"/>
          <w:bottom w:w="0" w:type="dxa"/>
          <w:right w:w="108" w:type="dxa"/>
        </w:tblCellMar>
      </w:tblPr>
      <w:tblGrid>
        <w:gridCol w:w="644"/>
        <w:gridCol w:w="1555"/>
        <w:gridCol w:w="2023"/>
        <w:gridCol w:w="760"/>
        <w:gridCol w:w="771"/>
        <w:gridCol w:w="760"/>
        <w:gridCol w:w="2385"/>
      </w:tblGrid>
      <w:tr>
        <w:tblPrEx>
          <w:tblCellMar>
            <w:top w:w="0" w:type="dxa"/>
            <w:left w:w="108" w:type="dxa"/>
            <w:bottom w:w="0" w:type="dxa"/>
            <w:right w:w="108" w:type="dxa"/>
          </w:tblCellMar>
        </w:tblPrEx>
        <w:trPr>
          <w:trHeight w:val="737" w:hRule="atLeast"/>
        </w:trPr>
        <w:tc>
          <w:tcPr>
            <w:tcW w:w="36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bookmarkStart w:id="113" w:name="_Toc26867"/>
            <w:r>
              <w:rPr>
                <w:rFonts w:hint="eastAsia" w:asciiTheme="minorEastAsia" w:hAnsiTheme="minorEastAsia" w:cstheme="minorEastAsia"/>
                <w:kern w:val="0"/>
                <w:sz w:val="24"/>
                <w:szCs w:val="24"/>
              </w:rPr>
              <w:t>分项</w:t>
            </w:r>
          </w:p>
        </w:tc>
        <w:tc>
          <w:tcPr>
            <w:tcW w:w="874"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采购品名</w:t>
            </w:r>
          </w:p>
        </w:tc>
        <w:tc>
          <w:tcPr>
            <w:tcW w:w="113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规格型号</w:t>
            </w:r>
          </w:p>
        </w:tc>
        <w:tc>
          <w:tcPr>
            <w:tcW w:w="42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43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42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质量</w:t>
            </w:r>
          </w:p>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等级</w:t>
            </w:r>
          </w:p>
        </w:tc>
        <w:tc>
          <w:tcPr>
            <w:tcW w:w="133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bCs/>
                <w:sz w:val="24"/>
                <w:szCs w:val="24"/>
              </w:rPr>
              <w:t>品牌推荐表</w:t>
            </w:r>
          </w:p>
        </w:tc>
      </w:tr>
      <w:tr>
        <w:tblPrEx>
          <w:tblCellMar>
            <w:top w:w="0" w:type="dxa"/>
            <w:left w:w="108" w:type="dxa"/>
            <w:bottom w:w="0" w:type="dxa"/>
            <w:right w:w="108" w:type="dxa"/>
          </w:tblCellMar>
        </w:tblPrEx>
        <w:trPr>
          <w:trHeight w:val="90" w:hRule="atLeast"/>
        </w:trPr>
        <w:tc>
          <w:tcPr>
            <w:tcW w:w="362" w:type="pc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w:t>
            </w:r>
          </w:p>
        </w:tc>
        <w:tc>
          <w:tcPr>
            <w:tcW w:w="874" w:type="pct"/>
            <w:tcBorders>
              <w:top w:val="single" w:color="auto" w:sz="4" w:space="0"/>
              <w:left w:val="nil"/>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 w:val="24"/>
                <w:szCs w:val="24"/>
              </w:rPr>
              <w:t>一体式氧化锆分析仪</w:t>
            </w:r>
          </w:p>
        </w:tc>
        <w:tc>
          <w:tcPr>
            <w:tcW w:w="1137" w:type="pct"/>
            <w:tcBorders>
              <w:top w:val="single" w:color="auto" w:sz="4" w:space="0"/>
              <w:left w:val="nil"/>
              <w:right w:val="single" w:color="auto" w:sz="4" w:space="0"/>
            </w:tcBorders>
            <w:shd w:val="clear" w:color="auto" w:fill="auto"/>
            <w:vAlign w:val="center"/>
          </w:tcPr>
          <w:p>
            <w:pPr>
              <w:jc w:val="center"/>
              <w:rPr>
                <w:rFonts w:asciiTheme="minorEastAsia" w:hAnsiTheme="minorEastAsia" w:cstheme="minorEastAsia"/>
                <w:szCs w:val="21"/>
              </w:rPr>
            </w:pPr>
            <w:r>
              <w:rPr>
                <w:rFonts w:asciiTheme="minorEastAsia" w:hAnsiTheme="minorEastAsia" w:cstheme="minorEastAsia"/>
                <w:szCs w:val="21"/>
              </w:rPr>
              <w:t>MKF13-500-A-Y-008B</w:t>
            </w:r>
          </w:p>
        </w:tc>
        <w:tc>
          <w:tcPr>
            <w:tcW w:w="427" w:type="pct"/>
            <w:tcBorders>
              <w:top w:val="single" w:color="auto" w:sz="4" w:space="0"/>
              <w:left w:val="single" w:color="auto" w:sz="4" w:space="0"/>
              <w:right w:val="single" w:color="auto" w:sz="4" w:space="0"/>
            </w:tcBorders>
            <w:shd w:val="clear" w:color="auto" w:fill="auto"/>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431" w:type="pct"/>
            <w:tcBorders>
              <w:top w:val="single" w:color="auto" w:sz="4" w:space="0"/>
              <w:left w:val="nil"/>
              <w:right w:val="single" w:color="auto" w:sz="4" w:space="0"/>
            </w:tcBorders>
            <w:shd w:val="clear" w:color="auto" w:fill="auto"/>
            <w:noWrap/>
            <w:vAlign w:val="center"/>
          </w:tcPr>
          <w:p>
            <w:pPr>
              <w:jc w:val="center"/>
              <w:rPr>
                <w:rFonts w:asciiTheme="minorEastAsia" w:hAnsiTheme="minorEastAsia" w:cstheme="minorEastAsia"/>
                <w:szCs w:val="21"/>
              </w:rPr>
            </w:pPr>
            <w:r>
              <w:rPr>
                <w:rFonts w:asciiTheme="minorEastAsia" w:hAnsiTheme="minorEastAsia" w:cstheme="minorEastAsia"/>
                <w:szCs w:val="21"/>
              </w:rPr>
              <w:t>2</w:t>
            </w:r>
          </w:p>
        </w:tc>
        <w:tc>
          <w:tcPr>
            <w:tcW w:w="427" w:type="pct"/>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合格</w:t>
            </w:r>
          </w:p>
        </w:tc>
        <w:tc>
          <w:tcPr>
            <w:tcW w:w="1338" w:type="pct"/>
            <w:tcBorders>
              <w:top w:val="single" w:color="auto" w:sz="4" w:space="0"/>
              <w:left w:val="single" w:color="auto" w:sz="4" w:space="0"/>
              <w:right w:val="single" w:color="auto" w:sz="4" w:space="0"/>
            </w:tcBorders>
            <w:shd w:val="clear" w:color="auto" w:fill="auto"/>
            <w:vAlign w:val="center"/>
          </w:tcPr>
          <w:p>
            <w:pPr>
              <w:ind w:firstLine="480" w:firstLineChars="200"/>
              <w:rPr>
                <w:rFonts w:asciiTheme="minorEastAsia" w:hAnsiTheme="minorEastAsia" w:cstheme="minorEastAsia"/>
                <w:szCs w:val="21"/>
              </w:rPr>
            </w:pPr>
            <w:r>
              <w:rPr>
                <w:rFonts w:hint="eastAsia" w:asciiTheme="minorEastAsia" w:hAnsiTheme="minorEastAsia" w:cstheme="minorEastAsia"/>
                <w:sz w:val="24"/>
                <w:szCs w:val="24"/>
              </w:rPr>
              <w:t>推荐美康、</w:t>
            </w:r>
            <w:r>
              <w:rPr>
                <w:rFonts w:asciiTheme="minorEastAsia" w:hAnsiTheme="minorEastAsia" w:cstheme="minorEastAsia"/>
                <w:sz w:val="24"/>
                <w:szCs w:val="24"/>
              </w:rPr>
              <w:t>YOKOGAWA</w:t>
            </w:r>
            <w:r>
              <w:rPr>
                <w:rFonts w:hint="eastAsia" w:asciiTheme="minorEastAsia" w:hAnsiTheme="minorEastAsia" w:cstheme="minorEastAsia"/>
                <w:sz w:val="24"/>
                <w:szCs w:val="24"/>
              </w:rPr>
              <w:t>、沃森等同质及以上产品</w:t>
            </w:r>
          </w:p>
        </w:tc>
      </w:tr>
      <w:tr>
        <w:tblPrEx>
          <w:tblCellMar>
            <w:top w:w="0" w:type="dxa"/>
            <w:left w:w="108" w:type="dxa"/>
            <w:bottom w:w="0" w:type="dxa"/>
            <w:right w:w="108" w:type="dxa"/>
          </w:tblCellMar>
        </w:tblPrEx>
        <w:trPr>
          <w:trHeight w:val="762" w:hRule="atLeast"/>
        </w:trPr>
        <w:tc>
          <w:tcPr>
            <w:tcW w:w="323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 w:val="30"/>
                <w:szCs w:val="30"/>
              </w:rPr>
            </w:pPr>
            <w:r>
              <w:rPr>
                <w:rFonts w:hint="eastAsia" w:asciiTheme="minorEastAsia" w:hAnsiTheme="minorEastAsia" w:cstheme="minorEastAsia"/>
                <w:sz w:val="24"/>
                <w:szCs w:val="24"/>
              </w:rPr>
              <w:t>合计（元）13%增值税专票</w:t>
            </w:r>
          </w:p>
        </w:tc>
        <w:tc>
          <w:tcPr>
            <w:tcW w:w="17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sz w:val="30"/>
                <w:szCs w:val="30"/>
              </w:rPr>
            </w:pPr>
          </w:p>
        </w:tc>
      </w:tr>
      <w:tr>
        <w:tblPrEx>
          <w:tblCellMar>
            <w:top w:w="0" w:type="dxa"/>
            <w:left w:w="108" w:type="dxa"/>
            <w:bottom w:w="0" w:type="dxa"/>
            <w:right w:w="108" w:type="dxa"/>
          </w:tblCellMar>
        </w:tblPrEx>
        <w:trPr>
          <w:trHeight w:val="60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12" w:lineRule="auto"/>
              <w:rPr>
                <w:rFonts w:asciiTheme="minorEastAsia" w:hAnsiTheme="minorEastAsia" w:cstheme="minorEastAsia"/>
                <w:szCs w:val="21"/>
              </w:rPr>
            </w:pPr>
            <w:r>
              <w:rPr>
                <w:rFonts w:hint="eastAsia" w:hAnsi="宋体"/>
                <w:b/>
                <w:sz w:val="24"/>
                <w:szCs w:val="24"/>
              </w:rPr>
              <w:t>备注：</w:t>
            </w:r>
            <w:r>
              <w:rPr>
                <w:rFonts w:hint="eastAsia" w:hAnsi="宋体"/>
                <w:sz w:val="24"/>
                <w:szCs w:val="24"/>
              </w:rPr>
              <w:t>本次采购为整体采购，响应供应商必须对询价项目一览表中的所有货物进行完整报价响应。</w:t>
            </w:r>
            <w:r>
              <w:rPr>
                <w:rFonts w:hint="eastAsia" w:asciiTheme="minorEastAsia" w:hAnsiTheme="minorEastAsia" w:cstheme="minorEastAsia"/>
                <w:sz w:val="24"/>
                <w:szCs w:val="24"/>
              </w:rPr>
              <w:t>对属于整套设备运行和安装施工所必需的部件，如本报价表中未列出/或数量不足，报价方仍需在执行合同时予以补足。</w:t>
            </w:r>
          </w:p>
        </w:tc>
      </w:tr>
    </w:tbl>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技术要求</w:t>
      </w:r>
      <w:bookmarkEnd w:id="104"/>
      <w:bookmarkEnd w:id="105"/>
      <w:bookmarkEnd w:id="106"/>
      <w:bookmarkEnd w:id="107"/>
      <w:bookmarkEnd w:id="108"/>
      <w:bookmarkEnd w:id="109"/>
      <w:bookmarkEnd w:id="110"/>
      <w:bookmarkEnd w:id="111"/>
      <w:bookmarkEnd w:id="113"/>
    </w:p>
    <w:p>
      <w:pPr>
        <w:numPr>
          <w:ilvl w:val="0"/>
          <w:numId w:val="23"/>
        </w:numPr>
        <w:tabs>
          <w:tab w:val="left" w:pos="600"/>
        </w:tabs>
        <w:adjustRightInd w:val="0"/>
        <w:snapToGrid w:val="0"/>
        <w:spacing w:line="440" w:lineRule="exact"/>
        <w:rPr>
          <w:rFonts w:asciiTheme="minorEastAsia" w:hAnsiTheme="minorEastAsia" w:cstheme="minorEastAsia"/>
          <w:sz w:val="24"/>
          <w:szCs w:val="24"/>
        </w:rPr>
      </w:pPr>
      <w:bookmarkStart w:id="114" w:name="_Toc515678556"/>
      <w:bookmarkStart w:id="115" w:name="_Toc515678525"/>
      <w:r>
        <w:rPr>
          <w:rFonts w:hint="eastAsia" w:asciiTheme="minorEastAsia" w:hAnsiTheme="minorEastAsia" w:cstheme="minorEastAsia"/>
          <w:sz w:val="24"/>
          <w:szCs w:val="24"/>
        </w:rPr>
        <w:t>一体式氧化锆分析仪：现场液晶显示，全中文操作菜单；分析仪环境温度0～80度；4～20madc标准电流输出与主电路光电隔离，多信号信息与故障提示，可直接接入远传进入DCS系统；配套304及以上不锈钢法兰盘，外径：155mm，孔距：130mm，开孔：45mm，螺栓孔径：14mm，L=1200mm，回路配电，高温型。</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氧量量程0～25%内自由设定，最低量程0-5%；温度采用PID控温，自带恒温加热700度或者750度，可设定氧量上下限报警指示，温度上下限报警指示。负载电阻≤500欧，基本误差（重复性）≤0.2%满量程，负压-10～0Kpa。</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本底电势一键校正。</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探头采用高温材质，加过滤，隔离模块，防干扰，防水带；</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分析仪需具有CNCQIC认证证书（中国节能环保产品）及SIL安全认证</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探头采用高温材质，加过滤，隔离模块，防干扰，防水。</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可用标气在线校准。</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响应时间:5s内达到90%的响应。</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推荐采用美康仪表、YOKOGAWA、沃森或同质及以上品牌产品。</w:t>
      </w:r>
    </w:p>
    <w:p>
      <w:pPr>
        <w:numPr>
          <w:ilvl w:val="0"/>
          <w:numId w:val="23"/>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包装标志</w:t>
      </w:r>
    </w:p>
    <w:p>
      <w:pPr>
        <w:numPr>
          <w:ilvl w:val="0"/>
          <w:numId w:val="2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报价方所供设备的包装，都标明合同号、主要设备名称的标签。</w:t>
      </w:r>
    </w:p>
    <w:p>
      <w:pPr>
        <w:numPr>
          <w:ilvl w:val="0"/>
          <w:numId w:val="2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对装箱供给的设备，应在箱子的两面注明如下内容：</w:t>
      </w:r>
    </w:p>
    <w:p>
      <w:pPr>
        <w:numPr>
          <w:ilvl w:val="0"/>
          <w:numId w:val="2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合同号；装运标志，目的港，收货人代码，设备名称和项目号，箱号，毛/净重，外形尺寸，长×宽×高。</w:t>
      </w:r>
    </w:p>
    <w:p>
      <w:pPr>
        <w:numPr>
          <w:ilvl w:val="0"/>
          <w:numId w:val="2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运输作业标志（包括防潮、防震、放置位置方向、重心位置、绳索固定部位等）。</w:t>
      </w:r>
    </w:p>
    <w:p>
      <w:pPr>
        <w:numPr>
          <w:ilvl w:val="0"/>
          <w:numId w:val="2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设备存放和保管要求等级。</w:t>
      </w:r>
    </w:p>
    <w:p>
      <w:pPr>
        <w:numPr>
          <w:ilvl w:val="0"/>
          <w:numId w:val="24"/>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备品备件、专用工具应单独包装和发运，并特别注明。</w:t>
      </w:r>
    </w:p>
    <w:bookmarkEnd w:id="114"/>
    <w:bookmarkEnd w:id="115"/>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r>
        <w:rPr>
          <w:rFonts w:hint="eastAsia" w:asciiTheme="minorEastAsia" w:hAnsiTheme="minorEastAsia" w:cstheme="minorEastAsia"/>
          <w:sz w:val="24"/>
          <w:szCs w:val="24"/>
        </w:rPr>
        <w:t>制造、检验和试验</w:t>
      </w:r>
    </w:p>
    <w:p>
      <w:pPr>
        <w:numPr>
          <w:ilvl w:val="0"/>
          <w:numId w:val="25"/>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氧化锆分析仪设计、制造等方面应遵照最新规范和标准。</w:t>
      </w:r>
    </w:p>
    <w:p>
      <w:pPr>
        <w:numPr>
          <w:ilvl w:val="0"/>
          <w:numId w:val="25"/>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上述标准和规定仅提出了基本的技术要求。如果报价方提出了更经济合理的设计、材料、制造工艺等，同时又能使报价方提供的设备达到本技术规范之要求，并确保安全连续运行，在征得采购方同意后，报价方可以不全部使用上述标准和规定。</w:t>
      </w:r>
    </w:p>
    <w:p>
      <w:pPr>
        <w:numPr>
          <w:ilvl w:val="0"/>
          <w:numId w:val="25"/>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报价方应向采购方提供一份</w:t>
      </w:r>
      <w:r>
        <w:rPr>
          <w:rFonts w:hint="eastAsia" w:ascii="宋体" w:hAnsi="宋体" w:cs="宋体"/>
          <w:bCs/>
          <w:sz w:val="24"/>
        </w:rPr>
        <w:t>CNCQIC认证证书（中国节能环保产品）及SIL安全认证</w:t>
      </w:r>
      <w:r>
        <w:rPr>
          <w:rFonts w:hint="eastAsia" w:asciiTheme="minorEastAsia" w:hAnsiTheme="minorEastAsia" w:cstheme="minorEastAsia"/>
          <w:sz w:val="24"/>
          <w:szCs w:val="24"/>
        </w:rPr>
        <w:t>。</w:t>
      </w:r>
    </w:p>
    <w:p>
      <w:pPr>
        <w:numPr>
          <w:ilvl w:val="0"/>
          <w:numId w:val="25"/>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对设备材料有影响的一切制造、加工工序、试验和检查操作，须接受报价方或采购方检查员的监督。</w:t>
      </w:r>
    </w:p>
    <w:p>
      <w:pPr>
        <w:numPr>
          <w:ilvl w:val="0"/>
          <w:numId w:val="25"/>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对于设备在制造、加工和试验过程中不符合规程或标准的所有偏差，均应有文件记录，并且由报价方及时进行处理。</w:t>
      </w:r>
    </w:p>
    <w:p>
      <w:pPr>
        <w:numPr>
          <w:ilvl w:val="0"/>
          <w:numId w:val="25"/>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报价方应为采购方提供双方直接参与制造和试验期间的注意事项，该事项在双方共同工作五天前提出。</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16" w:name="_Toc66848114"/>
      <w:bookmarkStart w:id="117" w:name="_Toc515678527"/>
      <w:bookmarkStart w:id="118" w:name="_Toc7199"/>
      <w:bookmarkStart w:id="119" w:name="_Toc515678558"/>
      <w:bookmarkStart w:id="120" w:name="_Toc5701"/>
      <w:bookmarkStart w:id="121" w:name="_Toc381625548"/>
      <w:bookmarkStart w:id="122" w:name="_Toc18362"/>
      <w:bookmarkStart w:id="123" w:name="_Toc2453"/>
      <w:bookmarkStart w:id="124" w:name="_Toc20011"/>
      <w:r>
        <w:rPr>
          <w:rFonts w:hint="eastAsia" w:asciiTheme="minorEastAsia" w:hAnsiTheme="minorEastAsia" w:cstheme="minorEastAsia"/>
          <w:sz w:val="24"/>
          <w:szCs w:val="24"/>
        </w:rPr>
        <w:t>技术</w:t>
      </w:r>
      <w:bookmarkEnd w:id="116"/>
      <w:bookmarkEnd w:id="117"/>
      <w:bookmarkEnd w:id="118"/>
      <w:bookmarkEnd w:id="119"/>
      <w:bookmarkEnd w:id="120"/>
      <w:bookmarkEnd w:id="121"/>
      <w:bookmarkEnd w:id="122"/>
      <w:bookmarkEnd w:id="123"/>
      <w:bookmarkEnd w:id="124"/>
      <w:r>
        <w:rPr>
          <w:rFonts w:hint="eastAsia" w:asciiTheme="minorEastAsia" w:hAnsiTheme="minorEastAsia" w:cstheme="minorEastAsia"/>
          <w:sz w:val="24"/>
          <w:szCs w:val="24"/>
        </w:rPr>
        <w:t>资料</w:t>
      </w:r>
    </w:p>
    <w:p>
      <w:pPr>
        <w:numPr>
          <w:ilvl w:val="0"/>
          <w:numId w:val="26"/>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一般要求</w:t>
      </w:r>
    </w:p>
    <w:p>
      <w:pPr>
        <w:numPr>
          <w:ilvl w:val="0"/>
          <w:numId w:val="27"/>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资料均使用国际单位制，语言为中文，所有非中文资料均视为无效资料。电子版文字资料采用WORD格式，图纸资料采用AUTOCAD 格式。</w:t>
      </w:r>
    </w:p>
    <w:p>
      <w:pPr>
        <w:numPr>
          <w:ilvl w:val="0"/>
          <w:numId w:val="27"/>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设备资料的提交应及时、充分，资料的组织结构清晰、逻辑性强。资料内容正确、准确、一致、清晰完整，满足使用及维护要求。</w:t>
      </w:r>
    </w:p>
    <w:p>
      <w:pPr>
        <w:numPr>
          <w:ilvl w:val="0"/>
          <w:numId w:val="27"/>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报价方所提交的技术资料内容至少应包括本规范中所要求的。如采购方需要本规范以外的资料，报价方应及时无偿地提供。</w:t>
      </w:r>
    </w:p>
    <w:p>
      <w:pPr>
        <w:numPr>
          <w:ilvl w:val="0"/>
          <w:numId w:val="26"/>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成交供应商在供货时提交如下资料：</w:t>
      </w:r>
    </w:p>
    <w:p>
      <w:pPr>
        <w:numPr>
          <w:ilvl w:val="0"/>
          <w:numId w:val="28"/>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氧化锆分析仪说明书。</w:t>
      </w:r>
    </w:p>
    <w:p>
      <w:pPr>
        <w:numPr>
          <w:ilvl w:val="0"/>
          <w:numId w:val="28"/>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为安装和检修用的易损件清单。</w:t>
      </w:r>
    </w:p>
    <w:p>
      <w:pPr>
        <w:numPr>
          <w:ilvl w:val="0"/>
          <w:numId w:val="26"/>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报价方在产品完成后，向采购方提供以下随机技术文件：</w:t>
      </w:r>
    </w:p>
    <w:p>
      <w:pPr>
        <w:numPr>
          <w:ilvl w:val="0"/>
          <w:numId w:val="29"/>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氧化锆分析仪的质量证明文件(包括合格证和</w:t>
      </w:r>
      <w:r>
        <w:rPr>
          <w:rFonts w:hint="eastAsia" w:ascii="宋体" w:hAnsi="宋体" w:cs="宋体"/>
          <w:bCs/>
          <w:sz w:val="24"/>
        </w:rPr>
        <w:t>CNCQIC认证证书</w:t>
      </w:r>
      <w:r>
        <w:rPr>
          <w:rFonts w:hint="eastAsia" w:asciiTheme="minorEastAsia" w:hAnsiTheme="minorEastAsia" w:cstheme="minorEastAsia"/>
          <w:sz w:val="24"/>
          <w:szCs w:val="24"/>
        </w:rPr>
        <w:t>、</w:t>
      </w:r>
      <w:r>
        <w:rPr>
          <w:rFonts w:hint="eastAsia" w:ascii="宋体" w:hAnsi="宋体" w:cs="宋体"/>
          <w:bCs/>
          <w:sz w:val="24"/>
        </w:rPr>
        <w:t>SIL安全认证</w:t>
      </w:r>
      <w:r>
        <w:rPr>
          <w:rFonts w:hint="eastAsia" w:asciiTheme="minorEastAsia" w:hAnsiTheme="minorEastAsia" w:cstheme="minorEastAsia"/>
          <w:sz w:val="24"/>
          <w:szCs w:val="24"/>
        </w:rPr>
        <w:t xml:space="preserve">等)  </w:t>
      </w:r>
    </w:p>
    <w:p>
      <w:pPr>
        <w:numPr>
          <w:ilvl w:val="0"/>
          <w:numId w:val="29"/>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装箱清单、合格证及其它必须的文件。</w:t>
      </w:r>
    </w:p>
    <w:p>
      <w:pPr>
        <w:numPr>
          <w:ilvl w:val="0"/>
          <w:numId w:val="29"/>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一体式氧化锆分析仪原产地证明。 </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25" w:name="_Toc15700"/>
      <w:r>
        <w:rPr>
          <w:rFonts w:hint="eastAsia" w:asciiTheme="minorEastAsia" w:hAnsiTheme="minorEastAsia" w:cstheme="minorEastAsia"/>
          <w:sz w:val="24"/>
          <w:szCs w:val="24"/>
        </w:rPr>
        <w:t>服务要求</w:t>
      </w:r>
      <w:bookmarkEnd w:id="125"/>
    </w:p>
    <w:p>
      <w:pPr>
        <w:numPr>
          <w:ilvl w:val="0"/>
          <w:numId w:val="3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要求送货上门，供货时产品合格证或质量证明、说明书等必备资料齐全。如果物流或快递送货，丢失缺少损坏自理，采购方概不负责；成交供应商必须将货物送达指定地点并与采购方共同参与验收，否则由采购方单方验收，成交供应商须承认采购方验收结果。</w:t>
      </w:r>
    </w:p>
    <w:p>
      <w:pPr>
        <w:numPr>
          <w:ilvl w:val="0"/>
          <w:numId w:val="3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报价方应保证所提供的产品为正规、合格原厂产品，一经发现报价方提供假冒伪劣产品，将纳入公司供应商黑名单，不得参与本公司采购报价活动。</w:t>
      </w:r>
    </w:p>
    <w:p>
      <w:pPr>
        <w:numPr>
          <w:ilvl w:val="0"/>
          <w:numId w:val="3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在需要时报价方应派代表到现场指导安装、调试和试运行，并负责解决设备在安装、调试、试运行中发现的制造质量及性能指标等有关问题。</w:t>
      </w:r>
    </w:p>
    <w:p>
      <w:pPr>
        <w:numPr>
          <w:ilvl w:val="0"/>
          <w:numId w:val="3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在质保期内的设计、制造等问题由报价方负责无偿修理或更换，并24h内响应到厂解决。</w:t>
      </w:r>
    </w:p>
    <w:p>
      <w:pPr>
        <w:numPr>
          <w:ilvl w:val="0"/>
          <w:numId w:val="3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在合同产品的寿命期内，对非报价方责任造成的设备损坏，报价方有义务提供配件和修理；如属设备设计或制造缺陷引起的损坏，报价方应为采购方及时修理，并承担全部费用。报价方应长期以优惠价格向采购方提供备品备件。</w:t>
      </w:r>
    </w:p>
    <w:p>
      <w:pPr>
        <w:numPr>
          <w:ilvl w:val="0"/>
          <w:numId w:val="3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报价后无故放弃履行供货的供应商将纳入我司供应商黑名单，取消其参加本公司采购活动资格。</w:t>
      </w:r>
    </w:p>
    <w:p>
      <w:pPr>
        <w:numPr>
          <w:ilvl w:val="0"/>
          <w:numId w:val="30"/>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本技术规范书将在供货合同签订时作为技术协议签订，与合同具有同等的法律效力。</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26" w:name="_Toc14914_WPSOffice_Level2"/>
      <w:bookmarkStart w:id="127" w:name="_Toc23236_WPSOffice_Level2"/>
      <w:bookmarkStart w:id="128" w:name="_Toc6361_WPSOffice_Level2"/>
      <w:bookmarkStart w:id="129" w:name="_Toc14998"/>
      <w:bookmarkStart w:id="130" w:name="_Toc14976_WPSOffice_Level2"/>
      <w:r>
        <w:rPr>
          <w:rFonts w:hint="eastAsia" w:asciiTheme="minorEastAsia" w:hAnsiTheme="minorEastAsia" w:cstheme="minorEastAsia"/>
          <w:sz w:val="24"/>
          <w:szCs w:val="24"/>
        </w:rPr>
        <w:t>质量保证和售后服务要求</w:t>
      </w:r>
      <w:bookmarkEnd w:id="126"/>
      <w:bookmarkEnd w:id="127"/>
      <w:bookmarkEnd w:id="128"/>
      <w:bookmarkEnd w:id="129"/>
      <w:bookmarkEnd w:id="130"/>
    </w:p>
    <w:p>
      <w:pPr>
        <w:numPr>
          <w:ilvl w:val="0"/>
          <w:numId w:val="31"/>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质量要求：报价方必须保证提供原厂制造、全新未使用过的产品，不存在任何缺陷。不得用假冒及伪劣材料替代；如出现上述质量问题，采购方有权退货；如造成损失的，采购方可要求成交供应商给予赔偿。</w:t>
      </w:r>
    </w:p>
    <w:p>
      <w:pPr>
        <w:numPr>
          <w:ilvl w:val="0"/>
          <w:numId w:val="31"/>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交货时需提供产品出厂合格证、产品技术参数、产品出厂检测报告、制造厂家授权书或原厂家对该产品的证明函等。</w:t>
      </w:r>
    </w:p>
    <w:p>
      <w:pPr>
        <w:numPr>
          <w:ilvl w:val="0"/>
          <w:numId w:val="31"/>
        </w:numPr>
        <w:tabs>
          <w:tab w:val="left" w:pos="600"/>
        </w:tabs>
        <w:adjustRightInd w:val="0"/>
        <w:snapToGrid w:val="0"/>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质量保证期：全部货物交货后18个月或投入运行后12个月，以先到为准。在质保期内发生问题，成交供应商必须在24小时内到达现场，并进行维修或更换，其费用由成交供应商自行负责。若报价方未履行质保义务的，采购方有权委托第三方进行维修或另行购买，由此产生的费用和损失由成交供应商承担。</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31" w:name="_Toc19504_WPSOffice_Level2"/>
      <w:bookmarkStart w:id="132" w:name="_Toc31179_WPSOffice_Level2"/>
      <w:bookmarkStart w:id="133" w:name="_Toc23683"/>
      <w:bookmarkStart w:id="134" w:name="_Toc25406_WPSOffice_Level2"/>
      <w:bookmarkStart w:id="135" w:name="_Toc10691_WPSOffice_Level2"/>
      <w:r>
        <w:rPr>
          <w:rFonts w:hint="eastAsia" w:asciiTheme="minorEastAsia" w:hAnsiTheme="minorEastAsia" w:cstheme="minorEastAsia"/>
          <w:sz w:val="24"/>
          <w:szCs w:val="24"/>
        </w:rPr>
        <w:t>报价方式及付款方式</w:t>
      </w:r>
      <w:bookmarkEnd w:id="131"/>
      <w:bookmarkEnd w:id="132"/>
      <w:bookmarkEnd w:id="133"/>
      <w:bookmarkEnd w:id="134"/>
      <w:bookmarkEnd w:id="135"/>
    </w:p>
    <w:p>
      <w:pPr>
        <w:numPr>
          <w:ilvl w:val="0"/>
          <w:numId w:val="32"/>
        </w:numPr>
        <w:kinsoku w:val="0"/>
        <w:overflowPunct w:val="0"/>
        <w:spacing w:line="400" w:lineRule="atLeast"/>
        <w:jc w:val="left"/>
        <w:rPr>
          <w:rFonts w:ascii="宋体" w:hAnsi="宋体"/>
          <w:sz w:val="24"/>
          <w:szCs w:val="24"/>
        </w:rPr>
      </w:pPr>
      <w:r>
        <w:rPr>
          <w:rFonts w:hint="eastAsia" w:ascii="宋体" w:hAnsi="宋体"/>
          <w:sz w:val="24"/>
          <w:szCs w:val="24"/>
        </w:rPr>
        <w:t>报价方须以人民币报价，报价应含设备费、运费、税费等全部费用。报价为含税报价，税率为13％增值税专用发票，未说明是否含税报价一律视为含税价。</w:t>
      </w:r>
    </w:p>
    <w:p>
      <w:pPr>
        <w:numPr>
          <w:ilvl w:val="0"/>
          <w:numId w:val="32"/>
        </w:numPr>
        <w:kinsoku w:val="0"/>
        <w:overflowPunct w:val="0"/>
        <w:spacing w:line="400" w:lineRule="atLeast"/>
        <w:jc w:val="left"/>
        <w:rPr>
          <w:rFonts w:ascii="宋体" w:hAnsi="宋体"/>
          <w:sz w:val="24"/>
          <w:szCs w:val="24"/>
        </w:rPr>
      </w:pPr>
      <w:r>
        <w:rPr>
          <w:rFonts w:hint="eastAsia" w:ascii="宋体" w:hAnsi="宋体"/>
          <w:sz w:val="24"/>
          <w:szCs w:val="24"/>
        </w:rPr>
        <w:t>付款方式</w:t>
      </w:r>
      <w:bookmarkStart w:id="136" w:name="_Toc15066_WPSOffice_Level2"/>
      <w:bookmarkStart w:id="137" w:name="_Toc21785_WPSOffice_Level2"/>
      <w:bookmarkStart w:id="138" w:name="_Toc12068_WPSOffice_Level2"/>
      <w:bookmarkStart w:id="139" w:name="_Toc11922_WPSOffice_Level2"/>
      <w:r>
        <w:rPr>
          <w:rFonts w:hint="eastAsia" w:ascii="宋体" w:hAnsi="宋体"/>
          <w:sz w:val="24"/>
          <w:szCs w:val="24"/>
        </w:rPr>
        <w:t>：货物到采购方厂区后经采购方核对查收，报价方出具13%增值税全额专用发票给采购方，采购方经核实无误并在收到发票后15个工作日内支付相应款项。</w:t>
      </w:r>
    </w:p>
    <w:p>
      <w:pPr>
        <w:pStyle w:val="3"/>
        <w:numPr>
          <w:ilvl w:val="0"/>
          <w:numId w:val="21"/>
        </w:numPr>
        <w:tabs>
          <w:tab w:val="left" w:pos="420"/>
        </w:tabs>
        <w:adjustRightInd w:val="0"/>
        <w:snapToGrid w:val="0"/>
        <w:spacing w:before="0" w:after="0" w:line="440" w:lineRule="exact"/>
        <w:rPr>
          <w:rFonts w:asciiTheme="minorEastAsia" w:hAnsiTheme="minorEastAsia" w:cstheme="minorEastAsia"/>
          <w:sz w:val="24"/>
          <w:szCs w:val="24"/>
        </w:rPr>
      </w:pPr>
      <w:bookmarkStart w:id="140" w:name="_Toc16402"/>
      <w:r>
        <w:rPr>
          <w:rFonts w:hint="eastAsia" w:asciiTheme="minorEastAsia" w:hAnsiTheme="minorEastAsia" w:cstheme="minorEastAsia"/>
          <w:sz w:val="24"/>
          <w:szCs w:val="24"/>
        </w:rPr>
        <w:t>其他事项</w:t>
      </w:r>
      <w:bookmarkEnd w:id="136"/>
      <w:bookmarkEnd w:id="137"/>
      <w:bookmarkEnd w:id="138"/>
      <w:bookmarkEnd w:id="139"/>
      <w:bookmarkEnd w:id="140"/>
    </w:p>
    <w:p>
      <w:pPr>
        <w:numPr>
          <w:ilvl w:val="0"/>
          <w:numId w:val="33"/>
        </w:numPr>
        <w:kinsoku w:val="0"/>
        <w:overflowPunct w:val="0"/>
        <w:spacing w:line="400" w:lineRule="atLeast"/>
        <w:jc w:val="left"/>
        <w:rPr>
          <w:rFonts w:ascii="宋体" w:hAnsi="宋体"/>
          <w:sz w:val="24"/>
          <w:szCs w:val="24"/>
        </w:rPr>
      </w:pPr>
      <w:r>
        <w:rPr>
          <w:rFonts w:hint="eastAsia" w:ascii="宋体" w:hAnsi="宋体"/>
          <w:sz w:val="24"/>
          <w:szCs w:val="24"/>
        </w:rPr>
        <w:t>成交供应商应严格依据报价文件所做承诺履行义务，如有违约，采购方有权根据协议、合同采取措施保证本项目的顺利进行，若协商不能达成一致的，可向采购方所在地人民法院以诉讼方式解决，并相应追究违约方的违约责任。</w:t>
      </w:r>
    </w:p>
    <w:p>
      <w:pPr>
        <w:numPr>
          <w:ilvl w:val="0"/>
          <w:numId w:val="33"/>
        </w:numPr>
        <w:kinsoku w:val="0"/>
        <w:overflowPunct w:val="0"/>
        <w:spacing w:line="400" w:lineRule="atLeast"/>
        <w:jc w:val="left"/>
        <w:rPr>
          <w:rFonts w:ascii="宋体" w:hAnsi="宋体"/>
          <w:sz w:val="24"/>
          <w:szCs w:val="24"/>
        </w:rPr>
      </w:pPr>
      <w:r>
        <w:rPr>
          <w:rFonts w:hint="eastAsia" w:ascii="宋体" w:hAnsi="宋体"/>
          <w:sz w:val="24"/>
          <w:szCs w:val="24"/>
        </w:rPr>
        <w:t>确定成交供应商后，成交供应商应严格依据采购文件及报价文件签订合同，并依据货物采购合同履行义务，如有违约，采购方有权追究违约方的违约责任。</w:t>
      </w:r>
    </w:p>
    <w:p>
      <w:pPr>
        <w:numPr>
          <w:ilvl w:val="0"/>
          <w:numId w:val="33"/>
        </w:numPr>
        <w:kinsoku w:val="0"/>
        <w:overflowPunct w:val="0"/>
        <w:spacing w:line="400" w:lineRule="atLeast"/>
        <w:jc w:val="left"/>
        <w:rPr>
          <w:rFonts w:ascii="宋体" w:hAnsi="宋体"/>
          <w:sz w:val="24"/>
          <w:szCs w:val="24"/>
        </w:rPr>
      </w:pPr>
      <w:r>
        <w:rPr>
          <w:rFonts w:hint="eastAsia" w:ascii="宋体" w:hAnsi="宋体"/>
          <w:sz w:val="24"/>
          <w:szCs w:val="24"/>
        </w:rPr>
        <w:t>成交供应商必须于成交通知书发出之日起，10日内领取中标通知书原件，未按规定领取的，视为成交供应商放弃成交资格。</w:t>
      </w:r>
    </w:p>
    <w:p>
      <w:pPr>
        <w:numPr>
          <w:ilvl w:val="0"/>
          <w:numId w:val="33"/>
        </w:numPr>
        <w:kinsoku w:val="0"/>
        <w:overflowPunct w:val="0"/>
        <w:spacing w:line="400" w:lineRule="atLeast"/>
        <w:jc w:val="left"/>
        <w:rPr>
          <w:rFonts w:ascii="宋体" w:hAnsi="宋体"/>
          <w:sz w:val="24"/>
          <w:szCs w:val="24"/>
        </w:rPr>
      </w:pPr>
      <w:r>
        <w:rPr>
          <w:rFonts w:hint="eastAsia" w:ascii="宋体" w:hAnsi="宋体"/>
          <w:sz w:val="24"/>
          <w:szCs w:val="24"/>
        </w:rPr>
        <w:t>报价方应如实提供所有资料的相关复印件，必要时采购方将保留要求报价方提供原件予以核查的权利。</w:t>
      </w:r>
    </w:p>
    <w:p>
      <w:pPr>
        <w:numPr>
          <w:ilvl w:val="0"/>
          <w:numId w:val="33"/>
        </w:numPr>
        <w:kinsoku w:val="0"/>
        <w:overflowPunct w:val="0"/>
        <w:spacing w:line="400" w:lineRule="atLeast"/>
        <w:jc w:val="left"/>
        <w:rPr>
          <w:rFonts w:ascii="宋体" w:hAnsi="宋体"/>
          <w:sz w:val="24"/>
          <w:szCs w:val="24"/>
        </w:rPr>
      </w:pPr>
      <w:r>
        <w:rPr>
          <w:rFonts w:hint="eastAsia" w:ascii="宋体" w:hAnsi="宋体"/>
          <w:sz w:val="24"/>
          <w:szCs w:val="24"/>
        </w:rPr>
        <w:t>响应报价文件有效期。响应报价文件有效期60天，在此期间内，所有报价文件均保持有效。</w:t>
      </w:r>
    </w:p>
    <w:p>
      <w:pPr>
        <w:kinsoku w:val="0"/>
        <w:overflowPunct w:val="0"/>
        <w:spacing w:line="400" w:lineRule="atLeast"/>
        <w:rPr>
          <w:rFonts w:ascii="宋体"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5"/>
        <w:rPr>
          <w:rFonts w:hAnsi="宋体"/>
          <w:sz w:val="24"/>
        </w:rPr>
      </w:pPr>
    </w:p>
    <w:p>
      <w:pPr>
        <w:pStyle w:val="2"/>
        <w:keepNext w:val="0"/>
        <w:keepLines w:val="0"/>
        <w:kinsoku w:val="0"/>
        <w:overflowPunct w:val="0"/>
        <w:autoSpaceDE w:val="0"/>
        <w:autoSpaceDN w:val="0"/>
        <w:spacing w:before="0" w:after="0" w:line="400" w:lineRule="atLeast"/>
        <w:ind w:firstLine="522" w:firstLineChars="200"/>
        <w:jc w:val="center"/>
        <w:rPr>
          <w:rFonts w:ascii="宋体" w:hAnsi="宋体" w:eastAsia="宋体"/>
          <w:bCs/>
          <w:sz w:val="24"/>
          <w:szCs w:val="24"/>
        </w:rPr>
      </w:pPr>
      <w:bookmarkStart w:id="141" w:name="_Toc26755_WPSOffice_Level1"/>
      <w:bookmarkStart w:id="142" w:name="_Toc673_WPSOffice_Level1"/>
      <w:bookmarkStart w:id="143" w:name="_Toc25552_WPSOffice_Level1"/>
      <w:bookmarkStart w:id="144" w:name="_Toc12983_WPSOffice_Level1"/>
      <w:bookmarkStart w:id="145" w:name="_Toc9692_WPSOffice_Level1"/>
      <w:bookmarkStart w:id="146" w:name="_Toc32010_WPSOffice_Level1"/>
      <w:bookmarkStart w:id="147" w:name="_Toc13840"/>
      <w:r>
        <w:rPr>
          <w:rFonts w:hint="eastAsia" w:ascii="宋体" w:hAnsi="宋体" w:eastAsia="宋体"/>
          <w:bCs/>
          <w:sz w:val="24"/>
          <w:szCs w:val="24"/>
        </w:rPr>
        <w:t>第四部分 合同</w:t>
      </w:r>
      <w:bookmarkEnd w:id="141"/>
      <w:r>
        <w:rPr>
          <w:rFonts w:hint="eastAsia" w:ascii="宋体" w:hAnsi="宋体" w:eastAsia="宋体"/>
          <w:bCs/>
          <w:sz w:val="24"/>
          <w:szCs w:val="24"/>
        </w:rPr>
        <w:t>主要条款</w:t>
      </w:r>
      <w:bookmarkEnd w:id="142"/>
      <w:bookmarkEnd w:id="143"/>
      <w:bookmarkEnd w:id="144"/>
      <w:bookmarkEnd w:id="145"/>
      <w:bookmarkEnd w:id="146"/>
      <w:bookmarkEnd w:id="147"/>
    </w:p>
    <w:tbl>
      <w:tblPr>
        <w:tblStyle w:val="11"/>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5000" w:type="pct"/>
          </w:tcPr>
          <w:p>
            <w:pPr>
              <w:kinsoku w:val="0"/>
              <w:overflowPunct w:val="0"/>
              <w:spacing w:line="400" w:lineRule="atLeast"/>
              <w:rPr>
                <w:rFonts w:ascii="宋体" w:hAnsi="宋体" w:cs="宋体"/>
                <w:sz w:val="24"/>
                <w:szCs w:val="24"/>
              </w:rPr>
            </w:pPr>
            <w:r>
              <w:rPr>
                <w:rFonts w:hint="eastAsia" w:ascii="宋体" w:hAnsi="宋体" w:cs="宋体"/>
                <w:sz w:val="24"/>
                <w:szCs w:val="24"/>
              </w:rPr>
              <w:t>注释：本格式条款仅作为双方签订合同的参考，为阐明各方的权利和义务，经协商可增加新的条款、修改相关条款，但不得与采购文件、响应报价文件的实质性内容相背离。</w:t>
            </w:r>
          </w:p>
        </w:tc>
      </w:tr>
    </w:tbl>
    <w:p>
      <w:pPr>
        <w:kinsoku w:val="0"/>
        <w:overflowPunct w:val="0"/>
        <w:spacing w:line="400" w:lineRule="atLeast"/>
        <w:ind w:firstLine="482" w:firstLineChars="200"/>
        <w:jc w:val="left"/>
        <w:rPr>
          <w:rFonts w:ascii="宋体" w:hAnsi="宋体" w:cs="宋体"/>
          <w:sz w:val="24"/>
          <w:szCs w:val="24"/>
          <w:u w:val="single"/>
        </w:rPr>
      </w:pPr>
      <w:bookmarkStart w:id="148" w:name="_Toc5361_WPSOffice_Level2"/>
      <w:bookmarkStart w:id="149" w:name="_Toc17855_WPSOffice_Level1"/>
      <w:r>
        <w:rPr>
          <w:rFonts w:hint="eastAsia" w:ascii="宋体" w:hAnsi="宋体" w:cs="宋体"/>
          <w:b/>
          <w:sz w:val="24"/>
          <w:szCs w:val="24"/>
        </w:rPr>
        <w:t>需方</w:t>
      </w:r>
      <w:r>
        <w:rPr>
          <w:rFonts w:hint="eastAsia" w:ascii="宋体" w:hAnsi="宋体" w:cs="宋体"/>
          <w:sz w:val="24"/>
          <w:szCs w:val="24"/>
        </w:rPr>
        <w:t>：</w:t>
      </w:r>
      <w:r>
        <w:rPr>
          <w:rFonts w:hint="eastAsia" w:ascii="宋体" w:hAnsi="宋体" w:cs="宋体"/>
          <w:sz w:val="24"/>
          <w:szCs w:val="24"/>
          <w:u w:val="single"/>
        </w:rPr>
        <w:t>厦门海发环保能源股份有限公司</w:t>
      </w:r>
      <w:bookmarkEnd w:id="148"/>
      <w:bookmarkEnd w:id="149"/>
    </w:p>
    <w:p>
      <w:pPr>
        <w:kinsoku w:val="0"/>
        <w:overflowPunct w:val="0"/>
        <w:spacing w:line="400" w:lineRule="atLeast"/>
        <w:ind w:firstLine="1200" w:firstLineChars="500"/>
        <w:jc w:val="left"/>
        <w:rPr>
          <w:rFonts w:ascii="宋体" w:hAnsi="宋体" w:cs="宋体"/>
          <w:sz w:val="24"/>
          <w:szCs w:val="24"/>
          <w:u w:val="single"/>
        </w:rPr>
      </w:pPr>
      <w:r>
        <w:rPr>
          <w:rFonts w:hint="eastAsia" w:ascii="宋体" w:hAnsi="宋体" w:cs="宋体"/>
          <w:sz w:val="24"/>
          <w:szCs w:val="24"/>
          <w:u w:val="single"/>
        </w:rPr>
        <w:t>住所地：厦门市海沧区阳光西路288号</w:t>
      </w:r>
    </w:p>
    <w:p>
      <w:pPr>
        <w:kinsoku w:val="0"/>
        <w:overflowPunct w:val="0"/>
        <w:spacing w:line="400" w:lineRule="atLeast"/>
        <w:ind w:firstLine="482" w:firstLineChars="200"/>
        <w:jc w:val="left"/>
        <w:outlineLvl w:val="0"/>
        <w:rPr>
          <w:rFonts w:ascii="宋体" w:hAnsi="宋体" w:cs="宋体"/>
          <w:sz w:val="24"/>
          <w:szCs w:val="24"/>
          <w:u w:val="single"/>
        </w:rPr>
      </w:pPr>
      <w:bookmarkStart w:id="150" w:name="_Toc19214_WPSOffice_Level1"/>
      <w:bookmarkStart w:id="151" w:name="_Toc15367"/>
      <w:bookmarkStart w:id="152" w:name="_Toc3544_WPSOffice_Level2"/>
      <w:r>
        <w:rPr>
          <w:rFonts w:hint="eastAsia" w:ascii="宋体" w:hAnsi="宋体" w:cs="宋体"/>
          <w:b/>
          <w:sz w:val="24"/>
          <w:szCs w:val="24"/>
        </w:rPr>
        <w:t>供方</w:t>
      </w:r>
      <w:r>
        <w:rPr>
          <w:rFonts w:hint="eastAsia" w:ascii="宋体" w:hAnsi="宋体" w:cs="宋体"/>
          <w:b/>
          <w:bCs/>
          <w:sz w:val="24"/>
          <w:szCs w:val="24"/>
        </w:rPr>
        <w:t>：</w:t>
      </w:r>
      <w:bookmarkEnd w:id="150"/>
      <w:bookmarkEnd w:id="151"/>
      <w:bookmarkEnd w:id="152"/>
      <w:r>
        <w:rPr>
          <w:rFonts w:hint="eastAsia" w:ascii="宋体" w:hAnsi="宋体" w:cs="宋体"/>
          <w:sz w:val="24"/>
          <w:szCs w:val="24"/>
          <w:u w:val="single"/>
        </w:rPr>
        <w:t xml:space="preserve">                                 </w:t>
      </w:r>
    </w:p>
    <w:p>
      <w:pPr>
        <w:kinsoku w:val="0"/>
        <w:overflowPunct w:val="0"/>
        <w:spacing w:line="400" w:lineRule="atLeast"/>
        <w:ind w:firstLine="436" w:firstLineChars="182"/>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根据《中华人民共和国民法典》及有关法律、法规，</w:t>
      </w:r>
      <w:r>
        <w:rPr>
          <w:rFonts w:hint="eastAsia" w:hAnsi="宋体"/>
          <w:sz w:val="24"/>
          <w:szCs w:val="24"/>
        </w:rPr>
        <w:t>需方</w:t>
      </w:r>
      <w:r>
        <w:rPr>
          <w:rFonts w:hAnsi="宋体"/>
          <w:sz w:val="24"/>
          <w:szCs w:val="24"/>
        </w:rPr>
        <w:t>、</w:t>
      </w:r>
      <w:r>
        <w:rPr>
          <w:rFonts w:hint="eastAsia" w:hAnsi="宋体"/>
          <w:sz w:val="24"/>
          <w:szCs w:val="24"/>
        </w:rPr>
        <w:t>供方</w:t>
      </w:r>
      <w:r>
        <w:rPr>
          <w:rFonts w:hAnsi="宋体"/>
          <w:sz w:val="24"/>
          <w:szCs w:val="24"/>
        </w:rPr>
        <w:t>本着精诚合作、互惠互利的原则，</w:t>
      </w:r>
      <w:r>
        <w:rPr>
          <w:rFonts w:hint="eastAsia" w:ascii="宋体" w:hAnsi="宋体" w:cs="宋体"/>
          <w:sz w:val="24"/>
          <w:szCs w:val="24"/>
        </w:rPr>
        <w:t>就需方一体式氧化锆</w:t>
      </w:r>
      <w:r>
        <w:rPr>
          <w:rFonts w:ascii="宋体" w:hAnsi="宋体" w:cs="宋体"/>
          <w:sz w:val="24"/>
          <w:szCs w:val="24"/>
        </w:rPr>
        <w:t>分析仪</w:t>
      </w:r>
      <w:r>
        <w:rPr>
          <w:rFonts w:hint="eastAsia" w:ascii="宋体" w:hAnsi="宋体" w:cs="宋体"/>
          <w:sz w:val="24"/>
          <w:szCs w:val="24"/>
        </w:rPr>
        <w:t>备件采购</w:t>
      </w:r>
      <w:r>
        <w:rPr>
          <w:rFonts w:hint="eastAsia" w:ascii="宋体" w:hAnsi="宋体" w:cs="宋体"/>
          <w:bCs/>
          <w:sz w:val="24"/>
          <w:szCs w:val="24"/>
        </w:rPr>
        <w:t>项目</w:t>
      </w:r>
      <w:r>
        <w:rPr>
          <w:rFonts w:hint="eastAsia" w:ascii="宋体" w:hAnsi="宋体" w:cs="宋体"/>
          <w:sz w:val="24"/>
          <w:szCs w:val="24"/>
        </w:rPr>
        <w:t>，经双方协商，达成如下协议，供双方共同遵守。</w:t>
      </w:r>
    </w:p>
    <w:p>
      <w:p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一、产品名称、规格、数量、单价、金额：</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465"/>
        <w:gridCol w:w="1465"/>
        <w:gridCol w:w="882"/>
        <w:gridCol w:w="882"/>
        <w:gridCol w:w="882"/>
        <w:gridCol w:w="102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77" w:type="pct"/>
            <w:vAlign w:val="center"/>
          </w:tcPr>
          <w:p>
            <w:pPr>
              <w:jc w:val="center"/>
              <w:rPr>
                <w:rFonts w:ascii="宋体" w:hAnsi="宋体" w:cs="宋体"/>
                <w:bCs/>
                <w:szCs w:val="21"/>
              </w:rPr>
            </w:pPr>
            <w:r>
              <w:rPr>
                <w:rFonts w:hint="eastAsia" w:ascii="宋体" w:hAnsi="宋体" w:cs="宋体"/>
                <w:bCs/>
                <w:szCs w:val="21"/>
              </w:rPr>
              <w:t>序号</w:t>
            </w:r>
          </w:p>
        </w:tc>
        <w:tc>
          <w:tcPr>
            <w:tcW w:w="792" w:type="pct"/>
            <w:vAlign w:val="center"/>
          </w:tcPr>
          <w:p>
            <w:pPr>
              <w:jc w:val="center"/>
              <w:rPr>
                <w:rFonts w:ascii="宋体" w:hAnsi="宋体" w:cs="宋体"/>
                <w:bCs/>
                <w:szCs w:val="21"/>
              </w:rPr>
            </w:pPr>
            <w:r>
              <w:rPr>
                <w:rFonts w:hint="eastAsia" w:ascii="宋体" w:hAnsi="宋体" w:cs="宋体"/>
                <w:bCs/>
                <w:szCs w:val="21"/>
              </w:rPr>
              <w:t>备件名称</w:t>
            </w:r>
          </w:p>
        </w:tc>
        <w:tc>
          <w:tcPr>
            <w:tcW w:w="792" w:type="pct"/>
            <w:vAlign w:val="center"/>
          </w:tcPr>
          <w:p>
            <w:pPr>
              <w:jc w:val="center"/>
              <w:rPr>
                <w:rFonts w:ascii="宋体" w:hAnsi="宋体" w:cs="宋体"/>
                <w:bCs/>
                <w:szCs w:val="21"/>
              </w:rPr>
            </w:pPr>
            <w:r>
              <w:rPr>
                <w:rFonts w:hint="eastAsia" w:ascii="宋体" w:hAnsi="宋体" w:cs="宋体"/>
                <w:bCs/>
                <w:szCs w:val="21"/>
              </w:rPr>
              <w:t>规格型号</w:t>
            </w:r>
          </w:p>
        </w:tc>
        <w:tc>
          <w:tcPr>
            <w:tcW w:w="477" w:type="pct"/>
            <w:vAlign w:val="center"/>
          </w:tcPr>
          <w:p>
            <w:pPr>
              <w:jc w:val="center"/>
              <w:rPr>
                <w:rFonts w:ascii="宋体" w:hAnsi="宋体" w:cs="宋体"/>
                <w:bCs/>
                <w:szCs w:val="21"/>
              </w:rPr>
            </w:pPr>
            <w:r>
              <w:rPr>
                <w:rFonts w:hint="eastAsia" w:ascii="宋体" w:hAnsi="宋体" w:cs="宋体"/>
                <w:bCs/>
                <w:szCs w:val="21"/>
              </w:rPr>
              <w:t>单位</w:t>
            </w:r>
          </w:p>
        </w:tc>
        <w:tc>
          <w:tcPr>
            <w:tcW w:w="477" w:type="pct"/>
            <w:vAlign w:val="center"/>
          </w:tcPr>
          <w:p>
            <w:pPr>
              <w:jc w:val="center"/>
              <w:rPr>
                <w:rFonts w:ascii="宋体" w:hAnsi="宋体" w:cs="宋体"/>
                <w:bCs/>
                <w:szCs w:val="21"/>
              </w:rPr>
            </w:pPr>
            <w:r>
              <w:rPr>
                <w:rFonts w:hint="eastAsia" w:ascii="宋体" w:hAnsi="宋体" w:cs="宋体"/>
                <w:bCs/>
                <w:szCs w:val="21"/>
              </w:rPr>
              <w:t>数量</w:t>
            </w:r>
          </w:p>
        </w:tc>
        <w:tc>
          <w:tcPr>
            <w:tcW w:w="477" w:type="pct"/>
            <w:vAlign w:val="center"/>
          </w:tcPr>
          <w:p>
            <w:pPr>
              <w:jc w:val="center"/>
              <w:rPr>
                <w:rFonts w:ascii="宋体" w:hAnsi="宋体" w:cs="宋体"/>
                <w:bCs/>
                <w:szCs w:val="21"/>
              </w:rPr>
            </w:pPr>
            <w:r>
              <w:rPr>
                <w:rFonts w:hint="eastAsia" w:ascii="宋体" w:hAnsi="宋体" w:cs="宋体"/>
                <w:bCs/>
                <w:szCs w:val="21"/>
              </w:rPr>
              <w:t>单价</w:t>
            </w:r>
          </w:p>
        </w:tc>
        <w:tc>
          <w:tcPr>
            <w:tcW w:w="556" w:type="pct"/>
            <w:vAlign w:val="center"/>
          </w:tcPr>
          <w:p>
            <w:pPr>
              <w:jc w:val="center"/>
              <w:rPr>
                <w:rFonts w:ascii="宋体" w:hAnsi="宋体" w:cs="宋体"/>
                <w:bCs/>
                <w:szCs w:val="21"/>
              </w:rPr>
            </w:pPr>
            <w:r>
              <w:rPr>
                <w:rFonts w:hint="eastAsia" w:ascii="宋体" w:hAnsi="宋体" w:cs="宋体"/>
                <w:bCs/>
                <w:szCs w:val="21"/>
              </w:rPr>
              <w:t>金额</w:t>
            </w:r>
          </w:p>
        </w:tc>
        <w:tc>
          <w:tcPr>
            <w:tcW w:w="949" w:type="pct"/>
            <w:vAlign w:val="center"/>
          </w:tcPr>
          <w:p>
            <w:pPr>
              <w:jc w:val="center"/>
              <w:rPr>
                <w:rFonts w:ascii="宋体" w:hAnsi="宋体" w:cs="宋体"/>
                <w:bCs/>
                <w:szCs w:val="21"/>
              </w:rPr>
            </w:pPr>
            <w:r>
              <w:rPr>
                <w:rFonts w:hint="eastAsia" w:ascii="宋体" w:hAnsi="宋体" w:cs="宋体"/>
                <w:bCs/>
                <w:szCs w:val="21"/>
              </w:rPr>
              <w:t>品牌及</w:t>
            </w:r>
            <w:r>
              <w:rPr>
                <w:rFonts w:ascii="宋体" w:hAnsi="宋体" w:cs="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Cs w:val="21"/>
              </w:rPr>
            </w:pPr>
            <w:r>
              <w:rPr>
                <w:rFonts w:hint="eastAsia" w:ascii="宋体" w:hAnsi="宋体"/>
                <w:szCs w:val="21"/>
              </w:rPr>
              <w:t>1</w:t>
            </w:r>
          </w:p>
        </w:tc>
        <w:tc>
          <w:tcPr>
            <w:tcW w:w="792" w:type="pct"/>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792" w:type="pct"/>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szCs w:val="21"/>
              </w:rPr>
            </w:pPr>
          </w:p>
        </w:tc>
        <w:tc>
          <w:tcPr>
            <w:tcW w:w="477" w:type="pc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ascii="宋体" w:hAnsi="宋体"/>
                <w:szCs w:val="21"/>
              </w:rPr>
              <w:t>台</w:t>
            </w:r>
          </w:p>
        </w:tc>
        <w:tc>
          <w:tcPr>
            <w:tcW w:w="477" w:type="pct"/>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477" w:type="pct"/>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556" w:type="pct"/>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949" w:type="pct"/>
            <w:vMerge w:val="restart"/>
            <w:tcBorders>
              <w:left w:val="nil"/>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Cs w:val="21"/>
              </w:rPr>
            </w:pPr>
            <w:r>
              <w:rPr>
                <w:rFonts w:ascii="宋体" w:hAnsi="宋体"/>
                <w:szCs w:val="21"/>
              </w:rPr>
              <w:t>2</w:t>
            </w:r>
          </w:p>
        </w:tc>
        <w:tc>
          <w:tcPr>
            <w:tcW w:w="792" w:type="pct"/>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792" w:type="pct"/>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szCs w:val="21"/>
              </w:rPr>
            </w:pPr>
          </w:p>
        </w:tc>
        <w:tc>
          <w:tcPr>
            <w:tcW w:w="477" w:type="pc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p>
        </w:tc>
        <w:tc>
          <w:tcPr>
            <w:tcW w:w="477" w:type="pct"/>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477" w:type="pct"/>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556" w:type="pct"/>
            <w:tcBorders>
              <w:top w:val="nil"/>
              <w:left w:val="nil"/>
              <w:bottom w:val="single" w:color="auto" w:sz="4" w:space="0"/>
              <w:right w:val="single" w:color="auto" w:sz="4" w:space="0"/>
            </w:tcBorders>
            <w:shd w:val="clear" w:color="000000" w:fill="FFFFFF"/>
            <w:vAlign w:val="center"/>
          </w:tcPr>
          <w:p>
            <w:pPr>
              <w:jc w:val="center"/>
              <w:rPr>
                <w:rFonts w:ascii="宋体" w:hAnsi="宋体"/>
                <w:szCs w:val="21"/>
              </w:rPr>
            </w:pPr>
          </w:p>
        </w:tc>
        <w:tc>
          <w:tcPr>
            <w:tcW w:w="949" w:type="pct"/>
            <w:vMerge w:val="continue"/>
            <w:tcBorders>
              <w:left w:val="nil"/>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00" w:type="pct"/>
            <w:gridSpan w:val="8"/>
            <w:vAlign w:val="center"/>
          </w:tcPr>
          <w:p>
            <w:pPr>
              <w:rPr>
                <w:rFonts w:ascii="宋体" w:hAnsi="宋体" w:cs="宋体"/>
                <w:bCs/>
                <w:sz w:val="24"/>
              </w:rPr>
            </w:pPr>
            <w:r>
              <w:rPr>
                <w:rFonts w:hint="eastAsia" w:ascii="宋体" w:hAnsi="宋体" w:cs="宋体"/>
                <w:bCs/>
                <w:szCs w:val="21"/>
              </w:rPr>
              <w:t xml:space="preserve"> </w:t>
            </w:r>
            <w:r>
              <w:rPr>
                <w:rFonts w:hint="eastAsia" w:ascii="宋体" w:hAnsi="宋体" w:cs="宋体"/>
                <w:bCs/>
                <w:sz w:val="24"/>
              </w:rPr>
              <w:t>合计人民币：  整（</w:t>
            </w:r>
            <w:r>
              <w:rPr>
                <w:rFonts w:ascii="宋体" w:hAnsi="宋体" w:cs="Arial"/>
                <w:bCs/>
                <w:sz w:val="24"/>
              </w:rPr>
              <w:t>¥</w:t>
            </w:r>
            <w:r>
              <w:rPr>
                <w:rFonts w:hint="eastAsia" w:ascii="宋体" w:hAnsi="宋体" w:cs="Arial"/>
                <w:bCs/>
                <w:sz w:val="24"/>
              </w:rPr>
              <w:t>：</w:t>
            </w:r>
            <w:r>
              <w:rPr>
                <w:rFonts w:hint="eastAsia" w:ascii="宋体" w:hAnsi="宋体" w:cs="宋体"/>
                <w:bCs/>
                <w:sz w:val="24"/>
              </w:rPr>
              <w:t>）含税</w:t>
            </w:r>
            <w:r>
              <w:rPr>
                <w:rFonts w:ascii="宋体" w:hAnsi="宋体" w:cs="宋体"/>
                <w:bCs/>
                <w:sz w:val="24"/>
              </w:rPr>
              <w:t>。</w:t>
            </w:r>
          </w:p>
        </w:tc>
      </w:tr>
    </w:tbl>
    <w:p>
      <w:pPr>
        <w:numPr>
          <w:ilvl w:val="0"/>
          <w:numId w:val="34"/>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质量要求、技术标准：以上备件及材料应严格按照需方标注的厂家品牌要求供应，产品必须是原厂家出厂并提供相应证明材料及出厂技术标准且符合需方使用等技术要求（附件）。</w:t>
      </w:r>
    </w:p>
    <w:p>
      <w:p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三、交货方式、地点及费用：</w:t>
      </w:r>
    </w:p>
    <w:p>
      <w:pPr>
        <w:numPr>
          <w:ilvl w:val="0"/>
          <w:numId w:val="35"/>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包装标准: 木箱、纸箱包装，不回收。</w:t>
      </w:r>
    </w:p>
    <w:p>
      <w:pPr>
        <w:numPr>
          <w:ilvl w:val="0"/>
          <w:numId w:val="35"/>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交货期：合同签订后30个日历日内，供方负责安全运输到需方厂区内指定地点（厦门市海沧区阳光西路288号厂区内），货物产权运至需方厂区内转交给需方，运输管理、运输风险、运输费用及其全部风险等均由供方承担。</w:t>
      </w:r>
    </w:p>
    <w:p>
      <w:p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四、货物验收：</w:t>
      </w:r>
    </w:p>
    <w:p>
      <w:pPr>
        <w:numPr>
          <w:ilvl w:val="0"/>
          <w:numId w:val="36"/>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供方应确保产品为原厂制造、全新未使用过的产品，不存在任何缺陷。</w:t>
      </w:r>
    </w:p>
    <w:p>
      <w:pPr>
        <w:numPr>
          <w:ilvl w:val="0"/>
          <w:numId w:val="36"/>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交货时需提供产品出厂合格证、产品技术参数、产品出厂检测报告、制造厂家授权书或原厂家对该产品的证明函等,所提供的产品及信息资料可追溯。</w:t>
      </w:r>
    </w:p>
    <w:p>
      <w:pPr>
        <w:numPr>
          <w:ilvl w:val="0"/>
          <w:numId w:val="36"/>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 xml:space="preserve">如供方提供的产品有破损缺陷、产品的技术资料有错误，视为延迟交货，供方应在  </w:t>
      </w:r>
      <w:r>
        <w:rPr>
          <w:rFonts w:hint="eastAsia" w:ascii="宋体" w:hAnsi="宋体" w:cs="宋体"/>
          <w:sz w:val="24"/>
          <w:szCs w:val="24"/>
          <w:u w:val="single"/>
        </w:rPr>
        <w:t>10个</w:t>
      </w:r>
      <w:r>
        <w:rPr>
          <w:rFonts w:hint="eastAsia" w:ascii="宋体" w:hAnsi="宋体" w:cs="宋体"/>
          <w:sz w:val="24"/>
          <w:szCs w:val="24"/>
        </w:rPr>
        <w:t>工作日内补齐材料。</w:t>
      </w:r>
    </w:p>
    <w:p>
      <w:pPr>
        <w:numPr>
          <w:ilvl w:val="0"/>
          <w:numId w:val="37"/>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 xml:space="preserve">质保期: </w:t>
      </w:r>
    </w:p>
    <w:p>
      <w:p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质保期为需方收到货后18个月或安装调试验收合格之日起12个月，以先到为准。质保期内出现产品质量问题，供方必须在24小时内响应，并进行无偿修复或更换。若供方未履行质保义务的，需方有权委托第三方进行维修或另行购买，由此产生的费用和损失由供方承担。</w:t>
      </w:r>
    </w:p>
    <w:p>
      <w:pPr>
        <w:numPr>
          <w:ilvl w:val="0"/>
          <w:numId w:val="37"/>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结算方式：</w:t>
      </w:r>
    </w:p>
    <w:p>
      <w:pPr>
        <w:numPr>
          <w:ilvl w:val="0"/>
          <w:numId w:val="38"/>
        </w:numPr>
        <w:kinsoku w:val="0"/>
        <w:overflowPunct w:val="0"/>
        <w:spacing w:line="400" w:lineRule="atLeast"/>
        <w:jc w:val="left"/>
        <w:rPr>
          <w:rFonts w:ascii="宋体" w:hAnsi="宋体" w:cs="宋体"/>
          <w:sz w:val="24"/>
          <w:szCs w:val="24"/>
        </w:rPr>
      </w:pPr>
      <w:r>
        <w:rPr>
          <w:rFonts w:hint="eastAsia" w:ascii="宋体" w:hAnsi="宋体" w:cs="宋体"/>
          <w:sz w:val="24"/>
          <w:szCs w:val="24"/>
        </w:rPr>
        <w:t>货物到厂区后经需方核对检验合格，供方出具正规合法有效的</w:t>
      </w:r>
      <w:r>
        <w:rPr>
          <w:rFonts w:hint="eastAsia" w:ascii="宋体" w:hAnsi="宋体" w:cs="宋体"/>
          <w:sz w:val="24"/>
          <w:szCs w:val="24"/>
          <w:u w:val="single"/>
        </w:rPr>
        <w:t xml:space="preserve"> 13% </w:t>
      </w:r>
      <w:r>
        <w:rPr>
          <w:rFonts w:hint="eastAsia" w:ascii="宋体" w:hAnsi="宋体" w:cs="宋体"/>
          <w:sz w:val="24"/>
          <w:szCs w:val="24"/>
        </w:rPr>
        <w:t>增值税全额专用发票给需方，需方在书面核实无误后并在收到发票后</w:t>
      </w:r>
      <w:r>
        <w:rPr>
          <w:rFonts w:hint="eastAsia" w:ascii="宋体" w:hAnsi="宋体" w:cs="宋体"/>
          <w:sz w:val="24"/>
          <w:szCs w:val="24"/>
          <w:u w:val="single"/>
        </w:rPr>
        <w:t xml:space="preserve"> 15 </w:t>
      </w:r>
      <w:r>
        <w:rPr>
          <w:rFonts w:hint="eastAsia" w:ascii="宋体" w:hAnsi="宋体" w:cs="宋体"/>
          <w:sz w:val="24"/>
          <w:szCs w:val="24"/>
        </w:rPr>
        <w:t>个工作日内支付相应款项。</w:t>
      </w:r>
    </w:p>
    <w:p>
      <w:pPr>
        <w:numPr>
          <w:ilvl w:val="0"/>
          <w:numId w:val="38"/>
        </w:numPr>
        <w:kinsoku w:val="0"/>
        <w:overflowPunct w:val="0"/>
        <w:spacing w:line="400" w:lineRule="atLeast"/>
        <w:jc w:val="left"/>
        <w:rPr>
          <w:rFonts w:ascii="宋体" w:hAnsi="宋体" w:cs="宋体"/>
          <w:sz w:val="24"/>
          <w:szCs w:val="24"/>
        </w:rPr>
      </w:pPr>
      <w:r>
        <w:rPr>
          <w:rFonts w:hint="eastAsia" w:ascii="宋体" w:hAnsi="宋体" w:cs="宋体"/>
          <w:sz w:val="24"/>
          <w:szCs w:val="24"/>
        </w:rPr>
        <w:t>经供需双方协商一致，需方将原投标保证金壹千元整（￥1000.00元）直接转为合同履约金，收到货经需方核对检验合格后在</w:t>
      </w:r>
      <w:r>
        <w:rPr>
          <w:rFonts w:hint="eastAsia" w:ascii="宋体" w:hAnsi="宋体" w:cs="宋体"/>
          <w:sz w:val="24"/>
          <w:szCs w:val="24"/>
          <w:u w:val="single"/>
        </w:rPr>
        <w:t>10个</w:t>
      </w:r>
      <w:r>
        <w:rPr>
          <w:rFonts w:hint="eastAsia" w:ascii="宋体" w:hAnsi="宋体" w:cs="宋体"/>
          <w:sz w:val="24"/>
          <w:szCs w:val="24"/>
        </w:rPr>
        <w:t>工作日内无息退还。</w:t>
      </w:r>
    </w:p>
    <w:p>
      <w:pPr>
        <w:numPr>
          <w:ilvl w:val="0"/>
          <w:numId w:val="37"/>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安装、调试及检验：无。</w:t>
      </w:r>
    </w:p>
    <w:p>
      <w:pPr>
        <w:numPr>
          <w:ilvl w:val="0"/>
          <w:numId w:val="37"/>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违约责任：</w:t>
      </w:r>
    </w:p>
    <w:p>
      <w:pPr>
        <w:numPr>
          <w:ilvl w:val="0"/>
          <w:numId w:val="39"/>
        </w:numPr>
        <w:kinsoku w:val="0"/>
        <w:overflowPunct w:val="0"/>
        <w:spacing w:line="400" w:lineRule="atLeast"/>
        <w:jc w:val="left"/>
        <w:rPr>
          <w:rFonts w:ascii="宋体" w:hAnsi="宋体" w:cs="宋体"/>
          <w:sz w:val="24"/>
          <w:szCs w:val="24"/>
        </w:rPr>
      </w:pPr>
      <w:r>
        <w:rPr>
          <w:rFonts w:hint="eastAsia" w:ascii="宋体" w:hAnsi="宋体" w:cs="宋体"/>
          <w:sz w:val="24"/>
          <w:szCs w:val="24"/>
        </w:rPr>
        <w:t>供方须严格按照本合同约定的或者需方通知的时间和数量、 质量执行。 供方产品质量不符合合同规定的必须负责立即无偿修复或更换，费用由供方承担，供方还应承担合同总价款</w:t>
      </w:r>
      <w:r>
        <w:rPr>
          <w:rFonts w:hint="eastAsia" w:ascii="宋体" w:hAnsi="宋体" w:cs="宋体"/>
          <w:sz w:val="24"/>
          <w:szCs w:val="24"/>
          <w:u w:val="single"/>
        </w:rPr>
        <w:t xml:space="preserve"> 10% </w:t>
      </w:r>
      <w:r>
        <w:rPr>
          <w:rFonts w:hint="eastAsia" w:ascii="宋体" w:hAnsi="宋体" w:cs="宋体"/>
          <w:sz w:val="24"/>
          <w:szCs w:val="24"/>
        </w:rPr>
        <w:t>的违约金；逾期超</w:t>
      </w:r>
      <w:r>
        <w:rPr>
          <w:rFonts w:hint="eastAsia" w:ascii="宋体" w:hAnsi="宋体" w:cs="宋体"/>
          <w:sz w:val="24"/>
          <w:szCs w:val="24"/>
          <w:u w:val="single"/>
        </w:rPr>
        <w:t xml:space="preserve"> 30</w:t>
      </w:r>
      <w:r>
        <w:rPr>
          <w:rFonts w:hint="eastAsia" w:ascii="宋体" w:hAnsi="宋体" w:cs="宋体"/>
          <w:sz w:val="24"/>
          <w:szCs w:val="24"/>
        </w:rPr>
        <w:t>天未处理的需方还有权单方面解除合同，供方除应返还需方已支付的款项外，供方并应向需方支付合同总价款</w:t>
      </w:r>
      <w:r>
        <w:rPr>
          <w:rFonts w:hint="eastAsia" w:ascii="宋体" w:hAnsi="宋体" w:cs="宋体"/>
          <w:sz w:val="24"/>
          <w:szCs w:val="24"/>
          <w:u w:val="single"/>
        </w:rPr>
        <w:t xml:space="preserve"> 10% </w:t>
      </w:r>
      <w:r>
        <w:rPr>
          <w:rFonts w:hint="eastAsia" w:ascii="宋体" w:hAnsi="宋体" w:cs="宋体"/>
          <w:sz w:val="24"/>
          <w:szCs w:val="24"/>
        </w:rPr>
        <w:t>的违约金，违约金不足赔偿供方损失的，供方还应赔偿需方相关经济损失。</w:t>
      </w:r>
    </w:p>
    <w:p>
      <w:pPr>
        <w:numPr>
          <w:ilvl w:val="0"/>
          <w:numId w:val="39"/>
        </w:numPr>
        <w:kinsoku w:val="0"/>
        <w:overflowPunct w:val="0"/>
        <w:spacing w:line="400" w:lineRule="atLeast"/>
        <w:jc w:val="left"/>
        <w:rPr>
          <w:rFonts w:ascii="宋体" w:hAnsi="宋体" w:cs="宋体"/>
          <w:sz w:val="24"/>
          <w:szCs w:val="24"/>
        </w:rPr>
      </w:pPr>
      <w:r>
        <w:rPr>
          <w:rFonts w:hint="eastAsia" w:ascii="宋体" w:hAnsi="宋体" w:cs="宋体"/>
          <w:sz w:val="24"/>
          <w:szCs w:val="24"/>
        </w:rPr>
        <w:t>供方若延迟交货，须承担总价款每日千分之五的违约金。逾期五个工作日，需方有权单方解除合同，供方除应返还需方已支付的款项外，供方并应向需方支付合同总价款</w:t>
      </w:r>
      <w:r>
        <w:rPr>
          <w:rFonts w:hint="eastAsia" w:ascii="宋体" w:hAnsi="宋体" w:cs="宋体"/>
          <w:sz w:val="24"/>
          <w:szCs w:val="24"/>
          <w:u w:val="single"/>
        </w:rPr>
        <w:t xml:space="preserve"> 10% </w:t>
      </w:r>
      <w:r>
        <w:rPr>
          <w:rFonts w:hint="eastAsia" w:ascii="宋体" w:hAnsi="宋体" w:cs="宋体"/>
          <w:sz w:val="24"/>
          <w:szCs w:val="24"/>
        </w:rPr>
        <w:t>的违约金。以上违约金等费用需方可以直接从供方的货款中扣除 ，但不免除供方违约责任。</w:t>
      </w:r>
    </w:p>
    <w:p>
      <w:pPr>
        <w:numPr>
          <w:ilvl w:val="0"/>
          <w:numId w:val="37"/>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合同争议的解决方式：本合同在履行过程中发生的争议，由双方当事人协商解决，协商、调解不成的，可依法向需方所在地有管辖权的人民法院起诉。</w:t>
      </w:r>
    </w:p>
    <w:p>
      <w:pPr>
        <w:numPr>
          <w:ilvl w:val="0"/>
          <w:numId w:val="37"/>
        </w:numPr>
        <w:kinsoku w:val="0"/>
        <w:overflowPunct w:val="0"/>
        <w:spacing w:line="400" w:lineRule="atLeast"/>
        <w:ind w:firstLine="480" w:firstLineChars="200"/>
        <w:jc w:val="left"/>
        <w:rPr>
          <w:rFonts w:ascii="宋体" w:hAnsi="宋体" w:cs="宋体"/>
          <w:sz w:val="24"/>
          <w:szCs w:val="24"/>
        </w:rPr>
      </w:pPr>
      <w:r>
        <w:rPr>
          <w:rFonts w:hint="eastAsia" w:ascii="宋体" w:hAnsi="宋体" w:cs="宋体"/>
          <w:sz w:val="24"/>
          <w:szCs w:val="24"/>
        </w:rPr>
        <w:t>其他：</w:t>
      </w:r>
    </w:p>
    <w:p>
      <w:pPr>
        <w:numPr>
          <w:ilvl w:val="0"/>
          <w:numId w:val="40"/>
        </w:numPr>
        <w:kinsoku w:val="0"/>
        <w:overflowPunct w:val="0"/>
        <w:spacing w:line="400" w:lineRule="atLeast"/>
        <w:jc w:val="left"/>
        <w:rPr>
          <w:rFonts w:ascii="宋体" w:hAnsi="宋体" w:cs="宋体"/>
          <w:sz w:val="24"/>
          <w:szCs w:val="24"/>
        </w:rPr>
      </w:pPr>
      <w:r>
        <w:rPr>
          <w:rFonts w:hint="eastAsia" w:ascii="宋体" w:hAnsi="宋体" w:cs="宋体"/>
          <w:sz w:val="24"/>
          <w:szCs w:val="24"/>
        </w:rPr>
        <w:t>本合同自签订之日起生效。</w:t>
      </w:r>
    </w:p>
    <w:p>
      <w:pPr>
        <w:numPr>
          <w:ilvl w:val="0"/>
          <w:numId w:val="40"/>
        </w:numPr>
        <w:kinsoku w:val="0"/>
        <w:overflowPunct w:val="0"/>
        <w:spacing w:line="400" w:lineRule="atLeast"/>
        <w:jc w:val="left"/>
        <w:rPr>
          <w:rFonts w:ascii="宋体" w:hAnsi="宋体" w:cs="宋体"/>
          <w:sz w:val="24"/>
          <w:szCs w:val="24"/>
        </w:rPr>
      </w:pPr>
      <w:r>
        <w:rPr>
          <w:rFonts w:hint="eastAsia" w:ascii="宋体" w:hAnsi="宋体" w:cs="宋体"/>
          <w:sz w:val="24"/>
          <w:szCs w:val="24"/>
        </w:rPr>
        <w:t>本合同一式两份，双方各执一份，具有同等法律效力。</w:t>
      </w:r>
    </w:p>
    <w:p>
      <w:pPr>
        <w:numPr>
          <w:ilvl w:val="0"/>
          <w:numId w:val="40"/>
        </w:numPr>
        <w:kinsoku w:val="0"/>
        <w:overflowPunct w:val="0"/>
        <w:spacing w:line="400" w:lineRule="atLeast"/>
        <w:jc w:val="left"/>
        <w:rPr>
          <w:rFonts w:ascii="宋体" w:hAnsi="宋体" w:cs="宋体"/>
          <w:sz w:val="24"/>
          <w:szCs w:val="24"/>
        </w:rPr>
      </w:pPr>
      <w:r>
        <w:rPr>
          <w:rFonts w:hint="eastAsia" w:ascii="宋体" w:hAnsi="宋体" w:cs="宋体"/>
          <w:sz w:val="24"/>
          <w:szCs w:val="24"/>
        </w:rPr>
        <w:t>本合同自双方代表签字，并加盖公章或合同专用章及法定代表人的签章（或持有法定代表人开具的授权委托书或其他有效的授权证明，授权证明为合同附件）即合同生效。</w:t>
      </w:r>
    </w:p>
    <w:p>
      <w:pPr>
        <w:pStyle w:val="5"/>
        <w:rPr>
          <w:rFonts w:hAnsi="宋体"/>
          <w:sz w:val="24"/>
        </w:rPr>
      </w:pPr>
    </w:p>
    <w:p>
      <w:pPr>
        <w:kinsoku w:val="0"/>
        <w:overflowPunct w:val="0"/>
        <w:spacing w:line="400" w:lineRule="atLeast"/>
        <w:rPr>
          <w:rFonts w:ascii="宋体" w:hAnsi="宋体"/>
          <w:sz w:val="24"/>
        </w:rPr>
      </w:pPr>
    </w:p>
    <w:p>
      <w:pPr>
        <w:kinsoku w:val="0"/>
        <w:overflowPunct w:val="0"/>
        <w:spacing w:line="400" w:lineRule="atLeast"/>
        <w:rPr>
          <w:rFonts w:ascii="宋体" w:hAnsi="宋体"/>
          <w:sz w:val="24"/>
        </w:rPr>
      </w:pPr>
    </w:p>
    <w:p>
      <w:pPr>
        <w:pStyle w:val="5"/>
      </w:pPr>
    </w:p>
    <w:p>
      <w:pPr>
        <w:pStyle w:val="5"/>
      </w:pPr>
    </w:p>
    <w:p>
      <w:pPr>
        <w:pStyle w:val="5"/>
      </w:pPr>
    </w:p>
    <w:p>
      <w:pPr>
        <w:pStyle w:val="5"/>
      </w:pPr>
    </w:p>
    <w:p>
      <w:pPr>
        <w:pStyle w:val="5"/>
      </w:pPr>
    </w:p>
    <w:p>
      <w:pPr>
        <w:pStyle w:val="5"/>
      </w:pPr>
    </w:p>
    <w:p>
      <w:pPr>
        <w:pStyle w:val="2"/>
        <w:keepNext w:val="0"/>
        <w:keepLines w:val="0"/>
        <w:kinsoku w:val="0"/>
        <w:overflowPunct w:val="0"/>
        <w:autoSpaceDE w:val="0"/>
        <w:autoSpaceDN w:val="0"/>
        <w:spacing w:before="0" w:after="0" w:line="400" w:lineRule="atLeast"/>
        <w:ind w:firstLine="522" w:firstLineChars="200"/>
        <w:jc w:val="center"/>
        <w:rPr>
          <w:rFonts w:ascii="宋体" w:hAnsi="宋体" w:eastAsia="宋体"/>
          <w:bCs/>
          <w:sz w:val="24"/>
          <w:szCs w:val="24"/>
        </w:rPr>
      </w:pPr>
      <w:bookmarkStart w:id="153" w:name="_Toc21628"/>
      <w:bookmarkStart w:id="154" w:name="_Toc66848109"/>
      <w:bookmarkStart w:id="155" w:name="_Toc515678520"/>
      <w:bookmarkStart w:id="156" w:name="_Toc515678551"/>
      <w:r>
        <w:rPr>
          <w:rFonts w:hint="eastAsia" w:ascii="宋体" w:hAnsi="宋体" w:eastAsia="宋体"/>
          <w:bCs/>
          <w:sz w:val="24"/>
          <w:szCs w:val="24"/>
        </w:rPr>
        <w:t>第五部分 响应报价文件格式</w:t>
      </w:r>
      <w:bookmarkEnd w:id="153"/>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kinsoku w:val="0"/>
              <w:overflowPunct w:val="0"/>
              <w:spacing w:line="400" w:lineRule="atLeast"/>
              <w:rPr>
                <w:rFonts w:ascii="宋体" w:hAnsi="宋体"/>
                <w:sz w:val="24"/>
              </w:rPr>
            </w:pPr>
            <w:r>
              <w:rPr>
                <w:rFonts w:hint="eastAsia" w:ascii="宋体" w:hAnsi="宋体"/>
                <w:sz w:val="24"/>
              </w:rPr>
              <w:t xml:space="preserve">注释： </w:t>
            </w:r>
          </w:p>
          <w:p>
            <w:pPr>
              <w:kinsoku w:val="0"/>
              <w:overflowPunct w:val="0"/>
              <w:spacing w:line="400" w:lineRule="atLeast"/>
              <w:ind w:firstLine="480"/>
              <w:rPr>
                <w:rFonts w:ascii="宋体" w:hAnsi="宋体"/>
                <w:sz w:val="24"/>
              </w:rPr>
            </w:pPr>
            <w:r>
              <w:rPr>
                <w:rFonts w:hint="eastAsia" w:ascii="宋体" w:hAnsi="宋体"/>
                <w:sz w:val="24"/>
              </w:rPr>
              <w:t>《报价文件格式》是报价方的部分报价文件格式和签订合同时所需文件的格式。报价方参照这些格式文件制作报价文件。</w:t>
            </w:r>
          </w:p>
        </w:tc>
      </w:tr>
    </w:tbl>
    <w:p>
      <w:pPr>
        <w:kinsoku w:val="0"/>
        <w:overflowPunct w:val="0"/>
        <w:spacing w:line="400" w:lineRule="atLeast"/>
        <w:rPr>
          <w:rFonts w:ascii="宋体" w:hAnsi="宋体"/>
          <w:b/>
          <w:sz w:val="36"/>
        </w:rPr>
      </w:pPr>
    </w:p>
    <w:p>
      <w:pPr>
        <w:kinsoku w:val="0"/>
        <w:overflowPunct w:val="0"/>
        <w:spacing w:line="400" w:lineRule="atLeast"/>
        <w:jc w:val="center"/>
        <w:outlineLvl w:val="0"/>
        <w:rPr>
          <w:rFonts w:ascii="宋体" w:hAnsi="宋体"/>
          <w:b/>
          <w:sz w:val="44"/>
          <w:szCs w:val="44"/>
        </w:rPr>
      </w:pPr>
      <w:bookmarkStart w:id="157" w:name="_Toc11385"/>
      <w:bookmarkStart w:id="158" w:name="_Toc6288"/>
      <w:bookmarkStart w:id="159" w:name="_Toc23011"/>
      <w:bookmarkStart w:id="160" w:name="_Toc9605"/>
      <w:r>
        <w:rPr>
          <w:rFonts w:hint="eastAsia" w:ascii="宋体" w:hAnsi="宋体"/>
          <w:b/>
          <w:sz w:val="44"/>
          <w:szCs w:val="44"/>
        </w:rPr>
        <w:t>厦门海发环保能源股份有限公司</w:t>
      </w:r>
      <w:bookmarkEnd w:id="157"/>
      <w:bookmarkEnd w:id="158"/>
      <w:bookmarkEnd w:id="159"/>
      <w:bookmarkEnd w:id="160"/>
    </w:p>
    <w:p>
      <w:pPr>
        <w:kinsoku w:val="0"/>
        <w:overflowPunct w:val="0"/>
        <w:spacing w:line="400" w:lineRule="atLeast"/>
        <w:jc w:val="center"/>
        <w:rPr>
          <w:rFonts w:ascii="宋体" w:hAnsi="宋体"/>
          <w:b/>
          <w:sz w:val="44"/>
          <w:szCs w:val="44"/>
        </w:rPr>
      </w:pPr>
    </w:p>
    <w:p>
      <w:pPr>
        <w:kinsoku w:val="0"/>
        <w:overflowPunct w:val="0"/>
        <w:spacing w:line="400" w:lineRule="atLeast"/>
        <w:jc w:val="center"/>
        <w:outlineLvl w:val="0"/>
        <w:rPr>
          <w:rFonts w:ascii="宋体" w:hAnsi="宋体"/>
          <w:b/>
          <w:sz w:val="44"/>
          <w:szCs w:val="44"/>
        </w:rPr>
      </w:pPr>
      <w:bookmarkStart w:id="161" w:name="_Toc22238"/>
      <w:bookmarkStart w:id="162" w:name="_Toc28305"/>
      <w:bookmarkStart w:id="163" w:name="_Toc30894"/>
      <w:bookmarkStart w:id="164" w:name="_Toc3580"/>
      <w:r>
        <w:rPr>
          <w:rFonts w:hint="eastAsia" w:ascii="宋体" w:hAnsi="宋体"/>
          <w:b/>
          <w:sz w:val="44"/>
          <w:szCs w:val="44"/>
        </w:rPr>
        <w:t>一体式氧化锆分析仪备件采购项目</w:t>
      </w:r>
      <w:bookmarkEnd w:id="161"/>
    </w:p>
    <w:p>
      <w:pPr>
        <w:kinsoku w:val="0"/>
        <w:overflowPunct w:val="0"/>
        <w:spacing w:line="400" w:lineRule="atLeast"/>
        <w:jc w:val="center"/>
        <w:rPr>
          <w:rFonts w:ascii="宋体" w:hAnsi="宋体"/>
          <w:b/>
          <w:sz w:val="44"/>
          <w:szCs w:val="44"/>
        </w:rPr>
      </w:pPr>
    </w:p>
    <w:bookmarkEnd w:id="162"/>
    <w:bookmarkEnd w:id="163"/>
    <w:bookmarkEnd w:id="164"/>
    <w:p>
      <w:pPr>
        <w:kinsoku w:val="0"/>
        <w:overflowPunct w:val="0"/>
        <w:spacing w:line="400" w:lineRule="atLeast"/>
        <w:jc w:val="center"/>
        <w:outlineLvl w:val="0"/>
        <w:rPr>
          <w:rFonts w:ascii="宋体" w:hAnsi="宋体"/>
          <w:b/>
          <w:sz w:val="44"/>
          <w:szCs w:val="44"/>
        </w:rPr>
      </w:pPr>
      <w:bookmarkStart w:id="165" w:name="_Toc14950"/>
      <w:r>
        <w:rPr>
          <w:rFonts w:hint="eastAsia" w:ascii="宋体" w:hAnsi="宋体"/>
          <w:b/>
          <w:sz w:val="44"/>
          <w:szCs w:val="44"/>
        </w:rPr>
        <w:t>响应报价文件</w:t>
      </w:r>
      <w:bookmarkEnd w:id="165"/>
    </w:p>
    <w:p>
      <w:pPr>
        <w:kinsoku w:val="0"/>
        <w:overflowPunct w:val="0"/>
        <w:spacing w:line="400" w:lineRule="atLeast"/>
        <w:ind w:firstLine="1446" w:firstLineChars="400"/>
        <w:rPr>
          <w:rFonts w:ascii="宋体" w:hAnsi="宋体"/>
          <w:b/>
          <w:sz w:val="36"/>
        </w:rPr>
      </w:pPr>
    </w:p>
    <w:p>
      <w:pPr>
        <w:kinsoku w:val="0"/>
        <w:overflowPunct w:val="0"/>
        <w:spacing w:line="400" w:lineRule="atLeast"/>
        <w:ind w:firstLine="1807" w:firstLineChars="500"/>
        <w:outlineLvl w:val="0"/>
        <w:rPr>
          <w:rFonts w:ascii="宋体" w:hAnsi="宋体"/>
          <w:b/>
          <w:sz w:val="36"/>
        </w:rPr>
      </w:pPr>
      <w:bookmarkStart w:id="166" w:name="_Toc14918"/>
      <w:bookmarkStart w:id="167" w:name="_Toc16822"/>
      <w:bookmarkStart w:id="168" w:name="_Toc477"/>
      <w:bookmarkStart w:id="169" w:name="_Toc3485"/>
      <w:r>
        <w:rPr>
          <w:rFonts w:hint="eastAsia" w:ascii="宋体" w:hAnsi="宋体"/>
          <w:b/>
          <w:sz w:val="36"/>
        </w:rPr>
        <w:t>项 目 编 号：</w:t>
      </w:r>
      <w:bookmarkEnd w:id="166"/>
      <w:bookmarkEnd w:id="167"/>
      <w:bookmarkEnd w:id="168"/>
      <w:bookmarkEnd w:id="169"/>
      <w:r>
        <w:rPr>
          <w:rFonts w:hint="eastAsia" w:ascii="宋体" w:hAnsi="宋体"/>
          <w:b/>
          <w:sz w:val="36"/>
          <w:u w:val="single"/>
        </w:rPr>
        <w:t xml:space="preserve">               </w:t>
      </w:r>
    </w:p>
    <w:p>
      <w:pPr>
        <w:kinsoku w:val="0"/>
        <w:overflowPunct w:val="0"/>
        <w:spacing w:line="400" w:lineRule="atLeast"/>
        <w:rPr>
          <w:rFonts w:ascii="宋体" w:hAnsi="宋体"/>
          <w:b/>
          <w:sz w:val="36"/>
        </w:rPr>
      </w:pPr>
      <w:r>
        <w:rPr>
          <w:rFonts w:hint="eastAsia" w:ascii="宋体" w:hAnsi="宋体"/>
          <w:b/>
          <w:sz w:val="36"/>
        </w:rPr>
        <w:t xml:space="preserve">    </w:t>
      </w:r>
    </w:p>
    <w:p>
      <w:pPr>
        <w:kinsoku w:val="0"/>
        <w:overflowPunct w:val="0"/>
        <w:spacing w:line="400" w:lineRule="atLeast"/>
        <w:rPr>
          <w:rFonts w:ascii="宋体" w:hAnsi="宋体"/>
          <w:b/>
          <w:sz w:val="36"/>
        </w:rPr>
      </w:pPr>
    </w:p>
    <w:p>
      <w:pPr>
        <w:kinsoku w:val="0"/>
        <w:overflowPunct w:val="0"/>
        <w:spacing w:line="400" w:lineRule="atLeast"/>
        <w:rPr>
          <w:rFonts w:ascii="宋体" w:hAnsi="宋体"/>
          <w:b/>
          <w:sz w:val="36"/>
        </w:rPr>
      </w:pPr>
    </w:p>
    <w:p>
      <w:pPr>
        <w:kinsoku w:val="0"/>
        <w:overflowPunct w:val="0"/>
        <w:spacing w:line="400" w:lineRule="atLeast"/>
        <w:jc w:val="left"/>
        <w:rPr>
          <w:rFonts w:ascii="宋体" w:hAnsi="宋体"/>
          <w:b/>
          <w:bCs/>
          <w:sz w:val="32"/>
          <w:szCs w:val="32"/>
        </w:rPr>
      </w:pPr>
    </w:p>
    <w:p>
      <w:pPr>
        <w:kinsoku w:val="0"/>
        <w:overflowPunct w:val="0"/>
        <w:spacing w:line="400" w:lineRule="atLeast"/>
        <w:ind w:firstLine="602" w:firstLineChars="200"/>
        <w:jc w:val="left"/>
        <w:outlineLvl w:val="0"/>
        <w:rPr>
          <w:rFonts w:ascii="宋体" w:hAnsi="宋体"/>
          <w:b/>
          <w:bCs/>
          <w:sz w:val="30"/>
          <w:szCs w:val="30"/>
          <w:u w:val="single"/>
        </w:rPr>
      </w:pPr>
      <w:bookmarkStart w:id="170" w:name="_Toc31210"/>
      <w:bookmarkStart w:id="171" w:name="_Toc12676"/>
      <w:bookmarkStart w:id="172" w:name="_Toc18349"/>
      <w:bookmarkStart w:id="173" w:name="_Toc10610"/>
      <w:bookmarkStart w:id="174" w:name="_Toc26010"/>
      <w:bookmarkStart w:id="175" w:name="_Toc27454"/>
      <w:r>
        <w:rPr>
          <w:rFonts w:hint="eastAsia" w:ascii="宋体" w:hAnsi="宋体"/>
          <w:b/>
          <w:bCs/>
          <w:sz w:val="30"/>
          <w:szCs w:val="30"/>
        </w:rPr>
        <w:t>报价单位：</w:t>
      </w:r>
      <w:r>
        <w:rPr>
          <w:rFonts w:hint="eastAsia" w:ascii="宋体" w:hAnsi="宋体"/>
          <w:b/>
          <w:bCs/>
          <w:sz w:val="30"/>
          <w:szCs w:val="30"/>
          <w:u w:val="single"/>
        </w:rPr>
        <w:t xml:space="preserve">                           （盖公章）</w:t>
      </w:r>
      <w:bookmarkEnd w:id="170"/>
      <w:bookmarkEnd w:id="171"/>
      <w:bookmarkEnd w:id="172"/>
      <w:bookmarkEnd w:id="173"/>
      <w:bookmarkEnd w:id="174"/>
      <w:bookmarkEnd w:id="175"/>
    </w:p>
    <w:p>
      <w:pPr>
        <w:kinsoku w:val="0"/>
        <w:overflowPunct w:val="0"/>
        <w:spacing w:line="400" w:lineRule="atLeast"/>
        <w:jc w:val="left"/>
        <w:rPr>
          <w:rFonts w:ascii="宋体" w:hAnsi="宋体"/>
          <w:b/>
          <w:bCs/>
          <w:sz w:val="30"/>
          <w:szCs w:val="30"/>
          <w:u w:val="single"/>
        </w:rPr>
      </w:pPr>
    </w:p>
    <w:p>
      <w:pPr>
        <w:kinsoku w:val="0"/>
        <w:overflowPunct w:val="0"/>
        <w:spacing w:line="400" w:lineRule="atLeast"/>
        <w:ind w:firstLine="602" w:firstLineChars="200"/>
        <w:jc w:val="left"/>
        <w:outlineLvl w:val="0"/>
        <w:rPr>
          <w:rFonts w:ascii="宋体" w:hAnsi="宋体"/>
          <w:b/>
          <w:bCs/>
          <w:sz w:val="30"/>
          <w:szCs w:val="30"/>
          <w:u w:val="single"/>
        </w:rPr>
      </w:pPr>
      <w:bookmarkStart w:id="176" w:name="_Toc28416"/>
      <w:bookmarkStart w:id="177" w:name="_Toc4882"/>
      <w:bookmarkStart w:id="178" w:name="_Toc16600"/>
      <w:bookmarkStart w:id="179" w:name="_Toc22504"/>
      <w:bookmarkStart w:id="180" w:name="_Toc26421"/>
      <w:bookmarkStart w:id="181" w:name="_Toc2110"/>
      <w:r>
        <w:rPr>
          <w:rFonts w:hint="eastAsia" w:ascii="宋体" w:hAnsi="宋体"/>
          <w:b/>
          <w:bCs/>
          <w:sz w:val="30"/>
          <w:szCs w:val="30"/>
        </w:rPr>
        <w:t>法定代表人或其委托代理人：</w:t>
      </w:r>
      <w:bookmarkEnd w:id="176"/>
      <w:bookmarkEnd w:id="177"/>
      <w:bookmarkEnd w:id="178"/>
      <w:bookmarkEnd w:id="179"/>
      <w:bookmarkEnd w:id="180"/>
      <w:bookmarkEnd w:id="181"/>
      <w:r>
        <w:rPr>
          <w:rFonts w:hint="eastAsia" w:ascii="宋体" w:hAnsi="宋体"/>
          <w:b/>
          <w:bCs/>
          <w:sz w:val="30"/>
          <w:szCs w:val="30"/>
          <w:u w:val="single"/>
        </w:rPr>
        <w:t xml:space="preserve">                     </w:t>
      </w:r>
    </w:p>
    <w:p>
      <w:pPr>
        <w:kinsoku w:val="0"/>
        <w:overflowPunct w:val="0"/>
        <w:spacing w:line="400" w:lineRule="atLeast"/>
        <w:ind w:firstLine="1687" w:firstLineChars="600"/>
        <w:jc w:val="center"/>
        <w:rPr>
          <w:rFonts w:ascii="宋体" w:hAnsi="宋体"/>
          <w:b/>
          <w:bCs/>
          <w:sz w:val="28"/>
          <w:szCs w:val="28"/>
        </w:rPr>
      </w:pPr>
    </w:p>
    <w:p>
      <w:pPr>
        <w:kinsoku w:val="0"/>
        <w:overflowPunct w:val="0"/>
        <w:spacing w:line="400" w:lineRule="atLeast"/>
        <w:ind w:firstLine="2811" w:firstLineChars="1000"/>
        <w:outlineLvl w:val="0"/>
        <w:rPr>
          <w:rFonts w:ascii="宋体" w:hAnsi="宋体"/>
          <w:b/>
          <w:bCs/>
          <w:sz w:val="28"/>
          <w:szCs w:val="28"/>
        </w:rPr>
      </w:pPr>
      <w:bookmarkStart w:id="182" w:name="_Toc7425"/>
      <w:bookmarkStart w:id="183" w:name="_Toc24026"/>
      <w:bookmarkStart w:id="184" w:name="_Toc19182"/>
      <w:bookmarkStart w:id="185" w:name="_Toc14233"/>
      <w:bookmarkStart w:id="186" w:name="_Toc17921"/>
      <w:bookmarkStart w:id="187" w:name="_Toc7142"/>
      <w:r>
        <w:rPr>
          <w:rFonts w:hint="eastAsia" w:ascii="宋体" w:hAnsi="宋体"/>
          <w:b/>
          <w:bCs/>
          <w:sz w:val="28"/>
          <w:szCs w:val="28"/>
        </w:rPr>
        <w:t>报价日期：2021年  月   日</w:t>
      </w:r>
      <w:bookmarkEnd w:id="182"/>
      <w:bookmarkEnd w:id="183"/>
      <w:bookmarkEnd w:id="184"/>
      <w:bookmarkEnd w:id="185"/>
      <w:bookmarkEnd w:id="186"/>
      <w:bookmarkEnd w:id="187"/>
    </w:p>
    <w:p>
      <w:pPr>
        <w:kinsoku w:val="0"/>
        <w:overflowPunct w:val="0"/>
        <w:spacing w:line="400" w:lineRule="atLeast"/>
        <w:ind w:firstLine="2811" w:firstLineChars="1000"/>
        <w:rPr>
          <w:rFonts w:ascii="宋体" w:hAnsi="宋体"/>
          <w:b/>
          <w:bCs/>
          <w:sz w:val="28"/>
          <w:szCs w:val="28"/>
        </w:rPr>
      </w:pPr>
    </w:p>
    <w:p>
      <w:pPr>
        <w:pStyle w:val="5"/>
      </w:pPr>
    </w:p>
    <w:p>
      <w:pPr>
        <w:pStyle w:val="5"/>
        <w:rPr>
          <w:rFonts w:hAnsi="宋体"/>
          <w:b/>
          <w:bCs/>
          <w:sz w:val="28"/>
          <w:szCs w:val="28"/>
        </w:rPr>
      </w:pPr>
    </w:p>
    <w:p>
      <w:pPr>
        <w:numPr>
          <w:ilvl w:val="0"/>
          <w:numId w:val="41"/>
        </w:numPr>
        <w:kinsoku w:val="0"/>
        <w:overflowPunct w:val="0"/>
        <w:snapToGrid w:val="0"/>
        <w:spacing w:line="440" w:lineRule="atLeast"/>
        <w:ind w:firstLine="0"/>
        <w:outlineLvl w:val="0"/>
        <w:rPr>
          <w:rFonts w:ascii="宋体" w:hAnsi="宋体"/>
          <w:sz w:val="24"/>
          <w:szCs w:val="24"/>
        </w:rPr>
      </w:pPr>
      <w:bookmarkStart w:id="188" w:name="_Toc24074"/>
      <w:r>
        <w:rPr>
          <w:rFonts w:hint="eastAsia" w:ascii="宋体" w:hAnsi="宋体"/>
          <w:sz w:val="24"/>
          <w:szCs w:val="24"/>
        </w:rPr>
        <w:t>响应函（见附件1）；</w:t>
      </w:r>
      <w:bookmarkEnd w:id="188"/>
    </w:p>
    <w:p>
      <w:pPr>
        <w:numPr>
          <w:ilvl w:val="0"/>
          <w:numId w:val="41"/>
        </w:numPr>
        <w:kinsoku w:val="0"/>
        <w:overflowPunct w:val="0"/>
        <w:snapToGrid w:val="0"/>
        <w:spacing w:line="440" w:lineRule="atLeast"/>
        <w:ind w:firstLine="0"/>
        <w:outlineLvl w:val="0"/>
        <w:rPr>
          <w:rFonts w:ascii="宋体" w:hAnsi="宋体"/>
          <w:sz w:val="24"/>
          <w:szCs w:val="24"/>
        </w:rPr>
      </w:pPr>
      <w:bookmarkStart w:id="189" w:name="_Toc29407"/>
      <w:r>
        <w:rPr>
          <w:rFonts w:hint="eastAsia" w:ascii="宋体" w:hAnsi="宋体"/>
          <w:sz w:val="24"/>
          <w:szCs w:val="24"/>
        </w:rPr>
        <w:t>报价表（见附件2）；</w:t>
      </w:r>
      <w:bookmarkEnd w:id="189"/>
    </w:p>
    <w:p>
      <w:pPr>
        <w:numPr>
          <w:ilvl w:val="0"/>
          <w:numId w:val="41"/>
        </w:numPr>
        <w:kinsoku w:val="0"/>
        <w:overflowPunct w:val="0"/>
        <w:snapToGrid w:val="0"/>
        <w:spacing w:line="440" w:lineRule="atLeast"/>
        <w:ind w:firstLine="0"/>
        <w:outlineLvl w:val="0"/>
        <w:rPr>
          <w:rFonts w:ascii="宋体" w:hAnsi="宋体"/>
          <w:sz w:val="24"/>
          <w:szCs w:val="24"/>
        </w:rPr>
      </w:pPr>
      <w:bookmarkStart w:id="190" w:name="_Toc3903"/>
      <w:r>
        <w:rPr>
          <w:rFonts w:hint="eastAsia" w:ascii="宋体" w:hAnsi="宋体"/>
          <w:sz w:val="24"/>
          <w:szCs w:val="24"/>
        </w:rPr>
        <w:t>法定代表人身份证明书（见附件3）；</w:t>
      </w:r>
      <w:bookmarkEnd w:id="190"/>
    </w:p>
    <w:p>
      <w:pPr>
        <w:numPr>
          <w:ilvl w:val="0"/>
          <w:numId w:val="41"/>
        </w:numPr>
        <w:kinsoku w:val="0"/>
        <w:overflowPunct w:val="0"/>
        <w:snapToGrid w:val="0"/>
        <w:spacing w:line="400" w:lineRule="atLeast"/>
        <w:ind w:firstLine="0"/>
        <w:outlineLvl w:val="0"/>
        <w:rPr>
          <w:rFonts w:ascii="宋体" w:hAnsi="宋体"/>
          <w:sz w:val="24"/>
          <w:szCs w:val="24"/>
        </w:rPr>
      </w:pPr>
      <w:bookmarkStart w:id="191" w:name="_Toc5238"/>
      <w:r>
        <w:rPr>
          <w:rFonts w:hint="eastAsia" w:ascii="宋体" w:hAnsi="宋体"/>
          <w:sz w:val="24"/>
          <w:szCs w:val="24"/>
        </w:rPr>
        <w:t>法人授权委托书（见附件4，报价签字代表为法定代表人，则本附件不需要提供）；</w:t>
      </w:r>
      <w:bookmarkEnd w:id="191"/>
    </w:p>
    <w:p>
      <w:pPr>
        <w:numPr>
          <w:ilvl w:val="0"/>
          <w:numId w:val="41"/>
        </w:numPr>
        <w:kinsoku w:val="0"/>
        <w:overflowPunct w:val="0"/>
        <w:snapToGrid w:val="0"/>
        <w:spacing w:line="440" w:lineRule="atLeast"/>
        <w:ind w:firstLine="0"/>
        <w:outlineLvl w:val="0"/>
        <w:rPr>
          <w:rFonts w:ascii="宋体" w:hAnsi="宋体"/>
          <w:sz w:val="24"/>
          <w:szCs w:val="24"/>
        </w:rPr>
      </w:pPr>
      <w:bookmarkStart w:id="192" w:name="_Toc29950"/>
      <w:r>
        <w:rPr>
          <w:rFonts w:hint="eastAsia" w:ascii="宋体" w:hAnsi="宋体"/>
          <w:sz w:val="24"/>
          <w:szCs w:val="24"/>
        </w:rPr>
        <w:t>关于资格的声明函（见附件5）；</w:t>
      </w:r>
      <w:bookmarkEnd w:id="192"/>
    </w:p>
    <w:p>
      <w:pPr>
        <w:numPr>
          <w:ilvl w:val="0"/>
          <w:numId w:val="41"/>
        </w:numPr>
        <w:kinsoku w:val="0"/>
        <w:overflowPunct w:val="0"/>
        <w:snapToGrid w:val="0"/>
        <w:spacing w:line="440" w:lineRule="atLeast"/>
        <w:ind w:firstLine="0"/>
        <w:outlineLvl w:val="0"/>
        <w:rPr>
          <w:rFonts w:ascii="宋体" w:hAnsi="宋体"/>
          <w:sz w:val="24"/>
          <w:szCs w:val="24"/>
        </w:rPr>
      </w:pPr>
      <w:bookmarkStart w:id="193" w:name="_Toc17739"/>
      <w:r>
        <w:rPr>
          <w:rFonts w:hint="eastAsia" w:ascii="宋体" w:hAnsi="宋体"/>
          <w:sz w:val="24"/>
          <w:szCs w:val="24"/>
        </w:rPr>
        <w:t>报价方廉洁承诺书（见附件6）；</w:t>
      </w:r>
      <w:bookmarkEnd w:id="193"/>
    </w:p>
    <w:p>
      <w:pPr>
        <w:numPr>
          <w:ilvl w:val="0"/>
          <w:numId w:val="41"/>
        </w:numPr>
        <w:kinsoku w:val="0"/>
        <w:overflowPunct w:val="0"/>
        <w:snapToGrid w:val="0"/>
        <w:spacing w:line="440" w:lineRule="atLeast"/>
        <w:ind w:firstLine="0"/>
        <w:outlineLvl w:val="0"/>
        <w:rPr>
          <w:rFonts w:ascii="宋体" w:hAnsi="宋体"/>
          <w:sz w:val="24"/>
          <w:szCs w:val="24"/>
        </w:rPr>
      </w:pPr>
      <w:bookmarkStart w:id="194" w:name="_Toc30562"/>
      <w:r>
        <w:rPr>
          <w:rFonts w:hint="eastAsia" w:ascii="宋体" w:hAnsi="宋体"/>
          <w:sz w:val="24"/>
          <w:szCs w:val="24"/>
        </w:rPr>
        <w:t>企业能有效识别二维码且加盖报价单位公章的营业执照复印件（见附件7）；</w:t>
      </w:r>
      <w:bookmarkEnd w:id="194"/>
    </w:p>
    <w:p>
      <w:pPr>
        <w:numPr>
          <w:ilvl w:val="0"/>
          <w:numId w:val="41"/>
        </w:numPr>
        <w:kinsoku w:val="0"/>
        <w:overflowPunct w:val="0"/>
        <w:snapToGrid w:val="0"/>
        <w:spacing w:line="440" w:lineRule="atLeast"/>
        <w:ind w:firstLine="0"/>
        <w:outlineLvl w:val="0"/>
        <w:rPr>
          <w:rFonts w:ascii="宋体" w:hAnsi="宋体"/>
          <w:sz w:val="24"/>
          <w:szCs w:val="24"/>
        </w:rPr>
      </w:pPr>
      <w:bookmarkStart w:id="195" w:name="_Toc19992"/>
      <w:r>
        <w:rPr>
          <w:rFonts w:hint="eastAsia" w:ascii="宋体" w:hAnsi="宋体"/>
          <w:sz w:val="24"/>
          <w:szCs w:val="24"/>
        </w:rPr>
        <w:t>相关业绩证明，提供合同复印件（见附件8）；</w:t>
      </w:r>
      <w:bookmarkEnd w:id="195"/>
    </w:p>
    <w:p>
      <w:pPr>
        <w:numPr>
          <w:ilvl w:val="0"/>
          <w:numId w:val="41"/>
        </w:numPr>
        <w:kinsoku w:val="0"/>
        <w:overflowPunct w:val="0"/>
        <w:snapToGrid w:val="0"/>
        <w:spacing w:line="440" w:lineRule="atLeast"/>
        <w:ind w:firstLine="0"/>
        <w:outlineLvl w:val="0"/>
        <w:rPr>
          <w:rFonts w:ascii="宋体" w:hAnsi="宋体"/>
          <w:sz w:val="24"/>
          <w:szCs w:val="24"/>
        </w:rPr>
      </w:pPr>
      <w:r>
        <w:rPr>
          <w:rFonts w:hint="eastAsia" w:ascii="宋体" w:hAnsi="宋体"/>
          <w:sz w:val="24"/>
          <w:szCs w:val="24"/>
        </w:rPr>
        <w:t>报价方认为需要提供的其它资料（见附件9）。</w:t>
      </w:r>
    </w:p>
    <w:p>
      <w:pPr>
        <w:jc w:val="center"/>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16"/>
        <w:keepNext w:val="0"/>
        <w:keepLines w:val="0"/>
        <w:kinsoku w:val="0"/>
        <w:overflowPunct w:val="0"/>
        <w:autoSpaceDE w:val="0"/>
        <w:autoSpaceDN w:val="0"/>
        <w:spacing w:before="0" w:after="0" w:line="400" w:lineRule="atLeast"/>
        <w:outlineLvl w:val="0"/>
        <w:rPr>
          <w:rFonts w:eastAsia="宋体" w:cs="宋体"/>
          <w:b w:val="0"/>
          <w:bCs/>
          <w:sz w:val="28"/>
          <w:szCs w:val="18"/>
        </w:rPr>
      </w:pPr>
      <w:bookmarkStart w:id="196" w:name="_Toc16696"/>
      <w:bookmarkStart w:id="197" w:name="_Toc29175_WPSOffice_Level1"/>
      <w:bookmarkStart w:id="198" w:name="_Toc2425_WPSOffice_Level2"/>
      <w:r>
        <w:rPr>
          <w:rFonts w:hint="eastAsia" w:eastAsia="宋体" w:cs="宋体"/>
          <w:b w:val="0"/>
          <w:bCs/>
          <w:sz w:val="28"/>
          <w:szCs w:val="18"/>
        </w:rPr>
        <w:t>附件1 响应函</w:t>
      </w:r>
      <w:bookmarkEnd w:id="196"/>
      <w:bookmarkEnd w:id="197"/>
      <w:bookmarkEnd w:id="198"/>
    </w:p>
    <w:p>
      <w:pPr>
        <w:kinsoku w:val="0"/>
        <w:overflowPunct w:val="0"/>
        <w:snapToGrid w:val="0"/>
        <w:spacing w:line="460" w:lineRule="exact"/>
        <w:rPr>
          <w:rFonts w:ascii="宋体" w:hAnsi="宋体" w:cs="宋体"/>
          <w:spacing w:val="-4"/>
          <w:sz w:val="24"/>
          <w:szCs w:val="24"/>
        </w:rPr>
      </w:pPr>
      <w:r>
        <w:rPr>
          <w:rFonts w:hint="eastAsia" w:ascii="宋体" w:hAnsi="宋体" w:cs="宋体"/>
          <w:spacing w:val="-4"/>
          <w:sz w:val="24"/>
          <w:szCs w:val="24"/>
        </w:rPr>
        <w:t>厦门海发环保能源股份有限公司：</w:t>
      </w:r>
    </w:p>
    <w:p>
      <w:pPr>
        <w:numPr>
          <w:ilvl w:val="0"/>
          <w:numId w:val="42"/>
        </w:numPr>
        <w:kinsoku w:val="0"/>
        <w:overflowPunct w:val="0"/>
        <w:snapToGrid w:val="0"/>
        <w:spacing w:line="460" w:lineRule="exact"/>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sz w:val="24"/>
          <w:szCs w:val="24"/>
          <w:u w:val="single"/>
        </w:rPr>
        <w:t xml:space="preserve">   一体式氧化锆</w:t>
      </w:r>
      <w:r>
        <w:rPr>
          <w:rFonts w:ascii="宋体" w:hAnsi="宋体" w:cs="宋体"/>
          <w:sz w:val="24"/>
          <w:szCs w:val="24"/>
          <w:u w:val="single"/>
        </w:rPr>
        <w:t>分析仪</w:t>
      </w:r>
      <w:r>
        <w:rPr>
          <w:rFonts w:hint="eastAsia" w:ascii="宋体" w:hAnsi="宋体" w:cs="宋体"/>
          <w:sz w:val="24"/>
          <w:szCs w:val="24"/>
          <w:u w:val="single"/>
        </w:rPr>
        <w:t>备件采购   项目</w:t>
      </w:r>
      <w:r>
        <w:rPr>
          <w:rFonts w:hint="eastAsia" w:ascii="宋体" w:hAnsi="宋体" w:cs="宋体"/>
          <w:spacing w:val="-4"/>
          <w:sz w:val="24"/>
          <w:szCs w:val="24"/>
        </w:rPr>
        <w:t>的采购文件全部内容，愿意以人民币</w:t>
      </w:r>
      <w:r>
        <w:rPr>
          <w:rFonts w:hint="eastAsia" w:ascii="宋体" w:hAnsi="宋体" w:cs="宋体"/>
          <w:spacing w:val="-4"/>
          <w:sz w:val="24"/>
          <w:szCs w:val="24"/>
          <w:u w:val="single"/>
        </w:rPr>
        <w:t xml:space="preserve">              </w:t>
      </w:r>
      <w:r>
        <w:rPr>
          <w:rFonts w:hint="eastAsia" w:ascii="宋体" w:hAnsi="宋体" w:cs="宋体"/>
          <w:spacing w:val="-4"/>
          <w:sz w:val="24"/>
          <w:szCs w:val="24"/>
        </w:rPr>
        <w:t>的总报价，含13％增值税专用发票。供货期</w:t>
      </w:r>
      <w:r>
        <w:rPr>
          <w:rFonts w:hint="eastAsia" w:ascii="宋体" w:hAnsi="宋体" w:cs="宋体"/>
          <w:spacing w:val="-4"/>
          <w:sz w:val="24"/>
          <w:szCs w:val="24"/>
          <w:u w:val="single"/>
        </w:rPr>
        <w:t xml:space="preserve">  完全满足采购文件要求 </w:t>
      </w:r>
      <w:r>
        <w:rPr>
          <w:rFonts w:hint="eastAsia" w:ascii="宋体" w:hAnsi="宋体" w:cs="宋体"/>
          <w:spacing w:val="-4"/>
          <w:sz w:val="24"/>
          <w:szCs w:val="24"/>
        </w:rPr>
        <w:t>，按照采购文件、合同要求供货。</w:t>
      </w:r>
    </w:p>
    <w:p>
      <w:pPr>
        <w:numPr>
          <w:ilvl w:val="0"/>
          <w:numId w:val="42"/>
        </w:numPr>
        <w:kinsoku w:val="0"/>
        <w:overflowPunct w:val="0"/>
        <w:snapToGrid w:val="0"/>
        <w:spacing w:line="460" w:lineRule="exact"/>
        <w:jc w:val="left"/>
        <w:rPr>
          <w:rFonts w:ascii="宋体" w:hAnsi="宋体" w:cs="宋体"/>
          <w:spacing w:val="-4"/>
          <w:sz w:val="24"/>
          <w:szCs w:val="24"/>
        </w:rPr>
      </w:pPr>
      <w:r>
        <w:rPr>
          <w:rFonts w:hint="eastAsia" w:ascii="宋体" w:hAnsi="宋体" w:cs="宋体"/>
          <w:spacing w:val="-4"/>
          <w:sz w:val="24"/>
          <w:szCs w:val="24"/>
        </w:rPr>
        <w:t>我方承诺在采购文件规定的报价有效期内不修改、撤销报价文件。</w:t>
      </w:r>
    </w:p>
    <w:p>
      <w:pPr>
        <w:numPr>
          <w:ilvl w:val="0"/>
          <w:numId w:val="42"/>
        </w:numPr>
        <w:kinsoku w:val="0"/>
        <w:overflowPunct w:val="0"/>
        <w:snapToGrid w:val="0"/>
        <w:spacing w:line="460" w:lineRule="exact"/>
        <w:jc w:val="left"/>
        <w:rPr>
          <w:rFonts w:ascii="宋体" w:hAnsi="宋体" w:cs="宋体"/>
          <w:spacing w:val="-4"/>
          <w:sz w:val="24"/>
          <w:szCs w:val="24"/>
        </w:rPr>
      </w:pPr>
      <w:r>
        <w:rPr>
          <w:rFonts w:hint="eastAsia" w:ascii="宋体" w:hAnsi="宋体" w:cs="宋体"/>
          <w:spacing w:val="-4"/>
          <w:sz w:val="24"/>
          <w:szCs w:val="24"/>
        </w:rPr>
        <w:t>如我方中标，我方承诺在收到成交通知书后，在成交通知书规定的期限内完成合同签订，并保证为设备及配套材料质量标准均符合国家有关标准要求。</w:t>
      </w:r>
    </w:p>
    <w:p>
      <w:pPr>
        <w:numPr>
          <w:ilvl w:val="0"/>
          <w:numId w:val="42"/>
        </w:numPr>
        <w:kinsoku w:val="0"/>
        <w:overflowPunct w:val="0"/>
        <w:snapToGrid w:val="0"/>
        <w:spacing w:line="460" w:lineRule="exact"/>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42"/>
        </w:numPr>
        <w:kinsoku w:val="0"/>
        <w:overflowPunct w:val="0"/>
        <w:snapToGrid w:val="0"/>
        <w:spacing w:line="460" w:lineRule="exact"/>
        <w:jc w:val="left"/>
        <w:rPr>
          <w:rFonts w:ascii="宋体" w:hAnsi="宋体" w:cs="宋体"/>
          <w:spacing w:val="-4"/>
          <w:sz w:val="24"/>
          <w:szCs w:val="24"/>
        </w:rPr>
      </w:pPr>
      <w:r>
        <w:rPr>
          <w:rFonts w:hint="eastAsia" w:ascii="宋体" w:hAnsi="宋体" w:cs="宋体"/>
          <w:spacing w:val="-4"/>
          <w:sz w:val="24"/>
          <w:szCs w:val="24"/>
        </w:rPr>
        <w:t>我方承诺按采购文件的规定履行合同责任和义务，并在合同约定的期限内完成供货。</w:t>
      </w:r>
    </w:p>
    <w:p>
      <w:pPr>
        <w:numPr>
          <w:ilvl w:val="0"/>
          <w:numId w:val="42"/>
        </w:numPr>
        <w:kinsoku w:val="0"/>
        <w:overflowPunct w:val="0"/>
        <w:snapToGrid w:val="0"/>
        <w:spacing w:line="460" w:lineRule="exact"/>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我方在此声明，所递交的报价文件及有关资料内容完整、真实和准确，且不存在违反采购文件规定的任何一种条款。</w:t>
      </w:r>
    </w:p>
    <w:p>
      <w:pPr>
        <w:kinsoku w:val="0"/>
        <w:overflowPunct w:val="0"/>
        <w:snapToGrid w:val="0"/>
        <w:spacing w:line="460" w:lineRule="exact"/>
        <w:jc w:val="center"/>
        <w:rPr>
          <w:rFonts w:ascii="宋体" w:hAnsi="宋体" w:cs="宋体"/>
          <w:spacing w:val="-4"/>
          <w:sz w:val="24"/>
          <w:szCs w:val="24"/>
        </w:rPr>
      </w:pPr>
    </w:p>
    <w:p>
      <w:pPr>
        <w:kinsoku w:val="0"/>
        <w:overflowPunct w:val="0"/>
        <w:snapToGrid w:val="0"/>
        <w:spacing w:line="460" w:lineRule="exact"/>
        <w:ind w:firstLine="3712" w:firstLineChars="1600"/>
        <w:rPr>
          <w:rFonts w:ascii="宋体" w:hAnsi="宋体" w:cs="宋体"/>
          <w:spacing w:val="-4"/>
          <w:sz w:val="24"/>
          <w:szCs w:val="24"/>
          <w:u w:val="single"/>
        </w:rPr>
      </w:pPr>
      <w:r>
        <w:rPr>
          <w:rFonts w:hint="eastAsia" w:ascii="宋体" w:hAnsi="宋体" w:cs="宋体"/>
          <w:spacing w:val="-4"/>
          <w:sz w:val="24"/>
          <w:szCs w:val="24"/>
        </w:rPr>
        <w:t xml:space="preserve">   </w:t>
      </w: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snapToGrid w:val="0"/>
        <w:spacing w:line="460" w:lineRule="exact"/>
        <w:rPr>
          <w:rFonts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kinsoku w:val="0"/>
        <w:overflowPunct w:val="0"/>
        <w:snapToGrid w:val="0"/>
        <w:spacing w:line="460" w:lineRule="exact"/>
        <w:rPr>
          <w:rFonts w:ascii="宋体" w:hAnsi="宋体" w:cs="宋体"/>
          <w:spacing w:val="-4"/>
          <w:sz w:val="24"/>
          <w:szCs w:val="24"/>
        </w:rPr>
      </w:pPr>
      <w:r>
        <w:rPr>
          <w:rFonts w:hint="eastAsia" w:ascii="宋体" w:hAnsi="宋体" w:cs="宋体"/>
          <w:spacing w:val="-4"/>
          <w:sz w:val="24"/>
          <w:szCs w:val="24"/>
        </w:rPr>
        <w:t xml:space="preserve">                                         日期：       年   月   日</w:t>
      </w: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5"/>
        <w:rPr>
          <w:rFonts w:cs="宋体"/>
          <w:bCs/>
          <w:sz w:val="28"/>
          <w:szCs w:val="28"/>
        </w:rPr>
      </w:pPr>
    </w:p>
    <w:p>
      <w:pPr>
        <w:pStyle w:val="16"/>
        <w:keepNext w:val="0"/>
        <w:keepLines w:val="0"/>
        <w:kinsoku w:val="0"/>
        <w:overflowPunct w:val="0"/>
        <w:autoSpaceDE w:val="0"/>
        <w:autoSpaceDN w:val="0"/>
        <w:spacing w:before="0" w:after="0" w:line="400" w:lineRule="atLeast"/>
        <w:outlineLvl w:val="0"/>
        <w:rPr>
          <w:rFonts w:eastAsia="宋体" w:cs="宋体"/>
          <w:b w:val="0"/>
          <w:bCs/>
          <w:sz w:val="28"/>
          <w:szCs w:val="18"/>
        </w:rPr>
      </w:pPr>
      <w:bookmarkStart w:id="199" w:name="_Toc1921"/>
      <w:r>
        <w:rPr>
          <w:rFonts w:hint="eastAsia" w:eastAsia="宋体" w:cs="宋体"/>
          <w:b w:val="0"/>
          <w:bCs/>
          <w:sz w:val="28"/>
          <w:szCs w:val="18"/>
        </w:rPr>
        <w:t>附件2、报价表</w:t>
      </w:r>
      <w:bookmarkEnd w:id="199"/>
    </w:p>
    <w:tbl>
      <w:tblPr>
        <w:tblStyle w:val="11"/>
        <w:tblpPr w:leftFromText="180" w:rightFromText="180" w:vertAnchor="text" w:horzAnchor="page" w:tblpX="1230" w:tblpY="151"/>
        <w:tblOverlap w:val="never"/>
        <w:tblW w:w="4997" w:type="pct"/>
        <w:tblInd w:w="0" w:type="dxa"/>
        <w:tblLayout w:type="autofit"/>
        <w:tblCellMar>
          <w:top w:w="0" w:type="dxa"/>
          <w:left w:w="108" w:type="dxa"/>
          <w:bottom w:w="0" w:type="dxa"/>
          <w:right w:w="108" w:type="dxa"/>
        </w:tblCellMar>
      </w:tblPr>
      <w:tblGrid>
        <w:gridCol w:w="716"/>
        <w:gridCol w:w="1370"/>
        <w:gridCol w:w="2182"/>
        <w:gridCol w:w="727"/>
        <w:gridCol w:w="699"/>
        <w:gridCol w:w="1417"/>
        <w:gridCol w:w="2136"/>
      </w:tblGrid>
      <w:tr>
        <w:tblPrEx>
          <w:tblCellMar>
            <w:top w:w="0" w:type="dxa"/>
            <w:left w:w="108" w:type="dxa"/>
            <w:bottom w:w="0" w:type="dxa"/>
            <w:right w:w="108" w:type="dxa"/>
          </w:tblCellMar>
        </w:tblPrEx>
        <w:trPr>
          <w:trHeight w:val="737" w:hRule="atLeast"/>
        </w:trPr>
        <w:tc>
          <w:tcPr>
            <w:tcW w:w="38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分项</w:t>
            </w:r>
          </w:p>
        </w:tc>
        <w:tc>
          <w:tcPr>
            <w:tcW w:w="7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采购品名</w:t>
            </w:r>
          </w:p>
        </w:tc>
        <w:tc>
          <w:tcPr>
            <w:tcW w:w="118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规格型号</w:t>
            </w:r>
          </w:p>
        </w:tc>
        <w:tc>
          <w:tcPr>
            <w:tcW w:w="393"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37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76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报价（元）</w:t>
            </w:r>
          </w:p>
        </w:tc>
        <w:tc>
          <w:tcPr>
            <w:tcW w:w="115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制造厂商（品牌）</w:t>
            </w:r>
          </w:p>
        </w:tc>
      </w:tr>
      <w:tr>
        <w:tblPrEx>
          <w:tblCellMar>
            <w:top w:w="0" w:type="dxa"/>
            <w:left w:w="108" w:type="dxa"/>
            <w:bottom w:w="0" w:type="dxa"/>
            <w:right w:w="108" w:type="dxa"/>
          </w:tblCellMar>
        </w:tblPrEx>
        <w:trPr>
          <w:trHeight w:val="1361" w:hRule="atLeast"/>
        </w:trPr>
        <w:tc>
          <w:tcPr>
            <w:tcW w:w="387" w:type="pc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1</w:t>
            </w:r>
          </w:p>
        </w:tc>
        <w:tc>
          <w:tcPr>
            <w:tcW w:w="741" w:type="pct"/>
            <w:tcBorders>
              <w:top w:val="single" w:color="auto" w:sz="4" w:space="0"/>
              <w:left w:val="nil"/>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 w:val="24"/>
                <w:szCs w:val="24"/>
              </w:rPr>
              <w:t>一体式氧化锆分析仪</w:t>
            </w:r>
          </w:p>
        </w:tc>
        <w:tc>
          <w:tcPr>
            <w:tcW w:w="1180" w:type="pct"/>
            <w:tcBorders>
              <w:top w:val="single" w:color="auto" w:sz="4" w:space="0"/>
              <w:left w:val="nil"/>
              <w:right w:val="single" w:color="auto" w:sz="4" w:space="0"/>
            </w:tcBorders>
            <w:shd w:val="clear" w:color="auto" w:fill="auto"/>
            <w:vAlign w:val="center"/>
          </w:tcPr>
          <w:p>
            <w:pPr>
              <w:jc w:val="center"/>
              <w:rPr>
                <w:rFonts w:asciiTheme="minorEastAsia" w:hAnsiTheme="minorEastAsia" w:cstheme="minorEastAsia"/>
                <w:szCs w:val="21"/>
              </w:rPr>
            </w:pPr>
            <w:r>
              <w:rPr>
                <w:rFonts w:asciiTheme="minorEastAsia" w:hAnsiTheme="minorEastAsia" w:cstheme="minorEastAsia"/>
                <w:szCs w:val="21"/>
              </w:rPr>
              <w:t>MKF13-500-A-Y-008B</w:t>
            </w:r>
          </w:p>
        </w:tc>
        <w:tc>
          <w:tcPr>
            <w:tcW w:w="393" w:type="pct"/>
            <w:tcBorders>
              <w:top w:val="single" w:color="auto" w:sz="4" w:space="0"/>
              <w:left w:val="single" w:color="auto" w:sz="4" w:space="0"/>
              <w:right w:val="single" w:color="auto" w:sz="4" w:space="0"/>
            </w:tcBorders>
            <w:shd w:val="clear" w:color="auto" w:fill="auto"/>
            <w:noWrap/>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378" w:type="pct"/>
            <w:tcBorders>
              <w:top w:val="single" w:color="auto" w:sz="4" w:space="0"/>
              <w:left w:val="nil"/>
              <w:right w:val="single" w:color="auto" w:sz="4" w:space="0"/>
            </w:tcBorders>
            <w:shd w:val="clear" w:color="auto" w:fill="auto"/>
            <w:noWrap/>
            <w:vAlign w:val="center"/>
          </w:tcPr>
          <w:p>
            <w:pPr>
              <w:jc w:val="center"/>
              <w:rPr>
                <w:rFonts w:asciiTheme="minorEastAsia" w:hAnsiTheme="minorEastAsia" w:cstheme="minorEastAsia"/>
                <w:szCs w:val="21"/>
              </w:rPr>
            </w:pPr>
            <w:r>
              <w:rPr>
                <w:rFonts w:asciiTheme="minorEastAsia" w:hAnsiTheme="minorEastAsia" w:cstheme="minorEastAsia"/>
                <w:szCs w:val="21"/>
              </w:rPr>
              <w:t>2</w:t>
            </w:r>
          </w:p>
        </w:tc>
        <w:tc>
          <w:tcPr>
            <w:tcW w:w="766" w:type="pct"/>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p>
        </w:tc>
        <w:tc>
          <w:tcPr>
            <w:tcW w:w="1156" w:type="pc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907" w:hRule="atLeast"/>
        </w:trPr>
        <w:tc>
          <w:tcPr>
            <w:tcW w:w="307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z w:val="30"/>
                <w:szCs w:val="30"/>
              </w:rPr>
            </w:pPr>
            <w:r>
              <w:rPr>
                <w:rFonts w:hint="eastAsia" w:asciiTheme="minorEastAsia" w:hAnsiTheme="minorEastAsia" w:cstheme="minorEastAsia"/>
                <w:sz w:val="24"/>
                <w:szCs w:val="24"/>
              </w:rPr>
              <w:t>合计（元）13%增值税专票</w:t>
            </w:r>
          </w:p>
        </w:tc>
        <w:tc>
          <w:tcPr>
            <w:tcW w:w="19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sz w:val="30"/>
                <w:szCs w:val="30"/>
              </w:rPr>
            </w:pPr>
          </w:p>
        </w:tc>
      </w:tr>
      <w:tr>
        <w:tblPrEx>
          <w:tblCellMar>
            <w:top w:w="0" w:type="dxa"/>
            <w:left w:w="108" w:type="dxa"/>
            <w:bottom w:w="0" w:type="dxa"/>
            <w:right w:w="108" w:type="dxa"/>
          </w:tblCellMar>
        </w:tblPrEx>
        <w:trPr>
          <w:trHeight w:val="60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Theme="minorEastAsia" w:hAnsiTheme="minorEastAsia" w:cstheme="minorEastAsia"/>
                <w:szCs w:val="21"/>
              </w:rPr>
            </w:pPr>
            <w:r>
              <w:rPr>
                <w:rFonts w:hint="eastAsia" w:hAnsi="宋体"/>
                <w:b/>
                <w:sz w:val="24"/>
                <w:szCs w:val="24"/>
              </w:rPr>
              <w:t>备注：</w:t>
            </w:r>
            <w:r>
              <w:rPr>
                <w:rFonts w:hint="eastAsia" w:hAnsi="宋体"/>
                <w:sz w:val="24"/>
                <w:szCs w:val="24"/>
              </w:rPr>
              <w:t>本次采购为整体采购，响应供应商必须对询价项目一览表中的所有货物进行完整报价响应。</w:t>
            </w:r>
            <w:r>
              <w:rPr>
                <w:rFonts w:hint="eastAsia" w:asciiTheme="minorEastAsia" w:hAnsiTheme="minorEastAsia" w:cstheme="minorEastAsia"/>
                <w:sz w:val="24"/>
                <w:szCs w:val="24"/>
              </w:rPr>
              <w:t>对属于整套设备运行和安装施工所必需的部件，如本报价表中未列出/或数量不足，报价方仍需在执行合同时予以补足。</w:t>
            </w:r>
          </w:p>
        </w:tc>
      </w:tr>
    </w:tbl>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rPr>
          <w:rFonts w:asciiTheme="minorEastAsia" w:hAnsiTheme="minorEastAsia" w:cstheme="minorEastAsia"/>
          <w:sz w:val="24"/>
          <w:szCs w:val="24"/>
        </w:rPr>
      </w:pPr>
    </w:p>
    <w:p>
      <w:pPr>
        <w:kinsoku w:val="0"/>
        <w:overflowPunct w:val="0"/>
        <w:snapToGrid w:val="0"/>
        <w:spacing w:line="520" w:lineRule="atLeast"/>
        <w:ind w:firstLine="3840" w:firstLineChars="1600"/>
        <w:rPr>
          <w:rFonts w:ascii="宋体" w:hAnsi="宋体" w:cs="宋体"/>
          <w:spacing w:val="-4"/>
          <w:sz w:val="24"/>
          <w:szCs w:val="24"/>
          <w:u w:val="single"/>
        </w:rPr>
      </w:pPr>
      <w:r>
        <w:rPr>
          <w:rFonts w:hint="eastAsia" w:hAnsi="宋体"/>
          <w:bCs/>
          <w:sz w:val="24"/>
        </w:rPr>
        <w:t xml:space="preserve"> </w:t>
      </w:r>
      <w:r>
        <w:rPr>
          <w:rFonts w:hint="eastAsia" w:ascii="宋体" w:hAnsi="宋体" w:cs="宋体"/>
          <w:spacing w:val="-4"/>
          <w:sz w:val="24"/>
          <w:szCs w:val="24"/>
        </w:rPr>
        <w:t xml:space="preserve"> </w:t>
      </w: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rPr>
          <w:rFonts w:cs="宋体"/>
          <w:bCs/>
          <w:sz w:val="28"/>
          <w:szCs w:val="28"/>
        </w:rPr>
      </w:pPr>
    </w:p>
    <w:p>
      <w:pPr>
        <w:rPr>
          <w:rFonts w:cs="宋体"/>
          <w:bCs/>
          <w:sz w:val="28"/>
          <w:szCs w:val="28"/>
        </w:rPr>
      </w:pPr>
    </w:p>
    <w:p>
      <w:pPr>
        <w:pStyle w:val="16"/>
        <w:keepNext w:val="0"/>
        <w:keepLines w:val="0"/>
        <w:kinsoku w:val="0"/>
        <w:overflowPunct w:val="0"/>
        <w:autoSpaceDE w:val="0"/>
        <w:autoSpaceDN w:val="0"/>
        <w:spacing w:before="0" w:after="0" w:line="400" w:lineRule="atLeast"/>
        <w:outlineLvl w:val="0"/>
        <w:rPr>
          <w:rFonts w:eastAsia="宋体" w:cs="宋体"/>
          <w:b w:val="0"/>
          <w:bCs/>
          <w:sz w:val="28"/>
          <w:szCs w:val="18"/>
        </w:rPr>
      </w:pPr>
      <w:bookmarkStart w:id="200" w:name="_Toc1372"/>
      <w:r>
        <w:rPr>
          <w:rFonts w:hint="eastAsia" w:eastAsia="宋体" w:cs="宋体"/>
          <w:b w:val="0"/>
          <w:bCs/>
          <w:sz w:val="28"/>
          <w:szCs w:val="18"/>
        </w:rPr>
        <w:t>附件3  法定代表人身份证明书</w:t>
      </w:r>
      <w:bookmarkEnd w:id="200"/>
    </w:p>
    <w:p>
      <w:pPr>
        <w:pStyle w:val="16"/>
        <w:keepNext w:val="0"/>
        <w:keepLines w:val="0"/>
        <w:kinsoku w:val="0"/>
        <w:overflowPunct w:val="0"/>
        <w:snapToGrid w:val="0"/>
        <w:spacing w:before="0" w:after="156" w:afterLines="50" w:line="520" w:lineRule="atLeast"/>
        <w:jc w:val="both"/>
        <w:rPr>
          <w:rFonts w:eastAsia="宋体" w:cs="宋体"/>
          <w:b w:val="0"/>
          <w:bCs/>
          <w:sz w:val="24"/>
          <w:szCs w:val="24"/>
          <w:u w:val="single"/>
        </w:rPr>
      </w:pPr>
      <w:r>
        <w:rPr>
          <w:rFonts w:hint="eastAsia" w:eastAsia="宋体" w:cs="宋体"/>
          <w:b w:val="0"/>
          <w:bCs/>
          <w:sz w:val="24"/>
          <w:szCs w:val="24"/>
        </w:rPr>
        <w:t>企业名称：</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sz w:val="24"/>
          <w:szCs w:val="24"/>
          <w:u w:val="single"/>
        </w:rPr>
      </w:pPr>
      <w:r>
        <w:rPr>
          <w:rFonts w:hint="eastAsia" w:eastAsia="宋体" w:cs="宋体"/>
          <w:b w:val="0"/>
          <w:bCs/>
          <w:sz w:val="24"/>
          <w:szCs w:val="24"/>
        </w:rPr>
        <w:t>企业性质：</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sz w:val="24"/>
          <w:szCs w:val="24"/>
          <w:u w:val="single"/>
        </w:rPr>
      </w:pPr>
      <w:r>
        <w:rPr>
          <w:rFonts w:hint="eastAsia" w:eastAsia="宋体" w:cs="宋体"/>
          <w:b w:val="0"/>
          <w:bCs/>
          <w:sz w:val="24"/>
          <w:szCs w:val="24"/>
        </w:rPr>
        <w:t>地   址：</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sz w:val="24"/>
          <w:szCs w:val="24"/>
          <w:u w:val="single"/>
        </w:rPr>
      </w:pPr>
      <w:r>
        <w:rPr>
          <w:rFonts w:hint="eastAsia" w:eastAsia="宋体" w:cs="宋体"/>
          <w:b w:val="0"/>
          <w:bCs/>
          <w:sz w:val="24"/>
          <w:szCs w:val="24"/>
        </w:rPr>
        <w:t>成立时间：</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sz w:val="24"/>
          <w:szCs w:val="24"/>
          <w:u w:val="single"/>
        </w:rPr>
      </w:pPr>
      <w:r>
        <w:rPr>
          <w:rFonts w:hint="eastAsia" w:eastAsia="宋体" w:cs="宋体"/>
          <w:b w:val="0"/>
          <w:bCs/>
          <w:sz w:val="24"/>
          <w:szCs w:val="24"/>
        </w:rPr>
        <w:t>经营期限：</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sz w:val="24"/>
          <w:szCs w:val="24"/>
          <w:u w:val="single"/>
        </w:rPr>
      </w:pPr>
      <w:r>
        <w:rPr>
          <w:rFonts w:hint="eastAsia" w:eastAsia="宋体" w:cs="宋体"/>
          <w:b w:val="0"/>
          <w:bCs/>
          <w:sz w:val="24"/>
          <w:szCs w:val="24"/>
        </w:rPr>
        <w:t>姓名：</w:t>
      </w:r>
      <w:r>
        <w:rPr>
          <w:rFonts w:hint="eastAsia" w:eastAsia="宋体" w:cs="宋体"/>
          <w:b w:val="0"/>
          <w:bCs/>
          <w:sz w:val="24"/>
          <w:szCs w:val="24"/>
          <w:u w:val="single"/>
        </w:rPr>
        <w:t xml:space="preserve">                 </w:t>
      </w:r>
      <w:r>
        <w:rPr>
          <w:rFonts w:hint="eastAsia" w:eastAsia="宋体" w:cs="宋体"/>
          <w:b w:val="0"/>
          <w:bCs/>
          <w:sz w:val="24"/>
          <w:szCs w:val="24"/>
        </w:rPr>
        <w:t xml:space="preserve"> 性别：</w:t>
      </w:r>
      <w:r>
        <w:rPr>
          <w:rFonts w:hint="eastAsia" w:eastAsia="宋体" w:cs="宋体"/>
          <w:b w:val="0"/>
          <w:bCs/>
          <w:sz w:val="24"/>
          <w:szCs w:val="24"/>
          <w:u w:val="single"/>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sz w:val="24"/>
          <w:szCs w:val="24"/>
        </w:rPr>
      </w:pPr>
      <w:r>
        <w:rPr>
          <w:rFonts w:hint="eastAsia" w:eastAsia="宋体" w:cs="宋体"/>
          <w:b w:val="0"/>
          <w:bCs/>
          <w:sz w:val="24"/>
          <w:szCs w:val="24"/>
        </w:rPr>
        <w:t>年龄：</w:t>
      </w:r>
      <w:r>
        <w:rPr>
          <w:rFonts w:hint="eastAsia" w:eastAsia="宋体" w:cs="宋体"/>
          <w:b w:val="0"/>
          <w:bCs/>
          <w:sz w:val="24"/>
          <w:szCs w:val="24"/>
          <w:u w:val="single"/>
        </w:rPr>
        <w:t xml:space="preserve">                 </w:t>
      </w:r>
      <w:r>
        <w:rPr>
          <w:rFonts w:hint="eastAsia" w:eastAsia="宋体" w:cs="宋体"/>
          <w:b w:val="0"/>
          <w:bCs/>
          <w:sz w:val="24"/>
          <w:szCs w:val="24"/>
        </w:rPr>
        <w:t xml:space="preserve"> 职务：</w:t>
      </w:r>
      <w:r>
        <w:rPr>
          <w:rFonts w:hint="eastAsia" w:eastAsia="宋体" w:cs="宋体"/>
          <w:b w:val="0"/>
          <w:bCs/>
          <w:sz w:val="24"/>
          <w:szCs w:val="24"/>
          <w:u w:val="single"/>
        </w:rPr>
        <w:t xml:space="preserve">                  </w:t>
      </w:r>
      <w:r>
        <w:rPr>
          <w:rFonts w:hint="eastAsia" w:eastAsia="宋体" w:cs="宋体"/>
          <w:b w:val="0"/>
          <w:bCs/>
          <w:sz w:val="24"/>
          <w:szCs w:val="24"/>
        </w:rPr>
        <w:t xml:space="preserve"> </w:t>
      </w:r>
    </w:p>
    <w:p>
      <w:pPr>
        <w:pStyle w:val="16"/>
        <w:keepNext w:val="0"/>
        <w:keepLines w:val="0"/>
        <w:kinsoku w:val="0"/>
        <w:overflowPunct w:val="0"/>
        <w:snapToGrid w:val="0"/>
        <w:spacing w:before="0" w:after="156" w:afterLines="50" w:line="520" w:lineRule="atLeast"/>
        <w:jc w:val="both"/>
        <w:rPr>
          <w:rFonts w:eastAsia="宋体" w:cs="宋体"/>
          <w:b w:val="0"/>
          <w:bCs/>
          <w:sz w:val="24"/>
          <w:szCs w:val="24"/>
        </w:rPr>
      </w:pPr>
      <w:r>
        <w:rPr>
          <w:rFonts w:hint="eastAsia" w:eastAsia="宋体" w:cs="宋体"/>
          <w:b w:val="0"/>
          <w:bCs/>
          <w:sz w:val="24"/>
          <w:szCs w:val="24"/>
        </w:rPr>
        <w:t>系</w:t>
      </w:r>
      <w:r>
        <w:rPr>
          <w:rFonts w:hint="eastAsia" w:eastAsia="宋体" w:cs="宋体"/>
          <w:b w:val="0"/>
          <w:bCs/>
          <w:sz w:val="24"/>
          <w:szCs w:val="24"/>
          <w:u w:val="single"/>
        </w:rPr>
        <w:t xml:space="preserve">                              </w:t>
      </w:r>
      <w:r>
        <w:rPr>
          <w:rFonts w:hint="eastAsia" w:eastAsia="宋体" w:cs="宋体"/>
          <w:b w:val="0"/>
          <w:bCs/>
          <w:sz w:val="24"/>
          <w:szCs w:val="24"/>
        </w:rPr>
        <w:t>（报价单位全称）的法定代表人。</w:t>
      </w:r>
    </w:p>
    <w:p>
      <w:pPr>
        <w:pStyle w:val="16"/>
        <w:keepNext w:val="0"/>
        <w:keepLines w:val="0"/>
        <w:kinsoku w:val="0"/>
        <w:overflowPunct w:val="0"/>
        <w:snapToGrid w:val="0"/>
        <w:spacing w:before="0" w:after="156"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16"/>
        <w:keepNext w:val="0"/>
        <w:keepLines w:val="0"/>
        <w:kinsoku w:val="0"/>
        <w:overflowPunct w:val="0"/>
        <w:snapToGrid w:val="0"/>
        <w:spacing w:before="0" w:after="156" w:afterLines="50" w:line="520" w:lineRule="atLeast"/>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pStyle w:val="16"/>
        <w:keepNext w:val="0"/>
        <w:keepLines w:val="0"/>
        <w:autoSpaceDE w:val="0"/>
        <w:autoSpaceDN w:val="0"/>
        <w:snapToGrid w:val="0"/>
        <w:spacing w:before="0" w:after="0" w:line="240" w:lineRule="auto"/>
        <w:outlineLvl w:val="9"/>
        <w:rPr>
          <w:rFonts w:eastAsia="宋体" w:cs="宋体"/>
          <w:b w:val="0"/>
          <w:bCs/>
          <w:sz w:val="28"/>
          <w:szCs w:val="28"/>
        </w:rPr>
      </w:pPr>
    </w:p>
    <w:p>
      <w:pPr>
        <w:kinsoku w:val="0"/>
        <w:overflowPunct w:val="0"/>
        <w:snapToGrid w:val="0"/>
        <w:spacing w:line="520" w:lineRule="exact"/>
        <w:ind w:firstLine="3600" w:firstLineChars="1500"/>
        <w:jc w:val="left"/>
        <w:rPr>
          <w:rFonts w:ascii="宋体" w:hAnsi="宋体"/>
          <w:bCs/>
          <w:sz w:val="24"/>
          <w:szCs w:val="24"/>
        </w:rPr>
      </w:pPr>
      <w:r>
        <w:rPr>
          <w:rFonts w:hint="eastAsia" w:ascii="宋体" w:hAnsi="宋体"/>
          <w:bCs/>
          <w:sz w:val="24"/>
          <w:szCs w:val="24"/>
        </w:rPr>
        <w:t>报价单位（盖公章）：</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6"/>
        <w:keepNext w:val="0"/>
        <w:keepLines w:val="0"/>
        <w:kinsoku w:val="0"/>
        <w:overflowPunct w:val="0"/>
        <w:snapToGrid w:val="0"/>
        <w:spacing w:before="0" w:after="0" w:line="240" w:lineRule="auto"/>
        <w:jc w:val="both"/>
        <w:outlineLvl w:val="9"/>
        <w:rPr>
          <w:rFonts w:eastAsia="宋体" w:cs="宋体"/>
          <w:b w:val="0"/>
          <w:bCs/>
          <w:sz w:val="24"/>
          <w:szCs w:val="24"/>
        </w:rPr>
      </w:pPr>
    </w:p>
    <w:p>
      <w:pPr>
        <w:kinsoku w:val="0"/>
        <w:overflowPunct w:val="0"/>
        <w:snapToGrid w:val="0"/>
        <w:spacing w:line="520" w:lineRule="exact"/>
        <w:ind w:firstLine="5520" w:firstLineChars="2300"/>
        <w:jc w:val="lef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p>
    <w:p>
      <w:pPr>
        <w:pStyle w:val="16"/>
        <w:keepNext w:val="0"/>
        <w:keepLines w:val="0"/>
        <w:kinsoku w:val="0"/>
        <w:overflowPunct w:val="0"/>
        <w:snapToGrid w:val="0"/>
        <w:spacing w:before="0" w:after="0" w:line="24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p>
      <w:pPr>
        <w:pStyle w:val="16"/>
        <w:keepNext w:val="0"/>
        <w:keepLines w:val="0"/>
        <w:kinsoku w:val="0"/>
        <w:overflowPunct w:val="0"/>
        <w:snapToGrid w:val="0"/>
        <w:spacing w:before="0" w:after="0" w:line="240" w:lineRule="auto"/>
        <w:outlineLvl w:val="9"/>
        <w:rPr>
          <w:rFonts w:eastAsia="宋体" w:cs="宋体"/>
          <w:b w:val="0"/>
          <w:bCs/>
          <w:sz w:val="28"/>
          <w:szCs w:val="28"/>
        </w:rPr>
      </w:pPr>
    </w:p>
    <w:p>
      <w:pPr>
        <w:pStyle w:val="16"/>
        <w:keepNext w:val="0"/>
        <w:keepLines w:val="0"/>
        <w:kinsoku w:val="0"/>
        <w:overflowPunct w:val="0"/>
        <w:snapToGrid w:val="0"/>
        <w:spacing w:before="0" w:after="0" w:line="240" w:lineRule="auto"/>
        <w:outlineLvl w:val="0"/>
        <w:rPr>
          <w:rFonts w:eastAsia="宋体" w:cs="宋体"/>
          <w:b w:val="0"/>
          <w:bCs/>
          <w:sz w:val="28"/>
          <w:szCs w:val="28"/>
        </w:rPr>
      </w:pPr>
      <w:bookmarkStart w:id="201" w:name="_Toc19092"/>
      <w:r>
        <w:rPr>
          <w:rFonts w:hint="eastAsia" w:eastAsia="宋体" w:cs="宋体"/>
          <w:b w:val="0"/>
          <w:bCs/>
          <w:sz w:val="28"/>
          <w:szCs w:val="28"/>
        </w:rPr>
        <w:t>附件4 法人授权委托书</w:t>
      </w:r>
      <w:bookmarkEnd w:id="201"/>
    </w:p>
    <w:p>
      <w:pPr>
        <w:pStyle w:val="16"/>
        <w:keepNext w:val="0"/>
        <w:keepLines w:val="0"/>
        <w:kinsoku w:val="0"/>
        <w:overflowPunct w:val="0"/>
        <w:snapToGrid w:val="0"/>
        <w:spacing w:before="0" w:after="0" w:line="240" w:lineRule="auto"/>
        <w:outlineLvl w:val="0"/>
        <w:rPr>
          <w:rFonts w:eastAsia="宋体" w:cs="宋体"/>
          <w:b w:val="0"/>
          <w:bCs/>
          <w:sz w:val="28"/>
          <w:szCs w:val="28"/>
        </w:rPr>
      </w:pPr>
    </w:p>
    <w:p>
      <w:pPr>
        <w:kinsoku w:val="0"/>
        <w:overflowPunct w:val="0"/>
        <w:snapToGrid w:val="0"/>
        <w:spacing w:line="520" w:lineRule="exact"/>
        <w:ind w:firstLine="630"/>
        <w:jc w:val="left"/>
        <w:rPr>
          <w:rFonts w:ascii="宋体" w:hAnsi="宋体" w:cs="宋体"/>
          <w:sz w:val="24"/>
          <w:szCs w:val="32"/>
        </w:rPr>
      </w:pPr>
      <w:r>
        <w:rPr>
          <w:rFonts w:hint="eastAsia" w:ascii="宋体" w:hAnsi="宋体" w:cs="宋体"/>
          <w:sz w:val="24"/>
          <w:szCs w:val="32"/>
        </w:rPr>
        <w:t>授权声明：</w:t>
      </w:r>
      <w:r>
        <w:rPr>
          <w:rFonts w:hint="eastAsia" w:ascii="宋体" w:hAnsi="宋体" w:cs="宋体"/>
          <w:sz w:val="24"/>
          <w:szCs w:val="32"/>
          <w:u w:val="single"/>
        </w:rPr>
        <w:t xml:space="preserve"> </w:t>
      </w:r>
      <w:r>
        <w:rPr>
          <w:rFonts w:hint="eastAsia"/>
          <w:sz w:val="24"/>
          <w:szCs w:val="24"/>
          <w:u w:val="single"/>
        </w:rPr>
        <w:t xml:space="preserve">（报价单位名称） </w:t>
      </w:r>
      <w:r>
        <w:rPr>
          <w:rFonts w:hint="eastAsia"/>
          <w:sz w:val="24"/>
          <w:szCs w:val="24"/>
        </w:rPr>
        <w:t>授权</w:t>
      </w:r>
      <w:r>
        <w:rPr>
          <w:rFonts w:hint="eastAsia"/>
          <w:sz w:val="24"/>
          <w:szCs w:val="24"/>
          <w:u w:val="single"/>
        </w:rPr>
        <w:t xml:space="preserve"> （授权代理人） </w:t>
      </w:r>
      <w:r>
        <w:rPr>
          <w:rFonts w:hint="eastAsia"/>
          <w:sz w:val="24"/>
          <w:szCs w:val="24"/>
        </w:rPr>
        <w:t>为我公司的代理人，以本公司的名义负责</w:t>
      </w:r>
      <w:r>
        <w:rPr>
          <w:rFonts w:hint="eastAsia"/>
          <w:bCs/>
          <w:sz w:val="24"/>
          <w:szCs w:val="32"/>
        </w:rPr>
        <w:t>参与</w:t>
      </w:r>
      <w:r>
        <w:rPr>
          <w:rFonts w:hint="eastAsia" w:ascii="宋体" w:hAnsi="宋体" w:cs="宋体"/>
          <w:sz w:val="24"/>
          <w:szCs w:val="24"/>
          <w:u w:val="single"/>
        </w:rPr>
        <w:t xml:space="preserve"> 一体式氧化锆分析仪备件采购 </w:t>
      </w:r>
      <w:r>
        <w:rPr>
          <w:rFonts w:hint="eastAsia"/>
          <w:bCs/>
          <w:sz w:val="24"/>
          <w:szCs w:val="32"/>
        </w:rPr>
        <w:t>的报价，该代理人在报价及后续的合同执行过程中，所签署的一切文件及所处理的与我公司有关的一切事务，我公司均予以承认。</w:t>
      </w:r>
      <w:r>
        <w:rPr>
          <w:rFonts w:hint="eastAsia" w:ascii="宋体" w:hAnsi="宋体"/>
          <w:bCs/>
          <w:sz w:val="24"/>
        </w:rPr>
        <w:t>本授权书于</w:t>
      </w:r>
      <w:r>
        <w:rPr>
          <w:rFonts w:ascii="宋体" w:hAnsi="宋体"/>
          <w:bCs/>
          <w:sz w:val="24"/>
          <w:u w:val="single"/>
        </w:rPr>
        <w:t xml:space="preserve">      </w:t>
      </w:r>
      <w:r>
        <w:rPr>
          <w:rFonts w:hint="eastAsia" w:ascii="宋体" w:hAnsi="宋体"/>
          <w:bCs/>
          <w:sz w:val="24"/>
        </w:rPr>
        <w:t>年</w:t>
      </w:r>
      <w:r>
        <w:rPr>
          <w:rFonts w:ascii="宋体" w:hAnsi="宋体"/>
          <w:bCs/>
          <w:sz w:val="24"/>
          <w:u w:val="single"/>
        </w:rPr>
        <w:t xml:space="preserve">     </w:t>
      </w:r>
      <w:r>
        <w:rPr>
          <w:rFonts w:hint="eastAsia" w:ascii="宋体" w:hAnsi="宋体"/>
          <w:bCs/>
          <w:sz w:val="24"/>
        </w:rPr>
        <w:t>月</w:t>
      </w:r>
      <w:r>
        <w:rPr>
          <w:rFonts w:ascii="宋体" w:hAnsi="宋体"/>
          <w:bCs/>
          <w:sz w:val="24"/>
          <w:u w:val="single"/>
        </w:rPr>
        <w:t xml:space="preserve">      </w:t>
      </w:r>
      <w:r>
        <w:rPr>
          <w:rFonts w:hint="eastAsia" w:ascii="宋体" w:hAnsi="宋体"/>
          <w:bCs/>
          <w:sz w:val="24"/>
        </w:rPr>
        <w:t>日签字之日起生效，特此声明。</w:t>
      </w:r>
    </w:p>
    <w:p>
      <w:pPr>
        <w:kinsoku w:val="0"/>
        <w:overflowPunct w:val="0"/>
        <w:snapToGrid w:val="0"/>
        <w:spacing w:line="520" w:lineRule="exact"/>
        <w:ind w:firstLine="480" w:firstLineChars="200"/>
        <w:jc w:val="left"/>
        <w:rPr>
          <w:rFonts w:ascii="宋体" w:hAnsi="宋体" w:cs="宋体"/>
          <w:sz w:val="24"/>
          <w:szCs w:val="32"/>
        </w:rPr>
      </w:pPr>
      <w:r>
        <w:rPr>
          <w:rFonts w:hint="eastAsia" w:ascii="宋体" w:hAnsi="宋体" w:cs="宋体"/>
          <w:sz w:val="24"/>
          <w:szCs w:val="32"/>
        </w:rPr>
        <w:t>代理人无转委托权，特此委托。</w:t>
      </w:r>
    </w:p>
    <w:p>
      <w:pPr>
        <w:kinsoku w:val="0"/>
        <w:overflowPunct w:val="0"/>
        <w:snapToGrid w:val="0"/>
        <w:spacing w:line="520" w:lineRule="exact"/>
        <w:ind w:firstLine="480" w:firstLineChars="200"/>
        <w:jc w:val="left"/>
        <w:rPr>
          <w:rFonts w:ascii="宋体" w:hAnsi="宋体" w:cs="宋体"/>
          <w:sz w:val="24"/>
          <w:szCs w:val="32"/>
        </w:rPr>
      </w:pPr>
    </w:p>
    <w:p>
      <w:pPr>
        <w:pStyle w:val="16"/>
        <w:keepNext w:val="0"/>
        <w:keepLines w:val="0"/>
        <w:kinsoku w:val="0"/>
        <w:overflowPunct w:val="0"/>
        <w:snapToGrid w:val="0"/>
        <w:spacing w:before="0" w:after="156" w:afterLines="50" w:line="520" w:lineRule="atLeast"/>
        <w:jc w:val="both"/>
        <w:rPr>
          <w:rFonts w:eastAsia="宋体" w:cs="宋体"/>
          <w:b w:val="0"/>
          <w:bCs/>
          <w:sz w:val="24"/>
          <w:szCs w:val="24"/>
        </w:rPr>
      </w:pPr>
      <w:r>
        <w:rPr>
          <w:rFonts w:hint="eastAsia" w:eastAsia="宋体" w:cs="宋体"/>
          <w:b w:val="0"/>
          <w:bCs/>
          <w:sz w:val="24"/>
          <w:szCs w:val="24"/>
        </w:rPr>
        <w:t>附：授权代理人身份证正反面复印件</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snapToGrid w:val="0"/>
        <w:spacing w:line="520" w:lineRule="exact"/>
        <w:ind w:firstLine="3600" w:firstLineChars="1500"/>
        <w:jc w:val="left"/>
        <w:rPr>
          <w:rFonts w:ascii="宋体" w:hAnsi="宋体"/>
          <w:bCs/>
          <w:sz w:val="24"/>
        </w:rPr>
      </w:pPr>
      <w:r>
        <w:rPr>
          <w:rFonts w:hint="eastAsia" w:ascii="宋体" w:hAnsi="宋体"/>
          <w:bCs/>
          <w:sz w:val="24"/>
        </w:rPr>
        <w:t>报价单位（公章）：</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p>
    <w:p>
      <w:pPr>
        <w:kinsoku w:val="0"/>
        <w:overflowPunct w:val="0"/>
        <w:snapToGrid w:val="0"/>
        <w:spacing w:line="520" w:lineRule="exact"/>
        <w:ind w:firstLine="3600" w:firstLineChars="1500"/>
        <w:jc w:val="left"/>
        <w:rPr>
          <w:rFonts w:ascii="宋体" w:hAnsi="宋体"/>
          <w:bCs/>
          <w:sz w:val="24"/>
          <w:u w:val="single"/>
        </w:rPr>
      </w:pPr>
      <w:r>
        <w:rPr>
          <w:rFonts w:hint="eastAsia" w:ascii="宋体" w:hAnsi="宋体"/>
          <w:bCs/>
          <w:sz w:val="24"/>
        </w:rPr>
        <w:t>授权代理人签字：</w:t>
      </w:r>
      <w:r>
        <w:rPr>
          <w:rFonts w:ascii="宋体" w:hAnsi="宋体"/>
          <w:bCs/>
          <w:sz w:val="24"/>
          <w:u w:val="single"/>
        </w:rPr>
        <w:t xml:space="preserve">                 </w:t>
      </w:r>
      <w:r>
        <w:rPr>
          <w:rFonts w:hint="eastAsia" w:ascii="宋体" w:hAnsi="宋体"/>
          <w:bCs/>
          <w:sz w:val="24"/>
          <w:u w:val="single"/>
        </w:rPr>
        <w:t xml:space="preserve">            </w:t>
      </w:r>
    </w:p>
    <w:p>
      <w:pPr>
        <w:kinsoku w:val="0"/>
        <w:overflowPunct w:val="0"/>
        <w:spacing w:line="400" w:lineRule="atLeast"/>
        <w:rPr>
          <w:rFonts w:ascii="宋体" w:hAnsi="宋体" w:cs="宋体"/>
          <w:spacing w:val="-4"/>
          <w:sz w:val="24"/>
          <w:szCs w:val="24"/>
        </w:rPr>
      </w:pPr>
    </w:p>
    <w:p>
      <w:pPr>
        <w:kinsoku w:val="0"/>
        <w:overflowPunct w:val="0"/>
        <w:spacing w:line="400" w:lineRule="atLeast"/>
        <w:rPr>
          <w:rFonts w:ascii="宋体" w:hAnsi="宋体" w:cs="宋体"/>
          <w:spacing w:val="-4"/>
          <w:sz w:val="24"/>
          <w:szCs w:val="24"/>
        </w:rPr>
      </w:pPr>
    </w:p>
    <w:p>
      <w:pPr>
        <w:kinsoku w:val="0"/>
        <w:overflowPunct w:val="0"/>
        <w:spacing w:line="400" w:lineRule="atLeast"/>
        <w:rPr>
          <w:rFonts w:ascii="宋体" w:hAnsi="宋体" w:cs="宋体"/>
          <w:spacing w:val="-4"/>
          <w:sz w:val="24"/>
          <w:szCs w:val="24"/>
        </w:rPr>
      </w:pPr>
    </w:p>
    <w:p>
      <w:pPr>
        <w:kinsoku w:val="0"/>
        <w:overflowPunct w:val="0"/>
        <w:spacing w:line="400" w:lineRule="atLeast"/>
        <w:rPr>
          <w:rFonts w:ascii="宋体" w:hAnsi="宋体" w:cs="宋体"/>
          <w:spacing w:val="-4"/>
          <w:sz w:val="24"/>
          <w:szCs w:val="24"/>
        </w:rPr>
      </w:pPr>
    </w:p>
    <w:p>
      <w:pPr>
        <w:kinsoku w:val="0"/>
        <w:overflowPunct w:val="0"/>
        <w:spacing w:line="400" w:lineRule="atLeast"/>
        <w:rPr>
          <w:rFonts w:ascii="宋体" w:hAnsi="宋体" w:cs="宋体"/>
          <w:spacing w:val="-4"/>
          <w:sz w:val="24"/>
          <w:szCs w:val="24"/>
        </w:rPr>
      </w:pPr>
    </w:p>
    <w:p>
      <w:pPr>
        <w:pStyle w:val="16"/>
        <w:keepNext w:val="0"/>
        <w:keepLines w:val="0"/>
        <w:kinsoku w:val="0"/>
        <w:overflowPunct w:val="0"/>
        <w:snapToGrid w:val="0"/>
        <w:spacing w:before="0" w:after="0" w:line="440" w:lineRule="exact"/>
        <w:jc w:val="both"/>
        <w:rPr>
          <w:rFonts w:eastAsia="宋体" w:cs="宋体"/>
          <w:b w:val="0"/>
          <w:bCs/>
          <w:sz w:val="24"/>
          <w:szCs w:val="24"/>
        </w:rPr>
      </w:pPr>
      <w:r>
        <w:rPr>
          <w:rFonts w:hint="eastAsia" w:eastAsia="宋体" w:cs="宋体"/>
          <w:b w:val="0"/>
          <w:bCs/>
          <w:sz w:val="24"/>
          <w:szCs w:val="24"/>
        </w:rPr>
        <w:t>备注：1、报价方为企业法定代表人，则本附件不需要提供。</w:t>
      </w:r>
    </w:p>
    <w:p>
      <w:pPr>
        <w:pStyle w:val="16"/>
        <w:keepNext w:val="0"/>
        <w:keepLines w:val="0"/>
        <w:numPr>
          <w:ilvl w:val="0"/>
          <w:numId w:val="43"/>
        </w:numPr>
        <w:kinsoku w:val="0"/>
        <w:overflowPunct w:val="0"/>
        <w:snapToGrid w:val="0"/>
        <w:spacing w:before="0" w:after="0" w:line="440" w:lineRule="exact"/>
        <w:jc w:val="both"/>
        <w:rPr>
          <w:rFonts w:eastAsia="宋体" w:cs="宋体"/>
          <w:b w:val="0"/>
          <w:bCs/>
          <w:sz w:val="24"/>
          <w:szCs w:val="24"/>
        </w:rPr>
      </w:pPr>
      <w:r>
        <w:rPr>
          <w:rFonts w:hint="eastAsia" w:eastAsia="宋体" w:cs="宋体"/>
          <w:b w:val="0"/>
          <w:bCs/>
          <w:sz w:val="24"/>
          <w:szCs w:val="24"/>
        </w:rPr>
        <w:t>授权代理人身份证正反面复印件可单独一页，但需加盖企业公章。</w:t>
      </w:r>
    </w:p>
    <w:p>
      <w:pPr>
        <w:adjustRightInd w:val="0"/>
        <w:snapToGrid w:val="0"/>
        <w:spacing w:line="400" w:lineRule="atLeast"/>
        <w:jc w:val="center"/>
        <w:rPr>
          <w:rFonts w:asciiTheme="minorEastAsia" w:hAnsiTheme="minorEastAsia" w:cstheme="minorEastAsia"/>
          <w:b/>
          <w:bCs/>
          <w:sz w:val="24"/>
          <w:szCs w:val="24"/>
        </w:rPr>
      </w:pPr>
    </w:p>
    <w:p>
      <w:pPr>
        <w:adjustRightInd w:val="0"/>
        <w:snapToGrid w:val="0"/>
        <w:spacing w:line="400" w:lineRule="atLeast"/>
        <w:jc w:val="center"/>
        <w:rPr>
          <w:rFonts w:asciiTheme="minorEastAsia" w:hAnsiTheme="minorEastAsia" w:cstheme="minorEastAsia"/>
          <w:b/>
          <w:bCs/>
          <w:sz w:val="24"/>
          <w:szCs w:val="24"/>
        </w:rPr>
      </w:pPr>
    </w:p>
    <w:p>
      <w:pPr>
        <w:pStyle w:val="5"/>
      </w:pPr>
    </w:p>
    <w:p>
      <w:pPr>
        <w:pStyle w:val="16"/>
        <w:keepNext w:val="0"/>
        <w:keepLines w:val="0"/>
        <w:spacing w:before="0" w:after="0" w:line="440" w:lineRule="exact"/>
        <w:outlineLvl w:val="0"/>
        <w:rPr>
          <w:rFonts w:eastAsia="宋体" w:cs="宋体"/>
          <w:b w:val="0"/>
          <w:bCs/>
          <w:sz w:val="28"/>
          <w:szCs w:val="28"/>
        </w:rPr>
      </w:pPr>
      <w:bookmarkStart w:id="202" w:name="_Toc27584"/>
      <w:r>
        <w:rPr>
          <w:rFonts w:hint="eastAsia" w:eastAsia="宋体" w:cs="宋体"/>
          <w:b w:val="0"/>
          <w:bCs/>
          <w:sz w:val="28"/>
          <w:szCs w:val="28"/>
        </w:rPr>
        <w:t>附件5 关于资格的声明函</w:t>
      </w:r>
      <w:bookmarkEnd w:id="202"/>
    </w:p>
    <w:p>
      <w:pPr>
        <w:pStyle w:val="16"/>
        <w:keepNext w:val="0"/>
        <w:keepLines w:val="0"/>
        <w:spacing w:before="0" w:after="0" w:line="440" w:lineRule="exact"/>
        <w:outlineLvl w:val="0"/>
        <w:rPr>
          <w:rFonts w:eastAsia="宋体" w:cs="宋体"/>
          <w:b w:val="0"/>
          <w:bCs/>
          <w:sz w:val="28"/>
          <w:szCs w:val="28"/>
        </w:rPr>
      </w:pPr>
    </w:p>
    <w:p>
      <w:pPr>
        <w:kinsoku w:val="0"/>
        <w:overflowPunct w:val="0"/>
        <w:spacing w:line="440" w:lineRule="exact"/>
        <w:jc w:val="left"/>
        <w:rPr>
          <w:rFonts w:ascii="宋体" w:hAnsi="宋体" w:cs="宋体"/>
          <w:spacing w:val="-4"/>
          <w:sz w:val="24"/>
          <w:szCs w:val="24"/>
        </w:rPr>
      </w:pPr>
      <w:r>
        <w:rPr>
          <w:rFonts w:hint="eastAsia" w:ascii="宋体" w:hAnsi="宋体" w:cs="宋体"/>
          <w:spacing w:val="-4"/>
          <w:sz w:val="24"/>
          <w:szCs w:val="24"/>
        </w:rPr>
        <w:t>致：厦门海发环保能源股份有限公司</w:t>
      </w:r>
    </w:p>
    <w:p>
      <w:pPr>
        <w:kinsoku w:val="0"/>
        <w:overflowPunct w:val="0"/>
        <w:spacing w:line="440" w:lineRule="exact"/>
        <w:ind w:firstLine="720" w:firstLineChars="300"/>
        <w:rPr>
          <w:sz w:val="24"/>
          <w:szCs w:val="24"/>
        </w:rPr>
      </w:pPr>
      <w:r>
        <w:rPr>
          <w:rFonts w:hint="eastAsia"/>
          <w:sz w:val="24"/>
          <w:szCs w:val="24"/>
        </w:rPr>
        <w:t>关于贵司</w:t>
      </w:r>
      <w:r>
        <w:rPr>
          <w:rFonts w:hint="eastAsia" w:ascii="宋体" w:hAnsi="宋体" w:cs="宋体"/>
          <w:sz w:val="24"/>
          <w:szCs w:val="24"/>
          <w:u w:val="single"/>
        </w:rPr>
        <w:t xml:space="preserve"> 一体式氧化锆分析仪备件采购 </w:t>
      </w:r>
      <w:r>
        <w:rPr>
          <w:rFonts w:hint="eastAsia"/>
          <w:sz w:val="24"/>
          <w:szCs w:val="24"/>
        </w:rPr>
        <w:t>项目的询价邀请，本签字人愿意参加报价，提供采购文件中规定的供货服务，并证明提交的下列文件和说明是准确的和真实的。</w:t>
      </w:r>
    </w:p>
    <w:p>
      <w:pPr>
        <w:pStyle w:val="10"/>
        <w:numPr>
          <w:ilvl w:val="0"/>
          <w:numId w:val="44"/>
        </w:numPr>
        <w:shd w:val="clear" w:color="auto" w:fill="FFFFFF"/>
        <w:kinsoku w:val="0"/>
        <w:overflowPunct w:val="0"/>
        <w:snapToGrid w:val="0"/>
        <w:spacing w:before="0" w:beforeAutospacing="0" w:after="0" w:afterAutospacing="0" w:line="440" w:lineRule="exact"/>
        <w:ind w:firstLine="720" w:firstLineChars="300"/>
        <w:rPr>
          <w:rFonts w:ascii="宋体" w:hAnsi="宋体" w:cs="宋体"/>
          <w:szCs w:val="24"/>
        </w:rPr>
      </w:pPr>
      <w:r>
        <w:rPr>
          <w:rFonts w:hint="eastAsia" w:ascii="宋体" w:hAnsi="宋体" w:cs="宋体"/>
          <w:szCs w:val="24"/>
          <w:shd w:val="clear" w:color="auto" w:fill="FFFFFF"/>
        </w:rPr>
        <w:t>响应采购、参加报价的系中华人民共和国境内的企业法人，且具有独立订立合同的权力。</w:t>
      </w:r>
    </w:p>
    <w:p>
      <w:pPr>
        <w:pStyle w:val="10"/>
        <w:numPr>
          <w:ilvl w:val="0"/>
          <w:numId w:val="44"/>
        </w:numPr>
        <w:shd w:val="clear" w:color="auto" w:fill="FFFFFF"/>
        <w:kinsoku w:val="0"/>
        <w:overflowPunct w:val="0"/>
        <w:snapToGrid w:val="0"/>
        <w:spacing w:before="0" w:beforeAutospacing="0" w:after="0" w:afterAutospacing="0" w:line="440" w:lineRule="exact"/>
        <w:ind w:firstLine="720" w:firstLineChars="300"/>
        <w:rPr>
          <w:rFonts w:ascii="宋体" w:hAnsi="宋体"/>
          <w:szCs w:val="24"/>
        </w:rPr>
      </w:pPr>
      <w:r>
        <w:rPr>
          <w:rFonts w:hint="eastAsia" w:ascii="宋体" w:hAnsi="宋体"/>
          <w:szCs w:val="24"/>
        </w:rPr>
        <w:t>财务要求：具有良好的银行资信和商业信誉，没有处于被责令停业或破产状态，且资产未被重组、接管和冻结。</w:t>
      </w:r>
    </w:p>
    <w:p>
      <w:pPr>
        <w:pStyle w:val="10"/>
        <w:numPr>
          <w:ilvl w:val="0"/>
          <w:numId w:val="44"/>
        </w:numPr>
        <w:shd w:val="clear" w:color="auto" w:fill="FFFFFF"/>
        <w:kinsoku w:val="0"/>
        <w:overflowPunct w:val="0"/>
        <w:snapToGrid w:val="0"/>
        <w:spacing w:before="0" w:beforeAutospacing="0" w:after="0" w:afterAutospacing="0" w:line="440" w:lineRule="exact"/>
        <w:ind w:firstLine="720" w:firstLineChars="300"/>
        <w:rPr>
          <w:rFonts w:ascii="宋体" w:hAnsi="宋体"/>
          <w:szCs w:val="24"/>
        </w:rPr>
      </w:pPr>
      <w:r>
        <w:rPr>
          <w:rFonts w:hint="eastAsia" w:ascii="宋体" w:hAnsi="宋体"/>
          <w:szCs w:val="24"/>
        </w:rPr>
        <w:t>信誉要求：报价方没有被国家、福建省省级有关部门及厦门市有关部门暂停招报价或市场准入资格且在公示处罚期内。</w:t>
      </w:r>
    </w:p>
    <w:p>
      <w:pPr>
        <w:kinsoku w:val="0"/>
        <w:overflowPunct w:val="0"/>
        <w:spacing w:line="440" w:lineRule="exact"/>
        <w:rPr>
          <w:rFonts w:hAnsi="宋体"/>
          <w:b/>
          <w:sz w:val="24"/>
          <w:szCs w:val="24"/>
        </w:rPr>
      </w:pPr>
    </w:p>
    <w:p>
      <w:pPr>
        <w:kinsoku w:val="0"/>
        <w:overflowPunct w:val="0"/>
        <w:spacing w:line="440" w:lineRule="exact"/>
        <w:rPr>
          <w:rFonts w:ascii="宋体" w:hAnsi="宋体" w:cs="宋体"/>
          <w:sz w:val="24"/>
          <w:szCs w:val="24"/>
        </w:rPr>
      </w:pPr>
      <w:r>
        <w:rPr>
          <w:rFonts w:hint="eastAsia" w:ascii="宋体" w:hAnsi="宋体" w:cs="宋体"/>
          <w:b/>
          <w:sz w:val="24"/>
          <w:szCs w:val="24"/>
        </w:rPr>
        <w:t>注：第</w:t>
      </w:r>
      <w:r>
        <w:rPr>
          <w:rFonts w:hint="eastAsia" w:ascii="宋体" w:hAnsi="宋体" w:cs="宋体"/>
          <w:sz w:val="24"/>
          <w:szCs w:val="24"/>
        </w:rPr>
        <w:t>2、3</w:t>
      </w:r>
      <w:r>
        <w:rPr>
          <w:rFonts w:hint="eastAsia" w:ascii="宋体" w:hAnsi="宋体" w:cs="宋体"/>
          <w:b/>
          <w:sz w:val="24"/>
          <w:szCs w:val="24"/>
        </w:rPr>
        <w:t>项无需提供证明文件，但若采购方发现报价方违反该条款，采购方有权拒绝其报价及后续的相应事宜。对采购方造成的相应损失，则由该报价单位负责。</w:t>
      </w:r>
    </w:p>
    <w:p>
      <w:pPr>
        <w:kinsoku w:val="0"/>
        <w:overflowPunct w:val="0"/>
        <w:spacing w:line="440" w:lineRule="exact"/>
        <w:ind w:firstLine="4800" w:firstLineChars="2000"/>
        <w:rPr>
          <w:sz w:val="24"/>
          <w:szCs w:val="24"/>
        </w:rPr>
      </w:pPr>
    </w:p>
    <w:p>
      <w:pPr>
        <w:kinsoku w:val="0"/>
        <w:overflowPunct w:val="0"/>
        <w:spacing w:line="440" w:lineRule="exact"/>
        <w:ind w:firstLine="4800" w:firstLineChars="2000"/>
        <w:rPr>
          <w:sz w:val="24"/>
          <w:szCs w:val="24"/>
        </w:rPr>
      </w:pPr>
    </w:p>
    <w:p>
      <w:pPr>
        <w:kinsoku w:val="0"/>
        <w:overflowPunct w:val="0"/>
        <w:snapToGrid w:val="0"/>
        <w:spacing w:line="440" w:lineRule="exact"/>
        <w:ind w:firstLine="3600" w:firstLineChars="1500"/>
        <w:rPr>
          <w:rFonts w:ascii="宋体" w:hAnsi="宋体" w:cs="宋体"/>
          <w:spacing w:val="-4"/>
          <w:sz w:val="24"/>
          <w:szCs w:val="24"/>
          <w:u w:val="single"/>
        </w:rPr>
      </w:pPr>
      <w:r>
        <w:rPr>
          <w:rFonts w:hint="eastAsia" w:ascii="宋体" w:hAnsi="宋体"/>
          <w:bCs/>
          <w:sz w:val="24"/>
          <w:szCs w:val="24"/>
        </w:rPr>
        <w:t>报价单位（盖公章）：</w:t>
      </w:r>
      <w:r>
        <w:rPr>
          <w:rFonts w:hint="eastAsia" w:ascii="宋体" w:hAnsi="宋体" w:cs="宋体"/>
          <w:spacing w:val="-4"/>
          <w:sz w:val="24"/>
          <w:szCs w:val="24"/>
          <w:u w:val="single"/>
        </w:rPr>
        <w:t xml:space="preserve">                            </w:t>
      </w:r>
    </w:p>
    <w:p>
      <w:pPr>
        <w:kinsoku w:val="0"/>
        <w:overflowPunct w:val="0"/>
        <w:snapToGrid w:val="0"/>
        <w:spacing w:line="440" w:lineRule="exact"/>
        <w:rPr>
          <w:rFonts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r>
        <w:rPr>
          <w:rFonts w:hint="eastAsia" w:ascii="宋体" w:hAnsi="宋体" w:cs="宋体"/>
          <w:spacing w:val="-4"/>
          <w:sz w:val="24"/>
          <w:szCs w:val="24"/>
          <w:u w:val="single"/>
        </w:rPr>
        <w:t xml:space="preserve">            </w:t>
      </w:r>
    </w:p>
    <w:p>
      <w:pPr>
        <w:kinsoku w:val="0"/>
        <w:overflowPunct w:val="0"/>
        <w:snapToGrid w:val="0"/>
        <w:spacing w:line="420" w:lineRule="exact"/>
        <w:jc w:val="left"/>
        <w:rPr>
          <w:rFonts w:ascii="宋体" w:hAnsi="宋体"/>
        </w:rPr>
      </w:pPr>
      <w:r>
        <w:rPr>
          <w:rFonts w:hint="eastAsia" w:ascii="宋体" w:hAnsi="宋体"/>
        </w:rPr>
        <w:t xml:space="preserve"> </w:t>
      </w:r>
    </w:p>
    <w:p>
      <w:pPr>
        <w:adjustRightInd w:val="0"/>
        <w:snapToGrid w:val="0"/>
        <w:spacing w:line="400" w:lineRule="atLeast"/>
        <w:jc w:val="center"/>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16"/>
        <w:keepNext w:val="0"/>
        <w:keepLines w:val="0"/>
        <w:kinsoku w:val="0"/>
        <w:overflowPunct w:val="0"/>
        <w:snapToGrid w:val="0"/>
        <w:spacing w:before="0" w:after="0" w:line="440" w:lineRule="atLeast"/>
        <w:outlineLvl w:val="0"/>
        <w:rPr>
          <w:rFonts w:eastAsia="宋体" w:cs="宋体"/>
          <w:b w:val="0"/>
          <w:bCs/>
          <w:sz w:val="28"/>
          <w:szCs w:val="28"/>
        </w:rPr>
      </w:pPr>
      <w:bookmarkStart w:id="203" w:name="_Toc3242_WPSOffice_Level1"/>
      <w:bookmarkStart w:id="204" w:name="_Toc29011_WPSOffice_Level2"/>
      <w:bookmarkStart w:id="205" w:name="_Toc7642_WPSOffice_Level2"/>
      <w:bookmarkStart w:id="206" w:name="_Toc6643_WPSOffice_Level2"/>
      <w:bookmarkStart w:id="207" w:name="_Toc13674_WPSOffice_Level2"/>
      <w:bookmarkStart w:id="208" w:name="_Toc28212"/>
      <w:r>
        <w:rPr>
          <w:rFonts w:hint="eastAsia" w:eastAsia="宋体" w:cs="宋体"/>
          <w:b w:val="0"/>
          <w:bCs/>
          <w:sz w:val="28"/>
          <w:szCs w:val="28"/>
        </w:rPr>
        <w:t>附件6 报价方廉洁承诺书</w:t>
      </w:r>
      <w:bookmarkEnd w:id="203"/>
      <w:bookmarkEnd w:id="204"/>
      <w:bookmarkEnd w:id="205"/>
      <w:bookmarkEnd w:id="206"/>
      <w:bookmarkEnd w:id="207"/>
      <w:bookmarkEnd w:id="208"/>
    </w:p>
    <w:p>
      <w:pPr>
        <w:pStyle w:val="16"/>
        <w:keepNext w:val="0"/>
        <w:keepLines w:val="0"/>
        <w:kinsoku w:val="0"/>
        <w:overflowPunct w:val="0"/>
        <w:snapToGrid w:val="0"/>
        <w:spacing w:before="0" w:after="0" w:line="440" w:lineRule="atLeast"/>
        <w:outlineLvl w:val="0"/>
        <w:rPr>
          <w:rFonts w:eastAsia="宋体" w:cs="宋体"/>
          <w:b w:val="0"/>
          <w:bCs/>
          <w:sz w:val="28"/>
          <w:szCs w:val="28"/>
        </w:rPr>
      </w:pPr>
    </w:p>
    <w:p>
      <w:pPr>
        <w:kinsoku w:val="0"/>
        <w:overflowPunct w:val="0"/>
        <w:snapToGrid w:val="0"/>
        <w:spacing w:line="460" w:lineRule="atLeast"/>
        <w:ind w:firstLine="480" w:firstLineChars="200"/>
        <w:jc w:val="left"/>
        <w:rPr>
          <w:rFonts w:ascii="宋体" w:hAnsi="宋体"/>
          <w:sz w:val="24"/>
          <w:szCs w:val="36"/>
        </w:rPr>
      </w:pPr>
      <w:r>
        <w:rPr>
          <w:rFonts w:hint="eastAsia" w:ascii="宋体" w:hAnsi="宋体"/>
          <w:sz w:val="24"/>
          <w:szCs w:val="36"/>
        </w:rPr>
        <w:t>为促进廉洁自律有关规定的落实，打击贿赂、以权谋私等违法犯罪行为，保证各项经营活动健康有序开展，维护员工职业操守，提高合作效率，本单位在与厦门海发环保能源股份有限公司（以下简称“采购方”）开展报价、报价业务活动中承诺：</w:t>
      </w:r>
      <w:r>
        <w:rPr>
          <w:rFonts w:ascii="宋体" w:hAnsi="宋体"/>
          <w:sz w:val="24"/>
          <w:szCs w:val="36"/>
        </w:rPr>
        <w:t xml:space="preserve"> </w:t>
      </w:r>
    </w:p>
    <w:p>
      <w:pPr>
        <w:numPr>
          <w:ilvl w:val="0"/>
          <w:numId w:val="45"/>
        </w:numPr>
        <w:kinsoku w:val="0"/>
        <w:overflowPunct w:val="0"/>
        <w:snapToGrid w:val="0"/>
        <w:spacing w:line="460" w:lineRule="atLeast"/>
        <w:jc w:val="left"/>
        <w:rPr>
          <w:rFonts w:ascii="宋体" w:hAnsi="宋体"/>
          <w:sz w:val="24"/>
          <w:szCs w:val="36"/>
        </w:rPr>
      </w:pPr>
      <w:r>
        <w:rPr>
          <w:rFonts w:hint="eastAsia" w:ascii="宋体" w:hAnsi="宋体"/>
          <w:sz w:val="24"/>
          <w:szCs w:val="36"/>
        </w:rPr>
        <w:t>自觉遵守国家法律、法规，按照《中国共产党纪律处分条例》、《中华人民共和国反不正当竞争法》、《关于禁止商业贿赂行为的暂行规定》以及有关要求进行各项业务活动。</w:t>
      </w:r>
    </w:p>
    <w:p>
      <w:pPr>
        <w:numPr>
          <w:ilvl w:val="0"/>
          <w:numId w:val="45"/>
        </w:numPr>
        <w:kinsoku w:val="0"/>
        <w:overflowPunct w:val="0"/>
        <w:snapToGrid w:val="0"/>
        <w:spacing w:line="460" w:lineRule="atLeast"/>
        <w:jc w:val="left"/>
        <w:rPr>
          <w:rFonts w:ascii="宋体" w:hAnsi="宋体"/>
          <w:sz w:val="24"/>
          <w:szCs w:val="36"/>
        </w:rPr>
      </w:pPr>
      <w:r>
        <w:rPr>
          <w:rFonts w:hint="eastAsia" w:ascii="宋体" w:hAnsi="宋体"/>
          <w:sz w:val="24"/>
          <w:szCs w:val="36"/>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pPr>
        <w:numPr>
          <w:ilvl w:val="0"/>
          <w:numId w:val="45"/>
        </w:numPr>
        <w:kinsoku w:val="0"/>
        <w:overflowPunct w:val="0"/>
        <w:snapToGrid w:val="0"/>
        <w:spacing w:line="460" w:lineRule="atLeast"/>
        <w:jc w:val="left"/>
        <w:rPr>
          <w:rFonts w:ascii="宋体" w:hAnsi="宋体"/>
          <w:sz w:val="24"/>
          <w:szCs w:val="36"/>
        </w:rPr>
      </w:pPr>
      <w:r>
        <w:rPr>
          <w:rFonts w:hint="eastAsia" w:ascii="宋体" w:hAnsi="宋体"/>
          <w:sz w:val="24"/>
          <w:szCs w:val="36"/>
        </w:rPr>
        <w:t>不与其他经营者串通报价和报价，不排挤其他经营者的公平竞争，损害其他经营者的合法权益；不在工程建设的预决算编制工作中弄虚作假、高估冒算。</w:t>
      </w:r>
    </w:p>
    <w:p>
      <w:pPr>
        <w:numPr>
          <w:ilvl w:val="0"/>
          <w:numId w:val="45"/>
        </w:numPr>
        <w:kinsoku w:val="0"/>
        <w:overflowPunct w:val="0"/>
        <w:snapToGrid w:val="0"/>
        <w:spacing w:line="460" w:lineRule="atLeast"/>
        <w:jc w:val="left"/>
        <w:rPr>
          <w:rFonts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45"/>
        </w:numPr>
        <w:kinsoku w:val="0"/>
        <w:overflowPunct w:val="0"/>
        <w:snapToGrid w:val="0"/>
        <w:spacing w:line="460" w:lineRule="atLeast"/>
        <w:jc w:val="left"/>
        <w:rPr>
          <w:rFonts w:ascii="宋体" w:hAnsi="宋体"/>
          <w:sz w:val="24"/>
          <w:szCs w:val="36"/>
        </w:rPr>
      </w:pPr>
      <w:r>
        <w:rPr>
          <w:rFonts w:hint="eastAsia" w:ascii="宋体" w:hAnsi="宋体" w:cs="宋体"/>
          <w:sz w:val="24"/>
          <w:szCs w:val="24"/>
        </w:rPr>
        <w:t xml:space="preserve">报价方及其工作人员违反本协议规定行为的，3年内不得参加厦门海发环保能源股份有限公司建设项目、物资采购报价活动，情节严重的按有关规定追究责任。  </w:t>
      </w:r>
    </w:p>
    <w:p>
      <w:pPr>
        <w:kinsoku w:val="0"/>
        <w:overflowPunct w:val="0"/>
        <w:snapToGrid w:val="0"/>
        <w:spacing w:line="460" w:lineRule="atLeast"/>
        <w:ind w:firstLine="480" w:firstLineChars="200"/>
        <w:jc w:val="left"/>
        <w:rPr>
          <w:rFonts w:ascii="宋体" w:hAnsi="宋体"/>
          <w:sz w:val="24"/>
          <w:szCs w:val="36"/>
        </w:rPr>
      </w:pPr>
      <w:r>
        <w:rPr>
          <w:rFonts w:hint="eastAsia" w:ascii="宋体" w:hAnsi="宋体"/>
          <w:sz w:val="24"/>
          <w:szCs w:val="36"/>
        </w:rPr>
        <w:t>特此承诺。</w:t>
      </w:r>
    </w:p>
    <w:p>
      <w:pPr>
        <w:kinsoku w:val="0"/>
        <w:overflowPunct w:val="0"/>
        <w:snapToGrid w:val="0"/>
        <w:spacing w:line="440" w:lineRule="atLeast"/>
        <w:ind w:firstLine="420" w:firstLineChars="200"/>
        <w:jc w:val="left"/>
        <w:rPr>
          <w:rFonts w:ascii="宋体" w:hAnsi="宋体"/>
          <w:szCs w:val="28"/>
        </w:rPr>
      </w:pPr>
    </w:p>
    <w:p>
      <w:pPr>
        <w:snapToGrid w:val="0"/>
        <w:spacing w:line="520" w:lineRule="exact"/>
        <w:ind w:firstLine="5500" w:firstLineChars="2292"/>
        <w:jc w:val="left"/>
        <w:rPr>
          <w:rFonts w:ascii="宋体" w:hAnsi="宋体"/>
          <w:sz w:val="24"/>
          <w:szCs w:val="24"/>
          <w:u w:val="single"/>
        </w:rPr>
      </w:pPr>
      <w:r>
        <w:rPr>
          <w:rFonts w:hint="eastAsia" w:ascii="宋体" w:hAnsi="宋体"/>
          <w:sz w:val="24"/>
          <w:szCs w:val="24"/>
        </w:rPr>
        <w:t>报价单位（盖章）：</w:t>
      </w:r>
      <w:r>
        <w:rPr>
          <w:rFonts w:hint="eastAsia" w:ascii="宋体" w:hAnsi="宋体"/>
          <w:sz w:val="24"/>
          <w:szCs w:val="24"/>
          <w:u w:val="single"/>
        </w:rPr>
        <w:t xml:space="preserve">         </w:t>
      </w:r>
    </w:p>
    <w:p>
      <w:pPr>
        <w:snapToGrid w:val="0"/>
        <w:spacing w:line="520" w:lineRule="exact"/>
        <w:ind w:firstLine="5500" w:firstLineChars="2292"/>
        <w:jc w:val="lef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pPr>
        <w:kinsoku w:val="0"/>
        <w:overflowPunct w:val="0"/>
        <w:spacing w:line="400" w:lineRule="atLeast"/>
        <w:jc w:val="center"/>
        <w:rPr>
          <w:rFonts w:ascii="宋体" w:hAnsi="宋体"/>
          <w:b/>
          <w:bCs/>
          <w:sz w:val="28"/>
          <w:szCs w:val="28"/>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snapToGrid w:val="0"/>
        <w:outlineLvl w:val="0"/>
        <w:rPr>
          <w:rFonts w:ascii="宋体" w:hAnsi="宋体"/>
          <w:bCs/>
          <w:sz w:val="28"/>
          <w:szCs w:val="28"/>
        </w:rPr>
      </w:pPr>
      <w:bookmarkStart w:id="209" w:name="_Toc19366"/>
      <w:r>
        <w:rPr>
          <w:rFonts w:hint="eastAsia" w:ascii="宋体" w:hAnsi="宋体"/>
          <w:bCs/>
          <w:sz w:val="28"/>
          <w:szCs w:val="28"/>
        </w:rPr>
        <w:t>附件7 企业能有效识别二维码且加盖报价单位公章的营业执照复印件</w:t>
      </w:r>
      <w:bookmarkEnd w:id="209"/>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snapToGrid w:val="0"/>
        <w:outlineLvl w:val="0"/>
        <w:rPr>
          <w:rFonts w:ascii="宋体" w:hAnsi="宋体"/>
          <w:bCs/>
          <w:sz w:val="28"/>
          <w:szCs w:val="28"/>
        </w:rPr>
      </w:pPr>
      <w:bookmarkStart w:id="210" w:name="_Toc213"/>
      <w:r>
        <w:rPr>
          <w:rFonts w:hint="eastAsia" w:ascii="宋体" w:hAnsi="宋体"/>
          <w:bCs/>
          <w:sz w:val="28"/>
          <w:szCs w:val="28"/>
        </w:rPr>
        <w:t>附件8 相关业绩证明，提供合同复印件（加盖报价单位公章）</w:t>
      </w:r>
      <w:bookmarkEnd w:id="210"/>
    </w:p>
    <w:p>
      <w:pPr>
        <w:pStyle w:val="5"/>
        <w:rPr>
          <w:rFonts w:asciiTheme="minorEastAsia" w:hAnsiTheme="minorEastAsia" w:cstheme="minorEastAsia"/>
          <w:b/>
          <w:bCs/>
          <w:sz w:val="24"/>
          <w:szCs w:val="24"/>
        </w:rPr>
      </w:pPr>
    </w:p>
    <w:p>
      <w:pPr>
        <w:pStyle w:val="5"/>
        <w:rPr>
          <w:rFonts w:asciiTheme="minorEastAsia" w:hAnsiTheme="minorEastAsia" w:cstheme="minorEastAsia"/>
          <w:b/>
          <w:bCs/>
          <w:sz w:val="24"/>
          <w:szCs w:val="24"/>
        </w:rPr>
      </w:pPr>
    </w:p>
    <w:p>
      <w:pPr>
        <w:numPr>
          <w:ilvl w:val="255"/>
          <w:numId w:val="0"/>
        </w:numPr>
        <w:tabs>
          <w:tab w:val="left" w:pos="0"/>
        </w:tabs>
        <w:snapToGrid w:val="0"/>
        <w:spacing w:line="400" w:lineRule="atLeast"/>
        <w:jc w:val="left"/>
        <w:rPr>
          <w:rFonts w:ascii="宋体" w:hAnsi="宋体"/>
          <w:bCs/>
          <w:sz w:val="28"/>
          <w:szCs w:val="28"/>
        </w:rPr>
      </w:pPr>
      <w:r>
        <w:rPr>
          <w:rFonts w:hint="eastAsia" w:ascii="宋体" w:hAnsi="宋体"/>
          <w:bCs/>
          <w:sz w:val="28"/>
          <w:szCs w:val="28"/>
        </w:rPr>
        <w:t>附件9报价方认为需要提供的其它资料</w:t>
      </w:r>
    </w:p>
    <w:bookmarkEnd w:id="154"/>
    <w:bookmarkEnd w:id="155"/>
    <w:bookmarkEnd w:id="156"/>
    <w:p>
      <w:pPr>
        <w:pStyle w:val="5"/>
        <w:rPr>
          <w:rFonts w:asciiTheme="minorEastAsia" w:hAnsiTheme="minorEastAsia" w:cstheme="minorEastAsia"/>
          <w:b/>
          <w:bCs/>
          <w:sz w:val="24"/>
          <w:szCs w:val="24"/>
        </w:rPr>
      </w:pPr>
    </w:p>
    <w:p>
      <w:pPr>
        <w:rPr>
          <w:rFonts w:asciiTheme="minorEastAsia" w:hAnsiTheme="minorEastAsia" w:cstheme="minorEastAsia"/>
          <w:sz w:val="24"/>
          <w:szCs w:val="24"/>
        </w:rPr>
      </w:pPr>
    </w:p>
    <w:sectPr>
      <w:footerReference r:id="rId3" w:type="default"/>
      <w:pgSz w:w="11906" w:h="16838"/>
      <w:pgMar w:top="1440" w:right="1406" w:bottom="1440"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文鼎粗行楷体简">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rPr>
                              <w:rFonts w:hint="eastAsia"/>
                            </w:rPr>
                            <w:t>21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rPr>
                        <w:rFonts w:hint="eastAsia"/>
                      </w:rPr>
                      <w:t>21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BEB1"/>
    <w:multiLevelType w:val="singleLevel"/>
    <w:tmpl w:val="8D26BEB1"/>
    <w:lvl w:ilvl="0" w:tentative="0">
      <w:start w:val="1"/>
      <w:numFmt w:val="decimal"/>
      <w:suff w:val="nothing"/>
      <w:lvlText w:val="%1、"/>
      <w:lvlJc w:val="left"/>
      <w:pPr>
        <w:ind w:left="0" w:firstLine="397"/>
      </w:pPr>
      <w:rPr>
        <w:rFonts w:hint="default"/>
      </w:rPr>
    </w:lvl>
  </w:abstractNum>
  <w:abstractNum w:abstractNumId="1">
    <w:nsid w:val="8E69E9A4"/>
    <w:multiLevelType w:val="singleLevel"/>
    <w:tmpl w:val="8E69E9A4"/>
    <w:lvl w:ilvl="0" w:tentative="0">
      <w:start w:val="1"/>
      <w:numFmt w:val="decimal"/>
      <w:suff w:val="nothing"/>
      <w:lvlText w:val="%1、"/>
      <w:lvlJc w:val="left"/>
      <w:pPr>
        <w:tabs>
          <w:tab w:val="left" w:pos="0"/>
        </w:tabs>
        <w:ind w:left="0" w:firstLine="0"/>
      </w:pPr>
      <w:rPr>
        <w:rFonts w:hint="default"/>
      </w:rPr>
    </w:lvl>
  </w:abstractNum>
  <w:abstractNum w:abstractNumId="2">
    <w:nsid w:val="95515367"/>
    <w:multiLevelType w:val="singleLevel"/>
    <w:tmpl w:val="95515367"/>
    <w:lvl w:ilvl="0" w:tentative="0">
      <w:start w:val="1"/>
      <w:numFmt w:val="decimal"/>
      <w:suff w:val="nothing"/>
      <w:lvlText w:val="5.5.%1 "/>
      <w:lvlJc w:val="left"/>
      <w:pPr>
        <w:tabs>
          <w:tab w:val="left" w:pos="0"/>
        </w:tabs>
        <w:ind w:left="0" w:firstLine="0"/>
      </w:pPr>
      <w:rPr>
        <w:rFonts w:hint="default" w:ascii="宋体" w:hAnsi="宋体" w:eastAsia="宋体" w:cs="宋体"/>
      </w:rPr>
    </w:lvl>
  </w:abstractNum>
  <w:abstractNum w:abstractNumId="3">
    <w:nsid w:val="99F4C1B7"/>
    <w:multiLevelType w:val="singleLevel"/>
    <w:tmpl w:val="99F4C1B7"/>
    <w:lvl w:ilvl="0" w:tentative="0">
      <w:start w:val="1"/>
      <w:numFmt w:val="decimal"/>
      <w:suff w:val="nothing"/>
      <w:lvlText w:val="6.1.%1 "/>
      <w:lvlJc w:val="left"/>
      <w:pPr>
        <w:tabs>
          <w:tab w:val="left" w:pos="0"/>
        </w:tabs>
        <w:ind w:left="0" w:firstLine="0"/>
      </w:pPr>
      <w:rPr>
        <w:rFonts w:hint="default" w:ascii="宋体" w:hAnsi="宋体" w:eastAsia="宋体" w:cs="宋体"/>
      </w:rPr>
    </w:lvl>
  </w:abstractNum>
  <w:abstractNum w:abstractNumId="4">
    <w:nsid w:val="A8A6A970"/>
    <w:multiLevelType w:val="singleLevel"/>
    <w:tmpl w:val="A8A6A970"/>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5">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6">
    <w:nsid w:val="AA81F078"/>
    <w:multiLevelType w:val="singleLevel"/>
    <w:tmpl w:val="AA81F078"/>
    <w:lvl w:ilvl="0" w:tentative="0">
      <w:start w:val="1"/>
      <w:numFmt w:val="decimal"/>
      <w:suff w:val="nothing"/>
      <w:lvlText w:val="5.3.%1 "/>
      <w:lvlJc w:val="left"/>
      <w:pPr>
        <w:tabs>
          <w:tab w:val="left" w:pos="0"/>
        </w:tabs>
        <w:ind w:left="0" w:firstLine="0"/>
      </w:pPr>
      <w:rPr>
        <w:rFonts w:hint="default" w:ascii="宋体" w:hAnsi="宋体" w:eastAsia="宋体" w:cs="宋体"/>
      </w:rPr>
    </w:lvl>
  </w:abstractNum>
  <w:abstractNum w:abstractNumId="7">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8">
    <w:nsid w:val="BBA00377"/>
    <w:multiLevelType w:val="singleLevel"/>
    <w:tmpl w:val="BBA00377"/>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9">
    <w:nsid w:val="BE112D20"/>
    <w:multiLevelType w:val="singleLevel"/>
    <w:tmpl w:val="BE112D20"/>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0">
    <w:nsid w:val="C528CC8A"/>
    <w:multiLevelType w:val="singleLevel"/>
    <w:tmpl w:val="C528CC8A"/>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1">
    <w:nsid w:val="C67FC2CC"/>
    <w:multiLevelType w:val="singleLevel"/>
    <w:tmpl w:val="C67FC2CC"/>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2">
    <w:nsid w:val="CEAA40BF"/>
    <w:multiLevelType w:val="singleLevel"/>
    <w:tmpl w:val="CEAA40BF"/>
    <w:lvl w:ilvl="0" w:tentative="0">
      <w:start w:val="1"/>
      <w:numFmt w:val="decimal"/>
      <w:suff w:val="nothing"/>
      <w:lvlText w:val="10.%1 "/>
      <w:lvlJc w:val="left"/>
      <w:pPr>
        <w:tabs>
          <w:tab w:val="left" w:pos="0"/>
        </w:tabs>
        <w:ind w:left="0" w:firstLine="0"/>
      </w:pPr>
      <w:rPr>
        <w:rFonts w:hint="default" w:ascii="宋体" w:hAnsi="宋体" w:eastAsia="宋体" w:cs="宋体"/>
      </w:rPr>
    </w:lvl>
  </w:abstractNum>
  <w:abstractNum w:abstractNumId="13">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14">
    <w:nsid w:val="D5457412"/>
    <w:multiLevelType w:val="singleLevel"/>
    <w:tmpl w:val="D5457412"/>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5">
    <w:nsid w:val="DD64B743"/>
    <w:multiLevelType w:val="singleLevel"/>
    <w:tmpl w:val="DD64B743"/>
    <w:lvl w:ilvl="0" w:tentative="0">
      <w:start w:val="1"/>
      <w:numFmt w:val="decimal"/>
      <w:suff w:val="nothing"/>
      <w:lvlText w:val="5.7.%1 "/>
      <w:lvlJc w:val="left"/>
      <w:pPr>
        <w:tabs>
          <w:tab w:val="left" w:pos="0"/>
        </w:tabs>
        <w:ind w:left="0" w:firstLine="0"/>
      </w:pPr>
      <w:rPr>
        <w:rFonts w:hint="default" w:ascii="宋体" w:hAnsi="宋体" w:eastAsia="宋体" w:cs="宋体"/>
      </w:rPr>
    </w:lvl>
  </w:abstractNum>
  <w:abstractNum w:abstractNumId="16">
    <w:nsid w:val="DFB4557C"/>
    <w:multiLevelType w:val="singleLevel"/>
    <w:tmpl w:val="DFB4557C"/>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17">
    <w:nsid w:val="DFBF39C5"/>
    <w:multiLevelType w:val="singleLevel"/>
    <w:tmpl w:val="DFBF39C5"/>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18">
    <w:nsid w:val="E5E20103"/>
    <w:multiLevelType w:val="singleLevel"/>
    <w:tmpl w:val="E5E20103"/>
    <w:lvl w:ilvl="0" w:tentative="0">
      <w:start w:val="1"/>
      <w:numFmt w:val="decimal"/>
      <w:suff w:val="nothing"/>
      <w:lvlText w:val="4.10.%1 "/>
      <w:lvlJc w:val="left"/>
      <w:pPr>
        <w:ind w:left="0" w:firstLine="0"/>
      </w:pPr>
      <w:rPr>
        <w:rFonts w:hint="default" w:ascii="宋体" w:hAnsi="宋体" w:eastAsia="宋体" w:cs="宋体"/>
      </w:rPr>
    </w:lvl>
  </w:abstractNum>
  <w:abstractNum w:abstractNumId="19">
    <w:nsid w:val="EF9E2025"/>
    <w:multiLevelType w:val="singleLevel"/>
    <w:tmpl w:val="EF9E2025"/>
    <w:lvl w:ilvl="0" w:tentative="0">
      <w:start w:val="2"/>
      <w:numFmt w:val="decimal"/>
      <w:suff w:val="nothing"/>
      <w:lvlText w:val="%1、"/>
      <w:lvlJc w:val="left"/>
    </w:lvl>
  </w:abstractNum>
  <w:abstractNum w:abstractNumId="20">
    <w:nsid w:val="F1289595"/>
    <w:multiLevelType w:val="singleLevel"/>
    <w:tmpl w:val="F1289595"/>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21">
    <w:nsid w:val="F8D8431D"/>
    <w:multiLevelType w:val="singleLevel"/>
    <w:tmpl w:val="F8D8431D"/>
    <w:lvl w:ilvl="0" w:tentative="0">
      <w:start w:val="1"/>
      <w:numFmt w:val="decimal"/>
      <w:suff w:val="nothing"/>
      <w:lvlText w:val="8.%1 "/>
      <w:lvlJc w:val="left"/>
      <w:pPr>
        <w:tabs>
          <w:tab w:val="left" w:pos="0"/>
        </w:tabs>
        <w:ind w:left="0" w:firstLine="0"/>
      </w:pPr>
      <w:rPr>
        <w:rFonts w:hint="default" w:ascii="宋体" w:hAnsi="宋体" w:eastAsia="宋体" w:cs="宋体"/>
      </w:rPr>
    </w:lvl>
  </w:abstractNum>
  <w:abstractNum w:abstractNumId="22">
    <w:nsid w:val="0AD48E78"/>
    <w:multiLevelType w:val="singleLevel"/>
    <w:tmpl w:val="0AD48E78"/>
    <w:lvl w:ilvl="0" w:tentative="0">
      <w:start w:val="1"/>
      <w:numFmt w:val="decimal"/>
      <w:suff w:val="nothing"/>
      <w:lvlText w:val="6.2.%1 "/>
      <w:lvlJc w:val="left"/>
      <w:pPr>
        <w:tabs>
          <w:tab w:val="left" w:pos="0"/>
        </w:tabs>
        <w:ind w:left="0" w:firstLine="0"/>
      </w:pPr>
      <w:rPr>
        <w:rFonts w:hint="default" w:ascii="宋体" w:hAnsi="宋体" w:eastAsia="宋体" w:cs="宋体"/>
      </w:rPr>
    </w:lvl>
  </w:abstractNum>
  <w:abstractNum w:abstractNumId="23">
    <w:nsid w:val="103E603E"/>
    <w:multiLevelType w:val="singleLevel"/>
    <w:tmpl w:val="103E603E"/>
    <w:lvl w:ilvl="0" w:tentative="0">
      <w:start w:val="5"/>
      <w:numFmt w:val="chineseCounting"/>
      <w:suff w:val="nothing"/>
      <w:lvlText w:val="%1、"/>
      <w:lvlJc w:val="left"/>
      <w:rPr>
        <w:rFonts w:hint="eastAsia"/>
      </w:rPr>
    </w:lvl>
  </w:abstractNum>
  <w:abstractNum w:abstractNumId="24">
    <w:nsid w:val="1102924A"/>
    <w:multiLevelType w:val="singleLevel"/>
    <w:tmpl w:val="1102924A"/>
    <w:lvl w:ilvl="0" w:tentative="0">
      <w:start w:val="1"/>
      <w:numFmt w:val="decimal"/>
      <w:suff w:val="nothing"/>
      <w:lvlText w:val="%1．"/>
      <w:lvlJc w:val="left"/>
      <w:pPr>
        <w:ind w:left="0" w:firstLine="400"/>
      </w:pPr>
      <w:rPr>
        <w:rFonts w:hint="default"/>
      </w:rPr>
    </w:lvl>
  </w:abstractNum>
  <w:abstractNum w:abstractNumId="25">
    <w:nsid w:val="14C74E17"/>
    <w:multiLevelType w:val="singleLevel"/>
    <w:tmpl w:val="14C74E1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26">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27">
    <w:nsid w:val="1E8A1EC5"/>
    <w:multiLevelType w:val="singleLevel"/>
    <w:tmpl w:val="1E8A1EC5"/>
    <w:lvl w:ilvl="0" w:tentative="0">
      <w:start w:val="1"/>
      <w:numFmt w:val="decimal"/>
      <w:suff w:val="nothing"/>
      <w:lvlText w:val="%1、"/>
      <w:lvlJc w:val="left"/>
      <w:pPr>
        <w:tabs>
          <w:tab w:val="left" w:pos="0"/>
        </w:tabs>
        <w:ind w:left="0" w:firstLine="0"/>
      </w:pPr>
      <w:rPr>
        <w:rFonts w:hint="default"/>
      </w:rPr>
    </w:lvl>
  </w:abstractNum>
  <w:abstractNum w:abstractNumId="28">
    <w:nsid w:val="20963E0E"/>
    <w:multiLevelType w:val="singleLevel"/>
    <w:tmpl w:val="20963E0E"/>
    <w:lvl w:ilvl="0" w:tentative="0">
      <w:start w:val="1"/>
      <w:numFmt w:val="decimal"/>
      <w:suff w:val="nothing"/>
      <w:lvlText w:val="%1、"/>
      <w:lvlJc w:val="left"/>
      <w:pPr>
        <w:ind w:left="0" w:firstLine="397"/>
      </w:pPr>
      <w:rPr>
        <w:rFonts w:hint="default"/>
      </w:rPr>
    </w:lvl>
  </w:abstractNum>
  <w:abstractNum w:abstractNumId="29">
    <w:nsid w:val="255A38A3"/>
    <w:multiLevelType w:val="singleLevel"/>
    <w:tmpl w:val="255A38A3"/>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30">
    <w:nsid w:val="2B6AC72D"/>
    <w:multiLevelType w:val="singleLevel"/>
    <w:tmpl w:val="2B6AC72D"/>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31">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32">
    <w:nsid w:val="2EA01BD1"/>
    <w:multiLevelType w:val="singleLevel"/>
    <w:tmpl w:val="2EA01BD1"/>
    <w:lvl w:ilvl="0" w:tentative="0">
      <w:start w:val="1"/>
      <w:numFmt w:val="decimal"/>
      <w:suff w:val="nothing"/>
      <w:lvlText w:val="5.4.%1 "/>
      <w:lvlJc w:val="left"/>
      <w:pPr>
        <w:tabs>
          <w:tab w:val="left" w:pos="0"/>
        </w:tabs>
        <w:ind w:left="0" w:firstLine="0"/>
      </w:pPr>
      <w:rPr>
        <w:rFonts w:hint="default" w:ascii="宋体" w:hAnsi="宋体" w:eastAsia="宋体" w:cs="宋体"/>
      </w:rPr>
    </w:lvl>
  </w:abstractNum>
  <w:abstractNum w:abstractNumId="33">
    <w:nsid w:val="392E1B95"/>
    <w:multiLevelType w:val="singleLevel"/>
    <w:tmpl w:val="392E1B95"/>
    <w:lvl w:ilvl="0" w:tentative="0">
      <w:start w:val="1"/>
      <w:numFmt w:val="decimal"/>
      <w:suff w:val="nothing"/>
      <w:lvlText w:val="%1 "/>
      <w:lvlJc w:val="left"/>
      <w:pPr>
        <w:ind w:left="0" w:firstLine="0"/>
      </w:pPr>
      <w:rPr>
        <w:rFonts w:hint="default"/>
      </w:rPr>
    </w:lvl>
  </w:abstractNum>
  <w:abstractNum w:abstractNumId="34">
    <w:nsid w:val="3B1C529F"/>
    <w:multiLevelType w:val="singleLevel"/>
    <w:tmpl w:val="3B1C529F"/>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35">
    <w:nsid w:val="3C05B837"/>
    <w:multiLevelType w:val="singleLevel"/>
    <w:tmpl w:val="3C05B83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36">
    <w:nsid w:val="420D3CF8"/>
    <w:multiLevelType w:val="singleLevel"/>
    <w:tmpl w:val="420D3CF8"/>
    <w:lvl w:ilvl="0" w:tentative="0">
      <w:start w:val="1"/>
      <w:numFmt w:val="decimal"/>
      <w:suff w:val="nothing"/>
      <w:lvlText w:val="%1、"/>
      <w:lvlJc w:val="left"/>
      <w:pPr>
        <w:ind w:left="0" w:firstLine="397"/>
      </w:pPr>
      <w:rPr>
        <w:rFonts w:hint="default"/>
      </w:rPr>
    </w:lvl>
  </w:abstractNum>
  <w:abstractNum w:abstractNumId="37">
    <w:nsid w:val="4C9F85FC"/>
    <w:multiLevelType w:val="singleLevel"/>
    <w:tmpl w:val="4C9F85FC"/>
    <w:lvl w:ilvl="0" w:tentative="0">
      <w:start w:val="1"/>
      <w:numFmt w:val="decimal"/>
      <w:suff w:val="nothing"/>
      <w:lvlText w:val="%1 "/>
      <w:lvlJc w:val="left"/>
      <w:pPr>
        <w:tabs>
          <w:tab w:val="left" w:pos="0"/>
        </w:tabs>
        <w:ind w:left="0" w:firstLine="0"/>
      </w:pPr>
      <w:rPr>
        <w:rFonts w:hint="default" w:ascii="宋体" w:hAnsi="宋体" w:eastAsia="宋体" w:cs="宋体"/>
      </w:rPr>
    </w:lvl>
  </w:abstractNum>
  <w:abstractNum w:abstractNumId="38">
    <w:nsid w:val="4DF4503F"/>
    <w:multiLevelType w:val="singleLevel"/>
    <w:tmpl w:val="4DF4503F"/>
    <w:lvl w:ilvl="0" w:tentative="0">
      <w:start w:val="1"/>
      <w:numFmt w:val="decimal"/>
      <w:suff w:val="nothing"/>
      <w:lvlText w:val="9.%1 "/>
      <w:lvlJc w:val="left"/>
      <w:pPr>
        <w:tabs>
          <w:tab w:val="left" w:pos="0"/>
        </w:tabs>
        <w:ind w:left="0" w:firstLine="0"/>
      </w:pPr>
      <w:rPr>
        <w:rFonts w:hint="default" w:ascii="宋体" w:hAnsi="宋体" w:eastAsia="宋体" w:cs="宋体"/>
      </w:rPr>
    </w:lvl>
  </w:abstractNum>
  <w:abstractNum w:abstractNumId="39">
    <w:nsid w:val="55B07D18"/>
    <w:multiLevelType w:val="singleLevel"/>
    <w:tmpl w:val="55B07D18"/>
    <w:lvl w:ilvl="0" w:tentative="0">
      <w:start w:val="1"/>
      <w:numFmt w:val="decimal"/>
      <w:suff w:val="nothing"/>
      <w:lvlText w:val="%1 "/>
      <w:lvlJc w:val="left"/>
      <w:pPr>
        <w:tabs>
          <w:tab w:val="left" w:pos="0"/>
        </w:tabs>
        <w:ind w:left="0" w:firstLine="0"/>
      </w:pPr>
      <w:rPr>
        <w:rFonts w:hint="default" w:ascii="宋体" w:hAnsi="宋体" w:eastAsia="宋体" w:cs="宋体"/>
      </w:rPr>
    </w:lvl>
  </w:abstractNum>
  <w:abstractNum w:abstractNumId="40">
    <w:nsid w:val="60AB8796"/>
    <w:multiLevelType w:val="singleLevel"/>
    <w:tmpl w:val="60AB879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41">
    <w:nsid w:val="67963B9F"/>
    <w:multiLevelType w:val="singleLevel"/>
    <w:tmpl w:val="67963B9F"/>
    <w:lvl w:ilvl="0" w:tentative="0">
      <w:start w:val="1"/>
      <w:numFmt w:val="decimal"/>
      <w:suff w:val="nothing"/>
      <w:lvlText w:val="5.7.2.%1 "/>
      <w:lvlJc w:val="left"/>
      <w:pPr>
        <w:tabs>
          <w:tab w:val="left" w:pos="0"/>
        </w:tabs>
        <w:ind w:left="0" w:firstLine="0"/>
      </w:pPr>
      <w:rPr>
        <w:rFonts w:hint="default" w:ascii="宋体" w:hAnsi="宋体" w:eastAsia="宋体" w:cs="宋体"/>
      </w:rPr>
    </w:lvl>
  </w:abstractNum>
  <w:abstractNum w:abstractNumId="42">
    <w:nsid w:val="76D6A07E"/>
    <w:multiLevelType w:val="singleLevel"/>
    <w:tmpl w:val="76D6A07E"/>
    <w:lvl w:ilvl="0" w:tentative="0">
      <w:start w:val="2"/>
      <w:numFmt w:val="chineseCounting"/>
      <w:suff w:val="nothing"/>
      <w:lvlText w:val="%1、"/>
      <w:lvlJc w:val="left"/>
      <w:rPr>
        <w:rFonts w:hint="eastAsia"/>
      </w:rPr>
    </w:lvl>
  </w:abstractNum>
  <w:abstractNum w:abstractNumId="43">
    <w:nsid w:val="7A013870"/>
    <w:multiLevelType w:val="singleLevel"/>
    <w:tmpl w:val="7A013870"/>
    <w:lvl w:ilvl="0" w:tentative="0">
      <w:start w:val="1"/>
      <w:numFmt w:val="decimal"/>
      <w:suff w:val="nothing"/>
      <w:lvlText w:val="7.%1 "/>
      <w:lvlJc w:val="left"/>
      <w:pPr>
        <w:tabs>
          <w:tab w:val="left" w:pos="0"/>
        </w:tabs>
        <w:ind w:left="0" w:firstLine="0"/>
      </w:pPr>
      <w:rPr>
        <w:rFonts w:hint="default" w:ascii="宋体" w:hAnsi="宋体" w:eastAsia="宋体" w:cs="宋体"/>
      </w:rPr>
    </w:lvl>
  </w:abstractNum>
  <w:abstractNum w:abstractNumId="44">
    <w:nsid w:val="7E0B4BB5"/>
    <w:multiLevelType w:val="singleLevel"/>
    <w:tmpl w:val="7E0B4BB5"/>
    <w:lvl w:ilvl="0" w:tentative="0">
      <w:start w:val="1"/>
      <w:numFmt w:val="decimal"/>
      <w:suff w:val="nothing"/>
      <w:lvlText w:val="1.%1 "/>
      <w:lvlJc w:val="left"/>
      <w:pPr>
        <w:ind w:left="0" w:firstLine="0"/>
      </w:pPr>
      <w:rPr>
        <w:rFonts w:hint="default"/>
      </w:rPr>
    </w:lvl>
  </w:abstractNum>
  <w:num w:numId="1">
    <w:abstractNumId w:val="39"/>
  </w:num>
  <w:num w:numId="2">
    <w:abstractNumId w:val="44"/>
  </w:num>
  <w:num w:numId="3">
    <w:abstractNumId w:val="10"/>
  </w:num>
  <w:num w:numId="4">
    <w:abstractNumId w:val="4"/>
  </w:num>
  <w:num w:numId="5">
    <w:abstractNumId w:val="20"/>
  </w:num>
  <w:num w:numId="6">
    <w:abstractNumId w:val="9"/>
  </w:num>
  <w:num w:numId="7">
    <w:abstractNumId w:val="13"/>
  </w:num>
  <w:num w:numId="8">
    <w:abstractNumId w:val="37"/>
  </w:num>
  <w:num w:numId="9">
    <w:abstractNumId w:val="14"/>
  </w:num>
  <w:num w:numId="10">
    <w:abstractNumId w:val="11"/>
  </w:num>
  <w:num w:numId="11">
    <w:abstractNumId w:val="30"/>
  </w:num>
  <w:num w:numId="12">
    <w:abstractNumId w:val="35"/>
  </w:num>
  <w:num w:numId="13">
    <w:abstractNumId w:val="31"/>
  </w:num>
  <w:num w:numId="14">
    <w:abstractNumId w:val="6"/>
  </w:num>
  <w:num w:numId="15">
    <w:abstractNumId w:val="32"/>
  </w:num>
  <w:num w:numId="16">
    <w:abstractNumId w:val="2"/>
  </w:num>
  <w:num w:numId="17">
    <w:abstractNumId w:val="15"/>
  </w:num>
  <w:num w:numId="18">
    <w:abstractNumId w:val="41"/>
  </w:num>
  <w:num w:numId="19">
    <w:abstractNumId w:val="17"/>
  </w:num>
  <w:num w:numId="20">
    <w:abstractNumId w:val="34"/>
  </w:num>
  <w:num w:numId="21">
    <w:abstractNumId w:val="33"/>
  </w:num>
  <w:num w:numId="22">
    <w:abstractNumId w:val="40"/>
  </w:num>
  <w:num w:numId="23">
    <w:abstractNumId w:val="25"/>
  </w:num>
  <w:num w:numId="24">
    <w:abstractNumId w:val="18"/>
  </w:num>
  <w:num w:numId="25">
    <w:abstractNumId w:val="8"/>
  </w:num>
  <w:num w:numId="26">
    <w:abstractNumId w:val="29"/>
  </w:num>
  <w:num w:numId="27">
    <w:abstractNumId w:val="3"/>
  </w:num>
  <w:num w:numId="28">
    <w:abstractNumId w:val="22"/>
  </w:num>
  <w:num w:numId="29">
    <w:abstractNumId w:val="16"/>
  </w:num>
  <w:num w:numId="30">
    <w:abstractNumId w:val="43"/>
  </w:num>
  <w:num w:numId="31">
    <w:abstractNumId w:val="21"/>
  </w:num>
  <w:num w:numId="32">
    <w:abstractNumId w:val="38"/>
  </w:num>
  <w:num w:numId="33">
    <w:abstractNumId w:val="12"/>
  </w:num>
  <w:num w:numId="34">
    <w:abstractNumId w:val="42"/>
  </w:num>
  <w:num w:numId="35">
    <w:abstractNumId w:val="1"/>
  </w:num>
  <w:num w:numId="36">
    <w:abstractNumId w:val="27"/>
  </w:num>
  <w:num w:numId="37">
    <w:abstractNumId w:val="23"/>
  </w:num>
  <w:num w:numId="38">
    <w:abstractNumId w:val="0"/>
  </w:num>
  <w:num w:numId="39">
    <w:abstractNumId w:val="28"/>
  </w:num>
  <w:num w:numId="40">
    <w:abstractNumId w:val="36"/>
  </w:num>
  <w:num w:numId="41">
    <w:abstractNumId w:val="7"/>
  </w:num>
  <w:num w:numId="42">
    <w:abstractNumId w:val="5"/>
  </w:num>
  <w:num w:numId="43">
    <w:abstractNumId w:val="19"/>
  </w:num>
  <w:num w:numId="44">
    <w:abstractNumId w:val="2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FE"/>
    <w:rsid w:val="000040FA"/>
    <w:rsid w:val="00004F39"/>
    <w:rsid w:val="00023933"/>
    <w:rsid w:val="000674FC"/>
    <w:rsid w:val="000901EA"/>
    <w:rsid w:val="000C78FE"/>
    <w:rsid w:val="000D6851"/>
    <w:rsid w:val="00117ED6"/>
    <w:rsid w:val="0012461B"/>
    <w:rsid w:val="001A5AFC"/>
    <w:rsid w:val="001D64AD"/>
    <w:rsid w:val="0020358C"/>
    <w:rsid w:val="00222092"/>
    <w:rsid w:val="002703DD"/>
    <w:rsid w:val="00337082"/>
    <w:rsid w:val="00362AE1"/>
    <w:rsid w:val="003769B5"/>
    <w:rsid w:val="003B0FFA"/>
    <w:rsid w:val="003B64CC"/>
    <w:rsid w:val="003B7BEA"/>
    <w:rsid w:val="003E675F"/>
    <w:rsid w:val="004225CB"/>
    <w:rsid w:val="00437C61"/>
    <w:rsid w:val="004A421E"/>
    <w:rsid w:val="005339E4"/>
    <w:rsid w:val="00566160"/>
    <w:rsid w:val="005711CA"/>
    <w:rsid w:val="005A01DB"/>
    <w:rsid w:val="005A09E3"/>
    <w:rsid w:val="00602193"/>
    <w:rsid w:val="006166DF"/>
    <w:rsid w:val="0063670C"/>
    <w:rsid w:val="00664617"/>
    <w:rsid w:val="00673B0D"/>
    <w:rsid w:val="00697941"/>
    <w:rsid w:val="006C56F1"/>
    <w:rsid w:val="00731AA3"/>
    <w:rsid w:val="00843680"/>
    <w:rsid w:val="00876613"/>
    <w:rsid w:val="00954E1A"/>
    <w:rsid w:val="00994787"/>
    <w:rsid w:val="00A04A18"/>
    <w:rsid w:val="00A2002A"/>
    <w:rsid w:val="00AF4656"/>
    <w:rsid w:val="00B11C19"/>
    <w:rsid w:val="00B4577C"/>
    <w:rsid w:val="00BC7D13"/>
    <w:rsid w:val="00BE3F9D"/>
    <w:rsid w:val="00C50905"/>
    <w:rsid w:val="00C86D30"/>
    <w:rsid w:val="00C97469"/>
    <w:rsid w:val="00CE7C97"/>
    <w:rsid w:val="00D046C5"/>
    <w:rsid w:val="00D23538"/>
    <w:rsid w:val="00D4238D"/>
    <w:rsid w:val="00D54700"/>
    <w:rsid w:val="00DB5805"/>
    <w:rsid w:val="00DF1CCF"/>
    <w:rsid w:val="00E14301"/>
    <w:rsid w:val="00E227A2"/>
    <w:rsid w:val="00ED01A5"/>
    <w:rsid w:val="00ED1397"/>
    <w:rsid w:val="00EE289F"/>
    <w:rsid w:val="00EE4EE0"/>
    <w:rsid w:val="00EE5390"/>
    <w:rsid w:val="00F31BE2"/>
    <w:rsid w:val="00F51CDE"/>
    <w:rsid w:val="00F81B0F"/>
    <w:rsid w:val="00F865EF"/>
    <w:rsid w:val="00F93FBD"/>
    <w:rsid w:val="00FF3A92"/>
    <w:rsid w:val="018E7154"/>
    <w:rsid w:val="0306497E"/>
    <w:rsid w:val="05EF1AC7"/>
    <w:rsid w:val="08082DE7"/>
    <w:rsid w:val="08AB37C9"/>
    <w:rsid w:val="090A060C"/>
    <w:rsid w:val="0C6078E3"/>
    <w:rsid w:val="10EB0ACC"/>
    <w:rsid w:val="1160098A"/>
    <w:rsid w:val="12FD6252"/>
    <w:rsid w:val="14E54D77"/>
    <w:rsid w:val="17A27930"/>
    <w:rsid w:val="18201F75"/>
    <w:rsid w:val="19ED3CF7"/>
    <w:rsid w:val="1ADA7EFA"/>
    <w:rsid w:val="1B2A3F92"/>
    <w:rsid w:val="1C9635BA"/>
    <w:rsid w:val="1CC135B5"/>
    <w:rsid w:val="20616389"/>
    <w:rsid w:val="20A02333"/>
    <w:rsid w:val="22581097"/>
    <w:rsid w:val="255B2011"/>
    <w:rsid w:val="271E362A"/>
    <w:rsid w:val="277D435C"/>
    <w:rsid w:val="27BC61AA"/>
    <w:rsid w:val="294B0A50"/>
    <w:rsid w:val="2AB72F73"/>
    <w:rsid w:val="2BD650A8"/>
    <w:rsid w:val="30510DCB"/>
    <w:rsid w:val="31215085"/>
    <w:rsid w:val="32A3249A"/>
    <w:rsid w:val="34AB1503"/>
    <w:rsid w:val="359D67EC"/>
    <w:rsid w:val="38A60C06"/>
    <w:rsid w:val="38D2524A"/>
    <w:rsid w:val="3B515D75"/>
    <w:rsid w:val="3B8F194F"/>
    <w:rsid w:val="3BCD61A3"/>
    <w:rsid w:val="3C157D59"/>
    <w:rsid w:val="3FE33B28"/>
    <w:rsid w:val="415A5B3F"/>
    <w:rsid w:val="42A72A99"/>
    <w:rsid w:val="43D97BEC"/>
    <w:rsid w:val="46753FBB"/>
    <w:rsid w:val="4C2C7BD0"/>
    <w:rsid w:val="4C5D5CA5"/>
    <w:rsid w:val="4EDB640C"/>
    <w:rsid w:val="4F564771"/>
    <w:rsid w:val="50A67063"/>
    <w:rsid w:val="518C7523"/>
    <w:rsid w:val="563F53FD"/>
    <w:rsid w:val="5A4878A1"/>
    <w:rsid w:val="5A68273B"/>
    <w:rsid w:val="5AC063FE"/>
    <w:rsid w:val="5DF2126E"/>
    <w:rsid w:val="5F5C1A4B"/>
    <w:rsid w:val="5F5E0EB7"/>
    <w:rsid w:val="60841FB7"/>
    <w:rsid w:val="62457F46"/>
    <w:rsid w:val="63542E45"/>
    <w:rsid w:val="63882E9D"/>
    <w:rsid w:val="63B63B30"/>
    <w:rsid w:val="64EB25CD"/>
    <w:rsid w:val="67D921A3"/>
    <w:rsid w:val="68D45976"/>
    <w:rsid w:val="69B3768F"/>
    <w:rsid w:val="6A6F51E6"/>
    <w:rsid w:val="6B1019C9"/>
    <w:rsid w:val="6CCE34D1"/>
    <w:rsid w:val="6E2E0BF9"/>
    <w:rsid w:val="6ED45E67"/>
    <w:rsid w:val="6F344052"/>
    <w:rsid w:val="6FF10854"/>
    <w:rsid w:val="7148096B"/>
    <w:rsid w:val="71823502"/>
    <w:rsid w:val="72D867E2"/>
    <w:rsid w:val="78E14A7F"/>
    <w:rsid w:val="7BFC19D1"/>
    <w:rsid w:val="7DA54A8A"/>
    <w:rsid w:val="7E420929"/>
    <w:rsid w:val="7EA8342D"/>
    <w:rsid w:val="7EB9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1"/>
    <w:qFormat/>
    <w:uiPriority w:val="0"/>
    <w:pPr>
      <w:keepNext/>
      <w:keepLines/>
      <w:spacing w:before="260" w:after="260" w:line="416" w:lineRule="atLeast"/>
      <w:jc w:val="left"/>
      <w:outlineLvl w:val="1"/>
    </w:pPr>
    <w:rPr>
      <w:rFonts w:ascii="Arial" w:hAnsi="Arial" w:eastAsia="黑体"/>
      <w:b/>
      <w:spacing w:val="10"/>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Calibri" w:hAnsi="Calibri"/>
    </w:rPr>
  </w:style>
  <w:style w:type="paragraph" w:styleId="5">
    <w:name w:val="Plain Text"/>
    <w:basedOn w:val="1"/>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Continue 2"/>
    <w:basedOn w:val="1"/>
    <w:unhideWhenUsed/>
    <w:qFormat/>
    <w:uiPriority w:val="99"/>
    <w:pPr>
      <w:spacing w:after="120"/>
      <w:ind w:left="840" w:leftChars="400"/>
    </w:p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Char"/>
    <w:basedOn w:val="13"/>
    <w:link w:val="6"/>
    <w:semiHidden/>
    <w:qFormat/>
    <w:uiPriority w:val="99"/>
    <w:rPr>
      <w:kern w:val="2"/>
      <w:sz w:val="18"/>
      <w:szCs w:val="18"/>
    </w:rPr>
  </w:style>
  <w:style w:type="paragraph" w:customStyle="1" w:styleId="15">
    <w:name w:val="1"/>
    <w:basedOn w:val="1"/>
    <w:next w:val="4"/>
    <w:qFormat/>
    <w:uiPriority w:val="0"/>
    <w:pPr>
      <w:spacing w:line="360" w:lineRule="exact"/>
    </w:pPr>
    <w:rPr>
      <w:rFonts w:ascii="Calibri" w:hAnsi="Calibri"/>
    </w:rPr>
  </w:style>
  <w:style w:type="paragraph" w:customStyle="1" w:styleId="16">
    <w:name w:val="标题 2 居中"/>
    <w:basedOn w:val="2"/>
    <w:qFormat/>
    <w:uiPriority w:val="0"/>
    <w:pPr>
      <w:jc w:val="center"/>
    </w:pPr>
    <w:rPr>
      <w:rFonts w:ascii="宋体" w:hAnsi="宋体"/>
    </w:r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StarOrigin</Company>
  <Pages>22</Pages>
  <Words>1860</Words>
  <Characters>10606</Characters>
  <Lines>88</Lines>
  <Paragraphs>24</Paragraphs>
  <TotalTime>20</TotalTime>
  <ScaleCrop>false</ScaleCrop>
  <LinksUpToDate>false</LinksUpToDate>
  <CharactersWithSpaces>12442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2020-10-30T03:46:00Z</dcterms:created>
  <dc:creator>江汉林</dc:creator>
  <cp:lastModifiedBy>草木深</cp:lastModifiedBy>
  <cp:lastPrinted>2021-03-30T08:43:00Z</cp:lastPrinted>
  <dcterms:modified xsi:type="dcterms:W3CDTF">2021-05-21T06:44:41Z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770A4815C0EC4B5C88E80845F6A0E324</vt:lpwstr>
  </property>
</Properties>
</file>