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同集热电</w:t>
      </w:r>
      <w:r>
        <w:rPr>
          <w:rFonts w:hint="eastAsia" w:ascii="宋体" w:hAnsi="宋体" w:cs="宋体"/>
          <w:b/>
          <w:kern w:val="0"/>
          <w:sz w:val="36"/>
          <w:szCs w:val="36"/>
        </w:rPr>
        <w:t>碳酸钙（石灰石粉）</w:t>
      </w:r>
      <w:r>
        <w:rPr>
          <w:rFonts w:hint="eastAsia"/>
          <w:b/>
          <w:sz w:val="36"/>
          <w:szCs w:val="36"/>
        </w:rPr>
        <w:t>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default" w:eastAsiaTheme="minorEastAsia"/>
          <w:sz w:val="36"/>
          <w:szCs w:val="36"/>
          <w:lang w:val="en-US" w:eastAsia="zh-CN"/>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rPr>
        <w:t>3-</w:t>
      </w:r>
      <w:r>
        <w:rPr>
          <w:rFonts w:hint="eastAsia"/>
          <w:sz w:val="36"/>
          <w:szCs w:val="36"/>
          <w:lang w:val="en-US" w:eastAsia="zh-CN"/>
        </w:rPr>
        <w:t>26</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rPr>
        <w:t>3年</w:t>
      </w:r>
      <w:r>
        <w:rPr>
          <w:rFonts w:hint="eastAsia"/>
          <w:sz w:val="36"/>
          <w:szCs w:val="36"/>
          <w:lang w:val="en-US" w:eastAsia="zh-CN"/>
        </w:rPr>
        <w:t>8</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同集热电</w:t>
      </w:r>
      <w:r>
        <w:rPr>
          <w:rFonts w:hint="eastAsia" w:ascii="宋体" w:hAnsi="宋体" w:eastAsia="宋体" w:cs="宋体"/>
          <w:color w:val="3A3A3A"/>
          <w:kern w:val="0"/>
          <w:sz w:val="24"/>
          <w:szCs w:val="24"/>
        </w:rPr>
        <w:t>）环保需求，现进行</w:t>
      </w:r>
      <w:r>
        <w:rPr>
          <w:rFonts w:ascii="宋体" w:hAnsi="宋体" w:eastAsia="宋体" w:cs="宋体"/>
          <w:b/>
          <w:color w:val="3A3A3A"/>
          <w:kern w:val="0"/>
          <w:sz w:val="24"/>
          <w:szCs w:val="24"/>
          <w:u w:val="single"/>
        </w:rPr>
        <w:t>202</w:t>
      </w:r>
      <w:r>
        <w:rPr>
          <w:rFonts w:hint="eastAsia" w:ascii="宋体" w:hAnsi="宋体" w:eastAsia="宋体" w:cs="宋体"/>
          <w:b/>
          <w:color w:val="3A3A3A"/>
          <w:kern w:val="0"/>
          <w:sz w:val="24"/>
          <w:szCs w:val="24"/>
          <w:u w:val="single"/>
        </w:rPr>
        <w:t>3年</w:t>
      </w:r>
      <w:r>
        <w:rPr>
          <w:rFonts w:hint="eastAsia" w:ascii="宋体" w:hAnsi="宋体" w:eastAsia="宋体" w:cs="宋体"/>
          <w:b/>
          <w:color w:val="3A3A3A"/>
          <w:kern w:val="0"/>
          <w:sz w:val="24"/>
          <w:szCs w:val="24"/>
          <w:u w:val="single"/>
          <w:lang w:val="en-US" w:eastAsia="zh-CN"/>
        </w:rPr>
        <w:t>9</w:t>
      </w:r>
      <w:r>
        <w:rPr>
          <w:rFonts w:hint="eastAsia" w:ascii="宋体" w:hAnsi="宋体" w:eastAsia="宋体" w:cs="宋体"/>
          <w:b/>
          <w:color w:val="3A3A3A"/>
          <w:kern w:val="0"/>
          <w:sz w:val="24"/>
          <w:szCs w:val="24"/>
          <w:u w:val="single"/>
        </w:rPr>
        <w:t>月26日---202</w:t>
      </w:r>
      <w:r>
        <w:rPr>
          <w:rFonts w:hint="eastAsia" w:ascii="宋体" w:hAnsi="宋体" w:eastAsia="宋体" w:cs="宋体"/>
          <w:b/>
          <w:color w:val="3A3A3A"/>
          <w:kern w:val="0"/>
          <w:sz w:val="24"/>
          <w:szCs w:val="24"/>
          <w:u w:val="single"/>
          <w:lang w:val="en-US" w:eastAsia="zh-CN"/>
        </w:rPr>
        <w:t>4</w:t>
      </w:r>
      <w:r>
        <w:rPr>
          <w:rFonts w:hint="eastAsia" w:ascii="宋体" w:hAnsi="宋体" w:eastAsia="宋体" w:cs="宋体"/>
          <w:b/>
          <w:color w:val="3A3A3A"/>
          <w:kern w:val="0"/>
          <w:sz w:val="24"/>
          <w:szCs w:val="24"/>
          <w:u w:val="single"/>
        </w:rPr>
        <w:t>年</w:t>
      </w:r>
      <w:r>
        <w:rPr>
          <w:rFonts w:hint="eastAsia" w:ascii="宋体" w:hAnsi="宋体" w:eastAsia="宋体" w:cs="宋体"/>
          <w:b/>
          <w:color w:val="3A3A3A"/>
          <w:kern w:val="0"/>
          <w:sz w:val="24"/>
          <w:szCs w:val="24"/>
          <w:u w:val="single"/>
          <w:lang w:val="en-US" w:eastAsia="zh-CN"/>
        </w:rPr>
        <w:t>3</w:t>
      </w:r>
      <w:r>
        <w:rPr>
          <w:rFonts w:hint="eastAsia" w:ascii="宋体" w:hAnsi="宋体" w:eastAsia="宋体" w:cs="宋体"/>
          <w:b/>
          <w:color w:val="3A3A3A"/>
          <w:kern w:val="0"/>
          <w:sz w:val="24"/>
          <w:szCs w:val="24"/>
          <w:u w:val="single"/>
        </w:rPr>
        <w:t>月25日</w:t>
      </w:r>
      <w:r>
        <w:rPr>
          <w:rFonts w:hint="eastAsia" w:ascii="宋体" w:hAnsi="宋体" w:cs="宋体"/>
          <w:kern w:val="0"/>
          <w:sz w:val="24"/>
          <w:szCs w:val="24"/>
        </w:rPr>
        <w:t>碳酸钙（石灰石粉）</w:t>
      </w:r>
      <w:r>
        <w:rPr>
          <w:rFonts w:hint="eastAsia" w:ascii="宋体" w:hAnsi="宋体" w:eastAsia="宋体" w:cs="宋体"/>
          <w:color w:val="3A3A3A"/>
          <w:kern w:val="0"/>
          <w:sz w:val="24"/>
          <w:szCs w:val="24"/>
        </w:rPr>
        <w:t>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同集</w:t>
      </w:r>
      <w:r>
        <w:rPr>
          <w:rFonts w:ascii="宋体" w:hAnsi="宋体" w:eastAsia="宋体" w:cs="宋体"/>
          <w:color w:val="3A3A3A"/>
          <w:kern w:val="0"/>
          <w:sz w:val="24"/>
          <w:szCs w:val="24"/>
        </w:rPr>
        <w:t>热电</w:t>
      </w:r>
      <w:r>
        <w:rPr>
          <w:rFonts w:hint="eastAsia" w:ascii="宋体" w:hAnsi="宋体" w:cs="宋体"/>
          <w:kern w:val="0"/>
          <w:sz w:val="24"/>
          <w:szCs w:val="24"/>
        </w:rPr>
        <w:t>碳酸钙（石灰石粉）</w:t>
      </w:r>
      <w:r>
        <w:rPr>
          <w:rFonts w:ascii="宋体" w:hAnsi="宋体" w:eastAsia="宋体" w:cs="宋体"/>
          <w:b/>
          <w:color w:val="3A3A3A"/>
          <w:kern w:val="0"/>
          <w:sz w:val="24"/>
          <w:szCs w:val="24"/>
        </w:rPr>
        <w:t>采购</w:t>
      </w:r>
    </w:p>
    <w:p>
      <w:pPr>
        <w:spacing w:line="480" w:lineRule="auto"/>
        <w:jc w:val="left"/>
        <w:rPr>
          <w:rFonts w:asciiTheme="minorEastAsia" w:hAnsiTheme="minorEastAsia"/>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Theme="minorEastAsia" w:hAnsiTheme="minorEastAsia"/>
          <w:sz w:val="24"/>
          <w:szCs w:val="24"/>
        </w:rPr>
        <w:t>厦门市同安区美禾三路399号（</w:t>
      </w:r>
      <w:r>
        <w:rPr>
          <w:rFonts w:asciiTheme="minorEastAsia" w:hAnsiTheme="minorEastAsia"/>
          <w:sz w:val="24"/>
          <w:szCs w:val="24"/>
        </w:rPr>
        <w:t>厦门同集热电有限公司）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伍仟元整（¥</w:t>
      </w:r>
      <w:r>
        <w:rPr>
          <w:rFonts w:ascii="宋体" w:hAnsi="宋体" w:eastAsia="宋体" w:cs="宋体"/>
          <w:b/>
          <w:kern w:val="0"/>
          <w:sz w:val="24"/>
          <w:szCs w:val="24"/>
        </w:rPr>
        <w:t>5000.00）</w:t>
      </w:r>
      <w:r>
        <w:rPr>
          <w:rFonts w:hint="eastAsia" w:ascii="宋体" w:hAnsi="宋体" w:eastAsia="宋体" w:cs="宋体"/>
          <w:kern w:val="0"/>
          <w:sz w:val="24"/>
          <w:szCs w:val="24"/>
        </w:rPr>
        <w:t>，</w:t>
      </w:r>
      <w:r>
        <w:rPr>
          <w:rFonts w:hint="eastAsia" w:ascii="宋体" w:hAnsi="宋体" w:eastAsia="宋体"/>
          <w:color w:val="000000" w:themeColor="text1"/>
          <w:sz w:val="24"/>
          <w:szCs w:val="24"/>
        </w:rPr>
        <w:t>未按规定提交谈判保证金的报价文件，属无效</w:t>
      </w:r>
      <w:r>
        <w:rPr>
          <w:rFonts w:ascii="宋体" w:hAnsi="宋体" w:eastAsia="宋体"/>
          <w:color w:val="000000" w:themeColor="text1"/>
          <w:sz w:val="24"/>
          <w:szCs w:val="24"/>
        </w:rPr>
        <w:t>报价文件，将不予</w:t>
      </w:r>
      <w:r>
        <w:rPr>
          <w:rFonts w:hint="eastAsia" w:ascii="宋体" w:hAnsi="宋体" w:eastAsia="宋体"/>
          <w:color w:val="000000" w:themeColor="text1"/>
          <w:sz w:val="24"/>
          <w:szCs w:val="24"/>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rPr>
        <w:t>除出现不予退还谈判保证金情形及成交供应商外的报价方谈判保证金</w:t>
      </w:r>
      <w:r>
        <w:rPr>
          <w:rFonts w:hint="eastAsia" w:ascii="宋体" w:hAnsi="宋体" w:eastAsia="宋体" w:cs="宋体"/>
          <w:color w:val="3A3A3A"/>
          <w:kern w:val="0"/>
          <w:sz w:val="24"/>
          <w:szCs w:val="24"/>
        </w:rPr>
        <w:t>，我司将在</w:t>
      </w:r>
      <w:r>
        <w:rPr>
          <w:rFonts w:hint="eastAsia" w:ascii="宋体" w:hAnsi="宋体" w:eastAsia="宋体" w:cs="宋体"/>
          <w:color w:val="3A3A3A"/>
          <w:kern w:val="0"/>
          <w:sz w:val="24"/>
          <w:szCs w:val="24"/>
          <w:lang w:val="en-US" w:eastAsia="zh-CN"/>
        </w:rPr>
        <w:t>成交公告发布</w:t>
      </w:r>
      <w:r>
        <w:rPr>
          <w:rFonts w:hint="eastAsia" w:ascii="宋体" w:hAnsi="宋体" w:eastAsia="宋体" w:cs="宋体"/>
          <w:color w:val="3A3A3A"/>
          <w:kern w:val="0"/>
          <w:sz w:val="24"/>
          <w:szCs w:val="24"/>
        </w:rPr>
        <w:t>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w:t>
      </w:r>
      <w:r>
        <w:rPr>
          <w:rFonts w:hint="eastAsia" w:ascii="宋体" w:hAnsi="宋体" w:eastAsia="宋体" w:cs="宋体"/>
          <w:b/>
          <w:color w:val="3A3A3A"/>
          <w:kern w:val="0"/>
          <w:sz w:val="24"/>
          <w:szCs w:val="24"/>
        </w:rPr>
        <w:t>石灰石粉谈判保证金</w:t>
      </w:r>
      <w:r>
        <w:rPr>
          <w:rFonts w:hint="eastAsia" w:ascii="宋体" w:hAnsi="宋体" w:eastAsia="宋体" w:cs="宋体"/>
          <w:color w:val="3A3A3A"/>
          <w:kern w:val="0"/>
          <w:sz w:val="24"/>
          <w:szCs w:val="24"/>
        </w:rPr>
        <w:t>”字样。</w:t>
      </w:r>
    </w:p>
    <w:p>
      <w:pPr>
        <w:widowControl/>
        <w:spacing w:line="480" w:lineRule="auto"/>
        <w:rPr>
          <w:rFonts w:ascii="宋体" w:hAnsi="宋体" w:eastAsia="宋体" w:cs="宋体"/>
          <w:color w:val="3A3A3A"/>
          <w:kern w:val="0"/>
          <w:sz w:val="24"/>
          <w:szCs w:val="24"/>
        </w:rPr>
      </w:pPr>
      <w:r>
        <w:rPr>
          <w:rFonts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账号：35101561001052501775   开户行：中国建设银行厦门市分行厦禾支行</w:t>
      </w:r>
    </w:p>
    <w:p>
      <w:pPr>
        <w:widowControl/>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 xml:space="preserve"> </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 </w:t>
      </w:r>
      <w:r>
        <w:rPr>
          <w:rFonts w:hint="eastAsia" w:ascii="宋体" w:hAnsi="宋体" w:eastAsia="宋体"/>
          <w:b/>
          <w:bCs/>
          <w:kern w:val="0"/>
          <w:sz w:val="24"/>
          <w:szCs w:val="24"/>
        </w:rPr>
        <w:t>日10:00</w:t>
      </w:r>
      <w:r>
        <w:rPr>
          <w:rFonts w:hint="eastAsia" w:ascii="宋体" w:hAnsi="宋体" w:eastAsia="宋体"/>
          <w:b/>
          <w:bCs/>
          <w:sz w:val="24"/>
          <w:szCs w:val="24"/>
        </w:rPr>
        <w:t>。</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3楼306室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 xml:space="preserve">9 </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5 </w:t>
      </w:r>
      <w:r>
        <w:rPr>
          <w:rFonts w:hint="eastAsia" w:ascii="宋体" w:hAnsi="宋体" w:eastAsia="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2023年</w:t>
      </w:r>
      <w:r>
        <w:rPr>
          <w:rFonts w:hint="eastAsia" w:ascii="宋体" w:hAnsi="宋体" w:eastAsia="宋体"/>
          <w:b/>
          <w:bCs/>
          <w:kern w:val="0"/>
          <w:sz w:val="24"/>
          <w:szCs w:val="24"/>
          <w:lang w:val="en-US" w:eastAsia="zh-CN"/>
        </w:rPr>
        <w:t xml:space="preserve">9 </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5 </w:t>
      </w:r>
      <w:r>
        <w:rPr>
          <w:rFonts w:hint="eastAsia" w:ascii="宋体" w:hAnsi="宋体" w:eastAsia="宋体"/>
          <w:b/>
          <w:bCs/>
          <w:kern w:val="0"/>
          <w:sz w:val="24"/>
          <w:szCs w:val="24"/>
        </w:rPr>
        <w:t>日10:00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rPr>
        <w:t>：</w:t>
      </w:r>
      <w:r>
        <w:rPr>
          <w:rFonts w:hint="eastAsia" w:ascii="宋体" w:hAnsi="宋体" w:eastAsia="宋体" w:cs="宋体"/>
          <w:kern w:val="0"/>
          <w:sz w:val="24"/>
          <w:szCs w:val="24"/>
          <w:lang w:val="en-US" w:eastAsia="zh-CN"/>
        </w:rPr>
        <w:t>本次</w:t>
      </w:r>
      <w:r>
        <w:rPr>
          <w:rFonts w:hint="eastAsia" w:ascii="宋体" w:hAnsi="宋体" w:eastAsia="宋体" w:cs="宋体"/>
          <w:kern w:val="0"/>
          <w:sz w:val="24"/>
          <w:szCs w:val="24"/>
        </w:rPr>
        <w:t>采用经评审合格且最低价成交法。如出现2家及以上价格相等，由评标小组组长随机抽取。</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联系人：</w:t>
      </w:r>
      <w:r>
        <w:rPr>
          <w:rFonts w:hint="eastAsia" w:ascii="宋体" w:hAnsi="宋体" w:eastAsia="宋体" w:cs="宋体"/>
          <w:kern w:val="0"/>
          <w:sz w:val="24"/>
          <w:szCs w:val="24"/>
        </w:rPr>
        <w:t>曾翼君</w:t>
      </w:r>
      <w:r>
        <w:rPr>
          <w:rFonts w:ascii="宋体" w:hAnsi="宋体" w:eastAsia="宋体" w:cs="宋体"/>
          <w:kern w:val="0"/>
          <w:sz w:val="24"/>
          <w:szCs w:val="24"/>
        </w:rPr>
        <w:t>（联系电话：</w:t>
      </w:r>
      <w:r>
        <w:rPr>
          <w:rFonts w:hint="eastAsia" w:ascii="宋体" w:hAnsi="宋体" w:eastAsia="宋体" w:cs="宋体"/>
          <w:kern w:val="0"/>
          <w:sz w:val="24"/>
          <w:szCs w:val="24"/>
        </w:rPr>
        <w:t>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联系人：陈何英（联系电话：0592-7396211</w:t>
      </w:r>
      <w:r>
        <w:rPr>
          <w:rFonts w:hint="eastAsia" w:ascii="宋体" w:hAnsi="宋体" w:eastAsia="宋体" w:cs="宋体"/>
          <w:kern w:val="0"/>
          <w:sz w:val="24"/>
          <w:szCs w:val="24"/>
          <w:lang w:val="en-US" w:eastAsia="zh-CN"/>
        </w:rPr>
        <w:t>/13696935672</w:t>
      </w:r>
      <w:r>
        <w:rPr>
          <w:rFonts w:hint="eastAsia" w:ascii="宋体" w:hAnsi="宋体" w:eastAsia="宋体" w:cs="宋体"/>
          <w:kern w:val="0"/>
          <w:sz w:val="24"/>
          <w:szCs w:val="24"/>
        </w:rPr>
        <w:t>）</w:t>
      </w:r>
    </w:p>
    <w:p>
      <w:pPr>
        <w:widowControl/>
        <w:spacing w:line="276" w:lineRule="auto"/>
        <w:ind w:left="1800" w:hanging="1800" w:hangingChars="75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0592-6807528</w:t>
      </w:r>
    </w:p>
    <w:p>
      <w:pPr>
        <w:widowControl/>
        <w:spacing w:line="480" w:lineRule="auto"/>
        <w:jc w:val="left"/>
        <w:rPr>
          <w:rFonts w:ascii="宋体" w:hAnsi="宋体" w:eastAsia="宋体" w:cs="宋体"/>
          <w:kern w:val="0"/>
          <w:sz w:val="24"/>
          <w:szCs w:val="24"/>
        </w:rPr>
      </w:pPr>
    </w:p>
    <w:p>
      <w:pPr>
        <w:widowControl/>
        <w:spacing w:line="276" w:lineRule="auto"/>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rPr>
        <w:t>3年</w:t>
      </w:r>
      <w:r>
        <w:rPr>
          <w:rFonts w:hint="eastAsia" w:ascii="宋体" w:hAnsi="宋体" w:eastAsia="宋体" w:cs="宋体"/>
          <w:b/>
          <w:kern w:val="0"/>
          <w:sz w:val="24"/>
          <w:szCs w:val="24"/>
          <w:lang w:val="en-US" w:eastAsia="zh-CN"/>
        </w:rPr>
        <w:t xml:space="preserve"> 8</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29</w:t>
      </w:r>
      <w:bookmarkStart w:id="72" w:name="_GoBack"/>
      <w:bookmarkEnd w:id="72"/>
      <w:r>
        <w:rPr>
          <w:rFonts w:hint="eastAsia" w:ascii="宋体" w:hAnsi="宋体" w:eastAsia="宋体" w:cs="宋体"/>
          <w:b/>
          <w:kern w:val="0"/>
          <w:sz w:val="24"/>
          <w:szCs w:val="24"/>
          <w:lang w:val="en-US" w:eastAsia="zh-CN"/>
        </w:rPr>
        <w:t xml:space="preserve">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cs="宋体"/>
          <w:b w:val="0"/>
          <w:sz w:val="24"/>
          <w:szCs w:val="24"/>
        </w:rPr>
        <w:t>碳酸钙（石灰石粉）</w:t>
      </w:r>
      <w:r>
        <w:rPr>
          <w:rFonts w:hint="eastAsia" w:ascii="宋体" w:hAnsi="宋体" w:eastAsia="宋体"/>
          <w:b w:val="0"/>
          <w:sz w:val="24"/>
          <w:szCs w:val="24"/>
        </w:rPr>
        <w:t>采购，采购方为</w:t>
      </w:r>
      <w:r>
        <w:rPr>
          <w:rFonts w:hint="eastAsia" w:ascii="宋体" w:hAnsi="宋体" w:eastAsia="宋体"/>
          <w:sz w:val="24"/>
          <w:szCs w:val="24"/>
        </w:rPr>
        <w:t>厦门同集热</w:t>
      </w:r>
      <w:r>
        <w:rPr>
          <w:rFonts w:ascii="宋体" w:hAnsi="宋体" w:eastAsia="宋体"/>
          <w:sz w:val="24"/>
          <w:szCs w:val="24"/>
        </w:rPr>
        <w:t>电</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4083811"/>
      <w:bookmarkStart w:id="2" w:name="_Toc32305_WPSOffice_Level2"/>
      <w:bookmarkStart w:id="3" w:name="_Toc293413478"/>
      <w:bookmarkStart w:id="4" w:name="_Toc24455231"/>
      <w:bookmarkStart w:id="5" w:name="_Toc514_WPSOffice_Level2"/>
      <w:bookmarkStart w:id="6" w:name="_Toc260238414"/>
      <w:bookmarkStart w:id="7" w:name="_Toc33340836"/>
      <w:bookmarkStart w:id="8" w:name="_Toc32472_WPSOffice_Level2"/>
      <w:bookmarkStart w:id="9" w:name="_Toc229281569"/>
      <w:bookmarkStart w:id="10" w:name="_Toc260230610"/>
      <w:bookmarkStart w:id="11" w:name="_Toc23613348"/>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20923_WPSOffice_Level2"/>
      <w:bookmarkStart w:id="13" w:name="_Toc32292_WPSOffice_Level2"/>
      <w:bookmarkStart w:id="14" w:name="_Toc293413479"/>
      <w:bookmarkStart w:id="15" w:name="_Toc11355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260238416"/>
      <w:bookmarkStart w:id="17" w:name="_Toc24083813"/>
      <w:bookmarkStart w:id="18" w:name="_Toc260230612"/>
      <w:bookmarkStart w:id="19" w:name="_Toc1802_WPSOffice_Level2"/>
      <w:bookmarkStart w:id="20" w:name="_Toc12004_WPSOffice_Level2"/>
      <w:bookmarkStart w:id="21" w:name="_Toc17624_WPSOffice_Level2"/>
      <w:bookmarkStart w:id="22" w:name="_Toc293413480"/>
      <w:bookmarkStart w:id="23" w:name="_Toc229281571"/>
      <w:bookmarkStart w:id="24" w:name="_Toc24455233"/>
      <w:bookmarkStart w:id="25" w:name="_Toc33340838"/>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40899515"/>
      <w:bookmarkStart w:id="28" w:name="_Toc462647056"/>
      <w:bookmarkStart w:id="29" w:name="_Toc444614425"/>
      <w:bookmarkStart w:id="30" w:name="_Toc422906617"/>
      <w:bookmarkStart w:id="31" w:name="_Toc445748261"/>
      <w:bookmarkStart w:id="32" w:name="_Toc457383223"/>
      <w:bookmarkStart w:id="33" w:name="_Toc449635679"/>
      <w:bookmarkStart w:id="34" w:name="_Toc445991603"/>
      <w:bookmarkStart w:id="35" w:name="_Toc422416153"/>
      <w:bookmarkStart w:id="36" w:name="_Toc420577581"/>
      <w:bookmarkStart w:id="37" w:name="_Toc439661731"/>
      <w:bookmarkStart w:id="38" w:name="_Toc441500070"/>
      <w:bookmarkStart w:id="39" w:name="_Toc418522815"/>
      <w:bookmarkStart w:id="40" w:name="_Toc425266324"/>
      <w:bookmarkStart w:id="41" w:name="_Toc421773672"/>
      <w:bookmarkStart w:id="42" w:name="_Toc445901129"/>
      <w:bookmarkStart w:id="43" w:name="_Toc441224335"/>
      <w:bookmarkStart w:id="44" w:name="_Toc449373772"/>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rPr>
        <w:t>5.2.2.4成交原则：</w:t>
      </w:r>
      <w:r>
        <w:rPr>
          <w:rFonts w:hint="eastAsia" w:ascii="宋体" w:hAnsi="宋体" w:eastAsia="宋体" w:cs="宋体"/>
          <w:kern w:val="0"/>
          <w:sz w:val="24"/>
          <w:szCs w:val="24"/>
          <w:lang w:val="en-US" w:eastAsia="zh-CN"/>
        </w:rPr>
        <w:t>本次</w:t>
      </w:r>
      <w:r>
        <w:rPr>
          <w:rFonts w:hint="eastAsia" w:ascii="宋体" w:hAnsi="宋体" w:eastAsia="宋体" w:cs="宋体"/>
          <w:kern w:val="0"/>
          <w:sz w:val="24"/>
          <w:szCs w:val="24"/>
        </w:rPr>
        <w:t>采用经评审合格且最低价成交法。如出现2家及以上价格相等，由评标小组组长随机抽取。</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w:t>
      </w:r>
      <w:r>
        <w:rPr>
          <w:rFonts w:hint="eastAsia" w:ascii="宋体" w:hAnsi="宋体"/>
          <w:sz w:val="24"/>
          <w:szCs w:val="24"/>
          <w:lang w:eastAsia="zh-CN"/>
        </w:rPr>
        <w:t>，</w:t>
      </w:r>
      <w:r>
        <w:rPr>
          <w:rFonts w:hint="eastAsia" w:ascii="宋体" w:hAnsi="宋体"/>
          <w:sz w:val="24"/>
          <w:szCs w:val="24"/>
          <w:lang w:val="en-US" w:eastAsia="zh-CN"/>
        </w:rPr>
        <w:t>五个工作日内</w:t>
      </w:r>
      <w:r>
        <w:rPr>
          <w:rFonts w:hint="eastAsia" w:ascii="宋体" w:hAnsi="宋体"/>
          <w:sz w:val="24"/>
          <w:szCs w:val="24"/>
        </w:rPr>
        <w:t>与采购方尽快签订合同，采购方和成交供应商不得另行订立背离合同实质性内容的其它协议。</w:t>
      </w:r>
    </w:p>
    <w:p>
      <w:pPr>
        <w:pStyle w:val="2"/>
        <w:keepNext w:val="0"/>
        <w:keepLines w:val="0"/>
        <w:spacing w:before="0" w:after="0" w:line="480" w:lineRule="auto"/>
        <w:jc w:val="both"/>
        <w:textAlignment w:val="auto"/>
        <w:rPr>
          <w:rFonts w:ascii="宋体" w:hAnsi="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r>
        <w:rPr>
          <w:rFonts w:hint="eastAsia" w:ascii="宋体" w:hAnsi="宋体"/>
          <w:b w:val="0"/>
          <w:sz w:val="24"/>
          <w:szCs w:val="24"/>
        </w:rPr>
        <w:t>。</w:t>
      </w:r>
    </w:p>
    <w:p>
      <w:pPr>
        <w:widowControl/>
        <w:jc w:val="left"/>
        <w:rPr>
          <w:rFonts w:ascii="宋体" w:hAnsi="宋体" w:eastAsia="黑体" w:cs="Times New Roman"/>
          <w:spacing w:val="10"/>
          <w:kern w:val="0"/>
          <w:sz w:val="24"/>
          <w:szCs w:val="24"/>
        </w:rPr>
      </w:pPr>
      <w:r>
        <w:rPr>
          <w:rFonts w:ascii="宋体" w:hAnsi="宋体"/>
          <w:b/>
          <w:sz w:val="24"/>
          <w:szCs w:val="24"/>
        </w:rPr>
        <w:br w:type="page"/>
      </w: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同集热电</w:t>
      </w:r>
      <w:r>
        <w:rPr>
          <w:rFonts w:hint="eastAsia" w:ascii="宋体" w:hAnsi="宋体" w:eastAsia="宋体" w:cs="宋体"/>
          <w:color w:val="3A3A3A"/>
          <w:kern w:val="0"/>
          <w:sz w:val="24"/>
          <w:szCs w:val="24"/>
        </w:rPr>
        <w:t>）环保需求，现进行</w:t>
      </w:r>
      <w:r>
        <w:rPr>
          <w:rFonts w:hint="eastAsia" w:ascii="宋体" w:hAnsi="宋体" w:cs="宋体"/>
          <w:kern w:val="0"/>
          <w:sz w:val="24"/>
          <w:szCs w:val="24"/>
        </w:rPr>
        <w:t>碳酸钙（石灰石粉）</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480" w:lineRule="auto"/>
        <w:rPr>
          <w:rFonts w:ascii="宋体" w:hAnsi="宋体" w:cs="宋体"/>
          <w:kern w:val="0"/>
          <w:sz w:val="24"/>
          <w:szCs w:val="24"/>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rPr>
        <w:t>项目名称：同集热电</w:t>
      </w:r>
      <w:r>
        <w:rPr>
          <w:rFonts w:hint="eastAsia" w:ascii="宋体" w:hAnsi="宋体" w:cs="宋体"/>
          <w:kern w:val="0"/>
          <w:sz w:val="24"/>
          <w:szCs w:val="24"/>
        </w:rPr>
        <w:t>碳酸钙（石灰石粉）</w:t>
      </w:r>
    </w:p>
    <w:p>
      <w:pPr>
        <w:spacing w:line="480" w:lineRule="auto"/>
        <w:rPr>
          <w:rFonts w:ascii="宋体" w:hAnsi="宋体" w:cs="宋体"/>
          <w:kern w:val="0"/>
          <w:sz w:val="24"/>
        </w:rPr>
      </w:pPr>
      <w:r>
        <w:rPr>
          <w:rFonts w:hint="eastAsia" w:ascii="宋体" w:hAnsi="宋体" w:eastAsia="宋体" w:cs="宋体"/>
          <w:color w:val="000000" w:themeColor="text1"/>
          <w:kern w:val="0"/>
          <w:sz w:val="24"/>
          <w:szCs w:val="24"/>
        </w:rPr>
        <w:t>2.2</w:t>
      </w:r>
      <w:r>
        <w:rPr>
          <w:rFonts w:hint="eastAsia" w:ascii="宋体" w:hAnsi="宋体" w:cs="宋体"/>
          <w:kern w:val="0"/>
          <w:sz w:val="24"/>
        </w:rPr>
        <w:t>项目名称、品质和数量</w:t>
      </w:r>
    </w:p>
    <w:tbl>
      <w:tblPr>
        <w:tblStyle w:val="11"/>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85"/>
        <w:gridCol w:w="4877"/>
        <w:gridCol w:w="21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jc w:val="center"/>
        </w:trPr>
        <w:tc>
          <w:tcPr>
            <w:tcW w:w="1585"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物品名称</w:t>
            </w:r>
          </w:p>
        </w:tc>
        <w:tc>
          <w:tcPr>
            <w:tcW w:w="487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规格</w:t>
            </w:r>
          </w:p>
        </w:tc>
        <w:tc>
          <w:tcPr>
            <w:tcW w:w="2151"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数量(吨)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585"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碳酸钙（石灰石粉）</w:t>
            </w:r>
          </w:p>
        </w:tc>
        <w:tc>
          <w:tcPr>
            <w:tcW w:w="487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CaCO3≥90 %，水分≤0.8%，粒度要求：0~1.67mm，25%≤(45µm），85%≤(500µm)。</w:t>
            </w:r>
          </w:p>
        </w:tc>
        <w:tc>
          <w:tcPr>
            <w:tcW w:w="2151"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1000</w:t>
            </w:r>
          </w:p>
        </w:tc>
      </w:tr>
    </w:tbl>
    <w:p>
      <w:pPr>
        <w:widowControl/>
        <w:spacing w:line="276" w:lineRule="auto"/>
        <w:rPr>
          <w:rFonts w:ascii="宋体" w:hAnsi="宋体" w:eastAsia="宋体"/>
          <w:sz w:val="24"/>
          <w:szCs w:val="24"/>
        </w:rPr>
      </w:pPr>
      <w:r>
        <w:rPr>
          <w:rFonts w:hint="eastAsia" w:ascii="宋体" w:hAnsi="宋体" w:eastAsia="宋体"/>
          <w:sz w:val="24"/>
          <w:szCs w:val="24"/>
        </w:rPr>
        <w:t>2.3</w:t>
      </w:r>
      <w:r>
        <w:rPr>
          <w:rFonts w:hint="eastAsia" w:ascii="宋体" w:hAnsi="宋体" w:cs="宋体"/>
          <w:kern w:val="0"/>
          <w:sz w:val="24"/>
        </w:rPr>
        <w:t>供货时间：20</w:t>
      </w:r>
      <w:r>
        <w:rPr>
          <w:rFonts w:ascii="宋体" w:hAnsi="宋体" w:cs="宋体"/>
          <w:kern w:val="0"/>
          <w:sz w:val="24"/>
        </w:rPr>
        <w:t>2</w:t>
      </w:r>
      <w:r>
        <w:rPr>
          <w:rFonts w:hint="eastAsia" w:ascii="宋体" w:hAnsi="宋体" w:cs="宋体"/>
          <w:kern w:val="0"/>
          <w:sz w:val="24"/>
        </w:rPr>
        <w:t>3年</w:t>
      </w:r>
      <w:r>
        <w:rPr>
          <w:rFonts w:hint="eastAsia" w:ascii="宋体" w:hAnsi="宋体" w:cs="宋体"/>
          <w:kern w:val="0"/>
          <w:sz w:val="24"/>
          <w:lang w:val="en-US" w:eastAsia="zh-CN"/>
        </w:rPr>
        <w:t>9</w:t>
      </w:r>
      <w:r>
        <w:rPr>
          <w:rFonts w:hint="eastAsia" w:ascii="宋体" w:hAnsi="宋体" w:cs="宋体"/>
          <w:kern w:val="0"/>
          <w:sz w:val="24"/>
        </w:rPr>
        <w:t>月26日～20</w:t>
      </w:r>
      <w:r>
        <w:rPr>
          <w:rFonts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年</w:t>
      </w:r>
      <w:r>
        <w:rPr>
          <w:rFonts w:hint="eastAsia" w:ascii="宋体" w:hAnsi="宋体" w:cs="宋体"/>
          <w:kern w:val="0"/>
          <w:sz w:val="24"/>
          <w:lang w:val="en-US" w:eastAsia="zh-CN"/>
        </w:rPr>
        <w:t>3</w:t>
      </w:r>
      <w:r>
        <w:rPr>
          <w:rFonts w:hint="eastAsia" w:ascii="宋体" w:hAnsi="宋体" w:cs="宋体"/>
          <w:kern w:val="0"/>
          <w:sz w:val="24"/>
        </w:rPr>
        <w:t>月25日，以我司热电企业通知为准，</w:t>
      </w:r>
      <w:r>
        <w:rPr>
          <w:rFonts w:ascii="宋体" w:hAnsi="宋体" w:cs="宋体"/>
          <w:kern w:val="0"/>
          <w:sz w:val="24"/>
        </w:rPr>
        <w:t>分批</w:t>
      </w:r>
      <w:r>
        <w:rPr>
          <w:rFonts w:hint="eastAsia" w:ascii="宋体" w:hAnsi="宋体" w:cs="宋体"/>
          <w:kern w:val="0"/>
          <w:sz w:val="24"/>
        </w:rPr>
        <w:t>次供应、</w:t>
      </w:r>
      <w:r>
        <w:rPr>
          <w:rFonts w:ascii="宋体" w:hAnsi="宋体"/>
          <w:sz w:val="24"/>
        </w:rPr>
        <w:t>每</w:t>
      </w:r>
      <w:r>
        <w:rPr>
          <w:rFonts w:hint="eastAsia" w:ascii="宋体" w:hAnsi="宋体"/>
          <w:sz w:val="24"/>
        </w:rPr>
        <w:t>次</w:t>
      </w:r>
      <w:r>
        <w:rPr>
          <w:rFonts w:ascii="宋体" w:hAnsi="宋体"/>
          <w:sz w:val="24"/>
        </w:rPr>
        <w:t>约</w:t>
      </w:r>
      <w:r>
        <w:rPr>
          <w:rFonts w:hint="eastAsia" w:ascii="宋体" w:hAnsi="宋体"/>
          <w:sz w:val="24"/>
        </w:rPr>
        <w:t>30吨</w:t>
      </w:r>
      <w:r>
        <w:rPr>
          <w:rFonts w:hint="eastAsia" w:ascii="宋体" w:hAnsi="宋体" w:cs="宋体"/>
          <w:kern w:val="0"/>
          <w:sz w:val="24"/>
        </w:rPr>
        <w:t>。</w:t>
      </w:r>
    </w:p>
    <w:p>
      <w:pPr>
        <w:widowControl/>
        <w:spacing w:line="276" w:lineRule="auto"/>
        <w:jc w:val="left"/>
        <w:rPr>
          <w:rFonts w:ascii="宋体" w:hAnsi="宋体"/>
          <w:kern w:val="0"/>
          <w:sz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cs="宋体"/>
          <w:kern w:val="0"/>
          <w:sz w:val="24"/>
        </w:rPr>
        <w:t>运输方式及地点：</w:t>
      </w:r>
      <w:r>
        <w:rPr>
          <w:rFonts w:ascii="宋体" w:hAnsi="宋体"/>
          <w:kern w:val="0"/>
          <w:sz w:val="24"/>
        </w:rPr>
        <w:t>罐车运输，到</w:t>
      </w:r>
      <w:r>
        <w:rPr>
          <w:rFonts w:hint="eastAsia" w:asciiTheme="minorEastAsia" w:hAnsiTheme="minorEastAsia"/>
          <w:sz w:val="24"/>
          <w:szCs w:val="24"/>
        </w:rPr>
        <w:t>厦门市同安区美禾三路399号</w:t>
      </w:r>
      <w:r>
        <w:rPr>
          <w:rFonts w:hint="eastAsia" w:ascii="宋体" w:hAnsi="宋体"/>
          <w:kern w:val="0"/>
          <w:sz w:val="24"/>
        </w:rPr>
        <w:t>同集热电厂区</w:t>
      </w:r>
      <w:r>
        <w:rPr>
          <w:rFonts w:ascii="宋体" w:hAnsi="宋体"/>
          <w:kern w:val="0"/>
          <w:sz w:val="24"/>
        </w:rPr>
        <w:t>后由罐车自带泵送入</w:t>
      </w:r>
      <w:r>
        <w:rPr>
          <w:rFonts w:hint="eastAsia" w:ascii="宋体" w:hAnsi="宋体" w:cs="宋体"/>
          <w:kern w:val="0"/>
          <w:sz w:val="24"/>
        </w:rPr>
        <w:t>指定仓储罐</w:t>
      </w:r>
      <w:r>
        <w:rPr>
          <w:rFonts w:ascii="宋体" w:hAnsi="宋体"/>
          <w:kern w:val="0"/>
          <w:sz w:val="24"/>
        </w:rPr>
        <w:t>。</w:t>
      </w:r>
    </w:p>
    <w:p>
      <w:pPr>
        <w:widowControl/>
        <w:spacing w:line="276" w:lineRule="auto"/>
        <w:rPr>
          <w:rFonts w:ascii="宋体" w:hAnsi="宋体" w:cs="宋体"/>
          <w:kern w:val="0"/>
          <w:sz w:val="24"/>
        </w:rPr>
      </w:pPr>
      <w:r>
        <w:rPr>
          <w:rFonts w:ascii="宋体" w:hAnsi="宋体" w:eastAsia="宋体"/>
          <w:sz w:val="24"/>
          <w:szCs w:val="24"/>
        </w:rPr>
        <w:t>3</w:t>
      </w:r>
      <w:r>
        <w:rPr>
          <w:rFonts w:hint="eastAsia" w:ascii="宋体" w:hAnsi="宋体" w:cs="宋体"/>
          <w:kern w:val="0"/>
          <w:sz w:val="24"/>
        </w:rPr>
        <w:t>验收方式</w:t>
      </w:r>
    </w:p>
    <w:p>
      <w:pPr>
        <w:widowControl/>
        <w:spacing w:line="276" w:lineRule="auto"/>
        <w:rPr>
          <w:rFonts w:ascii="宋体" w:hAnsi="宋体"/>
          <w:sz w:val="24"/>
        </w:rPr>
      </w:pPr>
      <w:r>
        <w:rPr>
          <w:rFonts w:ascii="宋体" w:hAnsi="宋体" w:cs="宋体"/>
          <w:kern w:val="0"/>
          <w:sz w:val="24"/>
        </w:rPr>
        <w:t>3.1</w:t>
      </w:r>
      <w:r>
        <w:rPr>
          <w:rFonts w:hint="eastAsia" w:ascii="宋体" w:hAnsi="宋体"/>
          <w:sz w:val="24"/>
        </w:rPr>
        <w:t>数量验收：以我</w:t>
      </w:r>
      <w:r>
        <w:rPr>
          <w:rFonts w:hint="eastAsia" w:ascii="宋体" w:hAnsi="宋体" w:cs="宋体"/>
          <w:kern w:val="0"/>
          <w:sz w:val="24"/>
        </w:rPr>
        <w:t>司</w:t>
      </w:r>
      <w:r>
        <w:rPr>
          <w:rFonts w:hint="eastAsia" w:ascii="宋体" w:hAnsi="宋体"/>
          <w:sz w:val="24"/>
        </w:rPr>
        <w:t>热电厂内电子汽车衡的计量数据为准，并作为结算依据。</w:t>
      </w:r>
    </w:p>
    <w:p>
      <w:pPr>
        <w:widowControl/>
        <w:spacing w:line="276" w:lineRule="auto"/>
        <w:jc w:val="left"/>
        <w:rPr>
          <w:rFonts w:ascii="宋体" w:hAnsi="宋体"/>
          <w:sz w:val="24"/>
        </w:rPr>
      </w:pPr>
      <w:r>
        <w:rPr>
          <w:rFonts w:ascii="宋体" w:hAnsi="宋体"/>
          <w:sz w:val="24"/>
        </w:rPr>
        <w:t>3.2</w:t>
      </w:r>
      <w:r>
        <w:rPr>
          <w:rFonts w:hint="eastAsia" w:ascii="宋体" w:hAnsi="宋体"/>
          <w:sz w:val="24"/>
        </w:rPr>
        <w:t>质量验收：由我</w:t>
      </w:r>
      <w:r>
        <w:rPr>
          <w:rFonts w:hint="eastAsia" w:ascii="宋体" w:hAnsi="宋体" w:cs="宋体"/>
          <w:kern w:val="0"/>
          <w:sz w:val="24"/>
        </w:rPr>
        <w:t>司</w:t>
      </w:r>
      <w:r>
        <w:rPr>
          <w:rFonts w:hint="eastAsia" w:ascii="宋体" w:hAnsi="宋体"/>
          <w:sz w:val="24"/>
        </w:rPr>
        <w:t>按照现有的设备对所取样品进行化验，并以化验结果作为结算依据。</w:t>
      </w:r>
    </w:p>
    <w:p>
      <w:pPr>
        <w:widowControl/>
        <w:spacing w:line="276" w:lineRule="auto"/>
        <w:jc w:val="left"/>
        <w:rPr>
          <w:rFonts w:ascii="宋体" w:hAnsi="宋体"/>
          <w:sz w:val="24"/>
        </w:rPr>
      </w:pPr>
      <w:r>
        <w:rPr>
          <w:rFonts w:ascii="宋体" w:hAnsi="宋体"/>
          <w:sz w:val="24"/>
        </w:rPr>
        <w:t>4</w:t>
      </w:r>
      <w:r>
        <w:rPr>
          <w:rFonts w:hint="eastAsia" w:ascii="宋体" w:hAnsi="宋体"/>
          <w:sz w:val="24"/>
        </w:rPr>
        <w:t>考核指标</w:t>
      </w:r>
    </w:p>
    <w:p>
      <w:pPr>
        <w:widowControl/>
        <w:spacing w:line="276" w:lineRule="auto"/>
        <w:jc w:val="left"/>
        <w:rPr>
          <w:rFonts w:ascii="宋体" w:hAnsi="宋体"/>
          <w:sz w:val="24"/>
        </w:rPr>
      </w:pPr>
      <w:r>
        <w:rPr>
          <w:rFonts w:ascii="宋体" w:hAnsi="宋体"/>
          <w:sz w:val="24"/>
        </w:rPr>
        <w:t>4.</w:t>
      </w:r>
      <w:r>
        <w:rPr>
          <w:rFonts w:hint="eastAsia" w:ascii="宋体" w:hAnsi="宋体"/>
          <w:sz w:val="24"/>
        </w:rPr>
        <w:t>1</w:t>
      </w:r>
      <w:r>
        <w:rPr>
          <w:rFonts w:hint="eastAsia" w:ascii="宋体" w:hAnsi="宋体" w:eastAsia="宋体" w:cs="Times New Roman"/>
          <w:sz w:val="24"/>
          <w:szCs w:val="24"/>
        </w:rPr>
        <w:t>碳酸钙含量（CaCO</w:t>
      </w:r>
      <w:r>
        <w:rPr>
          <w:rFonts w:hint="eastAsia" w:ascii="宋体" w:hAnsi="宋体" w:eastAsia="宋体" w:cs="Times New Roman"/>
          <w:sz w:val="24"/>
          <w:szCs w:val="24"/>
          <w:vertAlign w:val="subscript"/>
        </w:rPr>
        <w:t>3</w:t>
      </w:r>
      <w:r>
        <w:rPr>
          <w:rFonts w:hint="eastAsia" w:ascii="宋体" w:hAnsi="宋体" w:eastAsia="宋体" w:cs="Times New Roman"/>
          <w:sz w:val="24"/>
          <w:szCs w:val="24"/>
        </w:rPr>
        <w:t>）单样≥92.0%：基价+5（元/吨）；90.0%≤单样＜92.0%：不奖不扣</w:t>
      </w:r>
      <w:r>
        <w:rPr>
          <w:rFonts w:ascii="宋体" w:hAnsi="宋体" w:eastAsia="宋体" w:cs="Times New Roman"/>
          <w:sz w:val="24"/>
          <w:szCs w:val="24"/>
        </w:rPr>
        <w:t>；</w:t>
      </w:r>
      <w:r>
        <w:rPr>
          <w:rFonts w:hint="eastAsia" w:ascii="宋体" w:hAnsi="宋体" w:eastAsia="宋体" w:cs="Times New Roman"/>
          <w:sz w:val="24"/>
          <w:szCs w:val="24"/>
        </w:rPr>
        <w:t>87.0%≤单样＜90.0%：基价+[(单样-90%）*300]（元/吨）；85.0%≤单样＜</w:t>
      </w:r>
      <w:r>
        <w:rPr>
          <w:rFonts w:ascii="宋体" w:hAnsi="宋体" w:eastAsia="宋体" w:cs="Times New Roman"/>
          <w:sz w:val="24"/>
          <w:szCs w:val="24"/>
        </w:rPr>
        <w:t>87</w:t>
      </w:r>
      <w:r>
        <w:rPr>
          <w:rFonts w:hint="eastAsia" w:ascii="宋体" w:hAnsi="宋体" w:eastAsia="宋体" w:cs="Times New Roman"/>
          <w:sz w:val="24"/>
          <w:szCs w:val="24"/>
        </w:rPr>
        <w:t>.0%：基价+[(单样-9</w:t>
      </w:r>
      <w:r>
        <w:rPr>
          <w:rFonts w:ascii="宋体" w:hAnsi="宋体" w:eastAsia="宋体" w:cs="Times New Roman"/>
          <w:sz w:val="24"/>
          <w:szCs w:val="24"/>
        </w:rPr>
        <w:t>0</w:t>
      </w:r>
      <w:r>
        <w:rPr>
          <w:rFonts w:hint="eastAsia" w:ascii="宋体" w:hAnsi="宋体" w:eastAsia="宋体" w:cs="Times New Roman"/>
          <w:sz w:val="24"/>
          <w:szCs w:val="24"/>
        </w:rPr>
        <w:t>%）*</w:t>
      </w:r>
      <w:r>
        <w:rPr>
          <w:rFonts w:ascii="宋体" w:hAnsi="宋体" w:eastAsia="宋体" w:cs="Times New Roman"/>
          <w:sz w:val="24"/>
          <w:szCs w:val="24"/>
        </w:rPr>
        <w:t>5</w:t>
      </w:r>
      <w:r>
        <w:rPr>
          <w:rFonts w:hint="eastAsia" w:ascii="宋体" w:hAnsi="宋体" w:eastAsia="宋体" w:cs="Times New Roman"/>
          <w:sz w:val="24"/>
          <w:szCs w:val="24"/>
        </w:rPr>
        <w:t>00]（元/吨）；单样＜85.0%：基价*50%（元/吨）。</w:t>
      </w:r>
    </w:p>
    <w:p>
      <w:pPr>
        <w:widowControl/>
        <w:spacing w:line="276" w:lineRule="auto"/>
        <w:jc w:val="left"/>
        <w:rPr>
          <w:rFonts w:ascii="宋体" w:hAnsi="宋体"/>
          <w:sz w:val="24"/>
        </w:rPr>
      </w:pPr>
      <w:r>
        <w:rPr>
          <w:rFonts w:hint="eastAsia" w:ascii="宋体" w:hAnsi="宋体"/>
          <w:sz w:val="24"/>
        </w:rPr>
        <w:t>4.2</w:t>
      </w:r>
      <w:r>
        <w:rPr>
          <w:rFonts w:hint="eastAsia" w:ascii="宋体" w:hAnsi="宋体" w:eastAsia="宋体" w:cs="Times New Roman"/>
          <w:sz w:val="24"/>
          <w:szCs w:val="24"/>
        </w:rPr>
        <w:t>含水≥0.</w:t>
      </w:r>
      <w:r>
        <w:rPr>
          <w:rFonts w:ascii="宋体" w:hAnsi="宋体" w:eastAsia="宋体" w:cs="Times New Roman"/>
          <w:sz w:val="24"/>
          <w:szCs w:val="24"/>
        </w:rPr>
        <w:t>8</w:t>
      </w:r>
      <w:r>
        <w:rPr>
          <w:rFonts w:hint="eastAsia" w:ascii="宋体" w:hAnsi="宋体" w:eastAsia="宋体" w:cs="Times New Roman"/>
          <w:sz w:val="24"/>
          <w:szCs w:val="24"/>
        </w:rPr>
        <w:t>%：结算量=磅量*（1-实际值）/（1-0.</w:t>
      </w:r>
      <w:r>
        <w:rPr>
          <w:rFonts w:ascii="宋体" w:hAnsi="宋体" w:eastAsia="宋体" w:cs="Times New Roman"/>
          <w:sz w:val="24"/>
          <w:szCs w:val="24"/>
        </w:rPr>
        <w:t>8</w:t>
      </w:r>
      <w:r>
        <w:rPr>
          <w:rFonts w:hint="eastAsia" w:ascii="宋体" w:hAnsi="宋体" w:eastAsia="宋体" w:cs="Times New Roman"/>
          <w:sz w:val="24"/>
          <w:szCs w:val="24"/>
        </w:rPr>
        <w:t>%）；含水＞</w:t>
      </w:r>
      <w:r>
        <w:rPr>
          <w:rFonts w:ascii="宋体" w:hAnsi="宋体" w:eastAsia="宋体" w:cs="Times New Roman"/>
          <w:sz w:val="24"/>
          <w:szCs w:val="24"/>
        </w:rPr>
        <w:t>1</w:t>
      </w:r>
      <w:r>
        <w:rPr>
          <w:rFonts w:hint="eastAsia" w:ascii="宋体" w:hAnsi="宋体" w:eastAsia="宋体" w:cs="Times New Roman"/>
          <w:sz w:val="24"/>
          <w:szCs w:val="24"/>
        </w:rPr>
        <w:t>%时，甲方可以拒收，若已打入储槽，仅付运费（相当货款45%）。</w:t>
      </w:r>
    </w:p>
    <w:p>
      <w:pPr>
        <w:widowControl/>
        <w:spacing w:line="276" w:lineRule="auto"/>
        <w:jc w:val="left"/>
        <w:rPr>
          <w:rFonts w:ascii="宋体" w:hAnsi="宋体"/>
          <w:sz w:val="24"/>
        </w:rPr>
      </w:pPr>
      <w:r>
        <w:rPr>
          <w:rFonts w:hint="eastAsia" w:ascii="Arial" w:hAnsi="Arial" w:cs="Arial"/>
          <w:color w:val="333333"/>
          <w:szCs w:val="21"/>
          <w:shd w:val="clear" w:color="auto" w:fill="FFFFFF"/>
        </w:rPr>
        <w:t>5</w:t>
      </w:r>
      <w:r>
        <w:rPr>
          <w:rFonts w:hint="eastAsia" w:ascii="宋体" w:hAnsi="宋体"/>
          <w:sz w:val="24"/>
        </w:rPr>
        <w:t>违约责任</w:t>
      </w:r>
    </w:p>
    <w:p>
      <w:pPr>
        <w:widowControl/>
        <w:spacing w:line="276" w:lineRule="auto"/>
        <w:jc w:val="left"/>
        <w:rPr>
          <w:rFonts w:ascii="宋体" w:hAnsi="宋体"/>
          <w:sz w:val="24"/>
        </w:rPr>
      </w:pPr>
      <w:r>
        <w:rPr>
          <w:rFonts w:hint="eastAsia" w:ascii="宋体" w:hAnsi="宋体"/>
          <w:sz w:val="24"/>
        </w:rPr>
        <w:t>5.1我</w:t>
      </w:r>
      <w:r>
        <w:rPr>
          <w:rFonts w:hint="eastAsia" w:ascii="宋体" w:hAnsi="宋体" w:cs="宋体"/>
          <w:kern w:val="0"/>
          <w:sz w:val="24"/>
        </w:rPr>
        <w:t>司</w:t>
      </w:r>
      <w:r>
        <w:rPr>
          <w:rFonts w:hint="eastAsia" w:ascii="宋体" w:hAnsi="宋体"/>
          <w:sz w:val="24"/>
        </w:rPr>
        <w:t>将制定相应的奖惩标准，若质量偏差较大的，我</w:t>
      </w:r>
      <w:r>
        <w:rPr>
          <w:rFonts w:hint="eastAsia" w:ascii="宋体" w:hAnsi="宋体" w:cs="宋体"/>
          <w:kern w:val="0"/>
          <w:sz w:val="24"/>
        </w:rPr>
        <w:t>司</w:t>
      </w:r>
      <w:r>
        <w:rPr>
          <w:rFonts w:hint="eastAsia" w:ascii="宋体" w:hAnsi="宋体"/>
          <w:sz w:val="24"/>
        </w:rPr>
        <w:t>有权拒收。</w:t>
      </w:r>
    </w:p>
    <w:p>
      <w:pPr>
        <w:spacing w:line="276" w:lineRule="auto"/>
        <w:rPr>
          <w:rFonts w:ascii="宋体" w:hAnsi="宋体"/>
          <w:sz w:val="24"/>
        </w:rPr>
      </w:pPr>
      <w:r>
        <w:rPr>
          <w:rFonts w:hint="eastAsia" w:ascii="宋体" w:hAnsi="宋体"/>
          <w:sz w:val="24"/>
        </w:rPr>
        <w:t>5.2</w:t>
      </w:r>
      <w:r>
        <w:rPr>
          <w:rFonts w:hint="eastAsia"/>
          <w:sz w:val="24"/>
        </w:rPr>
        <w:t>成交供应商须严格按照通知的时间和数量执行。延误交货支付违约金人民币1000元/次，延误交货造成相关生产系统停产的，根据停产时间，每天成交供应商支付违约金人民币一万元整，此款从成交供应商货款中扣除。</w:t>
      </w:r>
    </w:p>
    <w:p>
      <w:pPr>
        <w:widowControl/>
        <w:spacing w:line="276" w:lineRule="auto"/>
        <w:jc w:val="left"/>
        <w:rPr>
          <w:rFonts w:ascii="宋体" w:hAnsi="宋体"/>
          <w:sz w:val="24"/>
        </w:rPr>
      </w:pPr>
    </w:p>
    <w:p>
      <w:pPr>
        <w:widowControl/>
        <w:spacing w:line="276" w:lineRule="auto"/>
        <w:jc w:val="left"/>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8176"/>
      <w:bookmarkStart w:id="46" w:name="_Toc3940_WPSOffice_Level1"/>
      <w:bookmarkStart w:id="47" w:name="_Toc15618_WPSOffice_Level1"/>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jc w:val="center"/>
        <w:rPr>
          <w:b/>
          <w:sz w:val="32"/>
          <w:szCs w:val="32"/>
        </w:rPr>
      </w:pPr>
      <w:r>
        <w:rPr>
          <w:rFonts w:hint="eastAsia"/>
          <w:b/>
          <w:sz w:val="32"/>
          <w:szCs w:val="32"/>
        </w:rPr>
        <w:t>碳酸钙购销合同</w:t>
      </w:r>
    </w:p>
    <w:p>
      <w:pPr>
        <w:spacing w:line="360" w:lineRule="auto"/>
        <w:rPr>
          <w:rFonts w:ascii="宋体" w:hAnsi="宋体"/>
          <w:sz w:val="24"/>
        </w:rPr>
      </w:pPr>
      <w:r>
        <w:rPr>
          <w:rFonts w:hint="eastAsia" w:ascii="宋体" w:hAnsi="宋体"/>
          <w:sz w:val="24"/>
        </w:rPr>
        <w:t>甲方：厦门同集热电有限公司                 合同编号：</w:t>
      </w:r>
    </w:p>
    <w:p>
      <w:pPr>
        <w:spacing w:line="360" w:lineRule="auto"/>
        <w:rPr>
          <w:rFonts w:ascii="宋体" w:hAnsi="宋体"/>
          <w:sz w:val="24"/>
        </w:rPr>
      </w:pPr>
      <w:r>
        <w:rPr>
          <w:rFonts w:hint="eastAsia" w:ascii="宋体" w:hAnsi="宋体"/>
          <w:sz w:val="24"/>
        </w:rPr>
        <w:t>乙方：                                     签约时间：</w:t>
      </w:r>
    </w:p>
    <w:p>
      <w:pPr>
        <w:spacing w:line="360" w:lineRule="auto"/>
        <w:ind w:firstLine="480" w:firstLineChars="200"/>
        <w:rPr>
          <w:rFonts w:ascii="宋体" w:hAnsi="宋体"/>
          <w:sz w:val="24"/>
        </w:rPr>
      </w:pPr>
      <w:r>
        <w:rPr>
          <w:rFonts w:hint="eastAsia" w:ascii="宋体" w:hAnsi="宋体"/>
          <w:sz w:val="24"/>
        </w:rPr>
        <w:t>甲、乙双方经充分协商，本着自愿及平等互利的原则，订立本合同，以供双方共同遵守。</w:t>
      </w:r>
    </w:p>
    <w:p>
      <w:pPr>
        <w:spacing w:line="360" w:lineRule="auto"/>
        <w:ind w:firstLine="480" w:firstLineChars="200"/>
        <w:rPr>
          <w:rFonts w:ascii="宋体" w:hAnsi="宋体"/>
          <w:sz w:val="24"/>
        </w:rPr>
      </w:pPr>
      <w:r>
        <w:rPr>
          <w:rFonts w:hint="eastAsia" w:ascii="宋体" w:hAnsi="宋体"/>
          <w:sz w:val="24"/>
        </w:rPr>
        <w:t>一、产品名称：碳酸钙（石灰石）。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360" w:lineRule="auto"/>
        <w:ind w:firstLine="480" w:firstLineChars="200"/>
        <w:rPr>
          <w:rFonts w:ascii="宋体" w:hAnsi="宋体"/>
          <w:sz w:val="24"/>
        </w:rPr>
      </w:pPr>
      <w:r>
        <w:rPr>
          <w:rFonts w:hint="eastAsia" w:ascii="宋体" w:hAnsi="宋体"/>
          <w:sz w:val="24"/>
        </w:rPr>
        <w:t>二、数量及交货期限：</w:t>
      </w:r>
    </w:p>
    <w:p>
      <w:pPr>
        <w:spacing w:line="360" w:lineRule="auto"/>
        <w:ind w:firstLine="480" w:firstLineChars="200"/>
        <w:rPr>
          <w:rFonts w:ascii="宋体" w:hAnsi="宋体"/>
          <w:sz w:val="24"/>
        </w:rPr>
      </w:pPr>
      <w:r>
        <w:rPr>
          <w:rFonts w:hint="eastAsia" w:ascii="宋体" w:hAnsi="宋体"/>
          <w:sz w:val="24"/>
        </w:rPr>
        <w:t>1、交货期限：</w:t>
      </w:r>
      <w:r>
        <w:rPr>
          <w:rFonts w:hint="eastAsia" w:ascii="宋体"/>
          <w:sz w:val="24"/>
        </w:rPr>
        <w:t>合同有效期自</w:t>
      </w:r>
      <w:r>
        <w:rPr>
          <w:rFonts w:hint="eastAsia" w:ascii="宋体" w:hAnsi="宋体" w:cs="宋体"/>
          <w:kern w:val="0"/>
          <w:sz w:val="24"/>
          <w:highlight w:val="cyan"/>
        </w:rPr>
        <w:t>20</w:t>
      </w:r>
      <w:r>
        <w:rPr>
          <w:rFonts w:ascii="宋体" w:hAnsi="宋体" w:cs="宋体"/>
          <w:kern w:val="0"/>
          <w:sz w:val="24"/>
          <w:highlight w:val="cyan"/>
        </w:rPr>
        <w:t>2</w:t>
      </w:r>
      <w:r>
        <w:rPr>
          <w:rFonts w:hint="eastAsia" w:ascii="宋体" w:hAnsi="宋体" w:cs="宋体"/>
          <w:kern w:val="0"/>
          <w:sz w:val="24"/>
          <w:highlight w:val="cyan"/>
        </w:rPr>
        <w:t>3年</w:t>
      </w:r>
      <w:r>
        <w:rPr>
          <w:rFonts w:hint="eastAsia" w:ascii="宋体" w:hAnsi="宋体" w:cs="宋体"/>
          <w:kern w:val="0"/>
          <w:sz w:val="24"/>
          <w:highlight w:val="cyan"/>
          <w:lang w:val="en-US" w:eastAsia="zh-CN"/>
        </w:rPr>
        <w:t>9</w:t>
      </w:r>
      <w:r>
        <w:rPr>
          <w:rFonts w:hint="eastAsia" w:ascii="宋体" w:hAnsi="宋体" w:cs="宋体"/>
          <w:kern w:val="0"/>
          <w:sz w:val="24"/>
          <w:highlight w:val="cyan"/>
        </w:rPr>
        <w:t>月26日～20</w:t>
      </w:r>
      <w:r>
        <w:rPr>
          <w:rFonts w:ascii="宋体" w:hAnsi="宋体" w:cs="宋体"/>
          <w:kern w:val="0"/>
          <w:sz w:val="24"/>
          <w:highlight w:val="cyan"/>
        </w:rPr>
        <w:t>2</w:t>
      </w:r>
      <w:r>
        <w:rPr>
          <w:rFonts w:hint="eastAsia" w:ascii="宋体" w:hAnsi="宋体" w:cs="宋体"/>
          <w:kern w:val="0"/>
          <w:sz w:val="24"/>
          <w:highlight w:val="cyan"/>
          <w:lang w:val="en-US" w:eastAsia="zh-CN"/>
        </w:rPr>
        <w:t>4</w:t>
      </w:r>
      <w:r>
        <w:rPr>
          <w:rFonts w:hint="eastAsia" w:ascii="宋体" w:hAnsi="宋体" w:cs="宋体"/>
          <w:kern w:val="0"/>
          <w:sz w:val="24"/>
          <w:highlight w:val="cyan"/>
        </w:rPr>
        <w:t>年</w:t>
      </w:r>
      <w:r>
        <w:rPr>
          <w:rFonts w:hint="eastAsia" w:ascii="宋体" w:hAnsi="宋体" w:cs="宋体"/>
          <w:kern w:val="0"/>
          <w:sz w:val="24"/>
          <w:highlight w:val="cyan"/>
          <w:lang w:val="en-US" w:eastAsia="zh-CN"/>
        </w:rPr>
        <w:t>3</w:t>
      </w:r>
      <w:r>
        <w:rPr>
          <w:rFonts w:hint="eastAsia" w:ascii="宋体" w:hAnsi="宋体" w:cs="宋体"/>
          <w:kern w:val="0"/>
          <w:sz w:val="24"/>
          <w:highlight w:val="cyan"/>
        </w:rPr>
        <w:t>月25日</w:t>
      </w:r>
      <w:r>
        <w:rPr>
          <w:rFonts w:hint="eastAsia" w:ascii="宋体" w:hAnsi="宋体"/>
          <w:sz w:val="24"/>
        </w:rPr>
        <w:t>。</w:t>
      </w:r>
    </w:p>
    <w:p>
      <w:pPr>
        <w:spacing w:line="360" w:lineRule="auto"/>
        <w:ind w:firstLine="480" w:firstLineChars="200"/>
        <w:rPr>
          <w:rFonts w:ascii="宋体" w:hAnsi="宋体"/>
          <w:sz w:val="24"/>
        </w:rPr>
      </w:pPr>
      <w:r>
        <w:rPr>
          <w:rFonts w:hint="eastAsia" w:ascii="宋体" w:hAnsi="宋体"/>
          <w:sz w:val="24"/>
        </w:rPr>
        <w:t>2、数    量：约1000 吨。具体发运时间和发运数量根据甲方书面通知为准，未接通知乙方送货的，甲方有权拒绝收货，因此产生的费用和责任由乙方自行承担。若因甲方生产用量变化未使用完约定数量，以实际交货量为准。</w:t>
      </w:r>
    </w:p>
    <w:p>
      <w:pPr>
        <w:spacing w:line="360" w:lineRule="auto"/>
        <w:ind w:firstLine="480" w:firstLineChars="200"/>
        <w:rPr>
          <w:rFonts w:ascii="宋体" w:hAnsi="宋体"/>
          <w:sz w:val="24"/>
        </w:rPr>
      </w:pPr>
      <w:r>
        <w:rPr>
          <w:rFonts w:hint="eastAsia" w:ascii="宋体" w:hAnsi="宋体"/>
          <w:sz w:val="24"/>
        </w:rPr>
        <w:t>3、双方约定在乙方完成本次供货的情况下，甲方有权根据需要要求乙方增加供货数量，乙方同意并根据甲方的追加数量的书面通知书供货。</w:t>
      </w:r>
    </w:p>
    <w:p>
      <w:pPr>
        <w:spacing w:line="360" w:lineRule="auto"/>
        <w:ind w:firstLine="480" w:firstLineChars="200"/>
        <w:rPr>
          <w:rFonts w:ascii="宋体" w:hAnsi="宋体"/>
          <w:sz w:val="24"/>
        </w:rPr>
      </w:pPr>
      <w:r>
        <w:rPr>
          <w:rFonts w:hint="eastAsia" w:ascii="宋体" w:hAnsi="宋体"/>
          <w:sz w:val="24"/>
        </w:rPr>
        <w:t>三、质量验收标准：</w:t>
      </w:r>
    </w:p>
    <w:tbl>
      <w:tblPr>
        <w:tblStyle w:val="11"/>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1"/>
        <w:gridCol w:w="795"/>
        <w:gridCol w:w="2355"/>
        <w:gridCol w:w="4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381" w:type="dxa"/>
            <w:vAlign w:val="center"/>
          </w:tcPr>
          <w:p>
            <w:pPr>
              <w:spacing w:line="360" w:lineRule="auto"/>
              <w:jc w:val="center"/>
              <w:rPr>
                <w:rFonts w:ascii="宋体" w:hAnsi="宋体"/>
                <w:sz w:val="24"/>
              </w:rPr>
            </w:pPr>
          </w:p>
        </w:tc>
        <w:tc>
          <w:tcPr>
            <w:tcW w:w="795" w:type="dxa"/>
            <w:vAlign w:val="center"/>
          </w:tcPr>
          <w:p>
            <w:pPr>
              <w:spacing w:line="360" w:lineRule="auto"/>
              <w:jc w:val="center"/>
              <w:rPr>
                <w:rFonts w:ascii="宋体" w:hAnsi="宋体"/>
                <w:sz w:val="24"/>
              </w:rPr>
            </w:pPr>
            <w:r>
              <w:rPr>
                <w:rFonts w:hint="eastAsia" w:ascii="宋体" w:hAnsi="宋体"/>
                <w:sz w:val="24"/>
              </w:rPr>
              <w:t>单位</w:t>
            </w:r>
          </w:p>
        </w:tc>
        <w:tc>
          <w:tcPr>
            <w:tcW w:w="2355" w:type="dxa"/>
            <w:vAlign w:val="center"/>
          </w:tcPr>
          <w:p>
            <w:pPr>
              <w:spacing w:line="360" w:lineRule="auto"/>
              <w:jc w:val="center"/>
              <w:rPr>
                <w:rFonts w:ascii="宋体" w:hAnsi="宋体"/>
                <w:sz w:val="24"/>
              </w:rPr>
            </w:pPr>
            <w:r>
              <w:rPr>
                <w:rFonts w:hint="eastAsia" w:ascii="宋体" w:hAnsi="宋体"/>
                <w:sz w:val="24"/>
              </w:rPr>
              <w:t>指标范围</w:t>
            </w:r>
          </w:p>
        </w:tc>
        <w:tc>
          <w:tcPr>
            <w:tcW w:w="4217" w:type="dxa"/>
            <w:vAlign w:val="center"/>
          </w:tcPr>
          <w:p>
            <w:pPr>
              <w:spacing w:line="360" w:lineRule="auto"/>
              <w:jc w:val="center"/>
              <w:rPr>
                <w:rFonts w:ascii="宋体" w:hAnsi="宋体"/>
                <w:sz w:val="24"/>
              </w:rPr>
            </w:pPr>
            <w:r>
              <w:rPr>
                <w:rFonts w:hint="eastAsia" w:ascii="宋体" w:hAnsi="宋体"/>
                <w:sz w:val="24"/>
              </w:rPr>
              <w:t>价格调整因素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381" w:type="dxa"/>
            <w:vAlign w:val="center"/>
          </w:tcPr>
          <w:p>
            <w:pPr>
              <w:spacing w:line="360" w:lineRule="auto"/>
              <w:jc w:val="center"/>
              <w:rPr>
                <w:rFonts w:ascii="宋体" w:hAnsi="宋体"/>
                <w:sz w:val="24"/>
              </w:rPr>
            </w:pPr>
            <w:r>
              <w:rPr>
                <w:rFonts w:hint="eastAsia" w:ascii="宋体" w:hAnsi="宋体"/>
                <w:sz w:val="24"/>
              </w:rPr>
              <w:t>碳酸钙含量（CaCO</w:t>
            </w:r>
            <w:r>
              <w:rPr>
                <w:rFonts w:hint="eastAsia" w:ascii="宋体" w:hAnsi="宋体"/>
                <w:sz w:val="24"/>
                <w:vertAlign w:val="subscript"/>
              </w:rPr>
              <w:t>3</w:t>
            </w:r>
            <w:r>
              <w:rPr>
                <w:rFonts w:hint="eastAsia" w:ascii="宋体" w:hAnsi="宋体"/>
                <w:sz w:val="24"/>
              </w:rPr>
              <w:t>）</w:t>
            </w:r>
          </w:p>
        </w:tc>
        <w:tc>
          <w:tcPr>
            <w:tcW w:w="795" w:type="dxa"/>
            <w:vAlign w:val="center"/>
          </w:tcPr>
          <w:p>
            <w:pPr>
              <w:spacing w:line="360" w:lineRule="auto"/>
              <w:jc w:val="center"/>
              <w:rPr>
                <w:rFonts w:ascii="宋体" w:hAnsi="宋体"/>
                <w:sz w:val="24"/>
              </w:rPr>
            </w:pPr>
            <w:r>
              <w:rPr>
                <w:rFonts w:hint="eastAsia" w:ascii="宋体" w:hAnsi="宋体"/>
                <w:sz w:val="24"/>
              </w:rPr>
              <w:t>%</w:t>
            </w:r>
          </w:p>
        </w:tc>
        <w:tc>
          <w:tcPr>
            <w:tcW w:w="2355" w:type="dxa"/>
            <w:vAlign w:val="center"/>
          </w:tcPr>
          <w:p>
            <w:pPr>
              <w:spacing w:line="360" w:lineRule="auto"/>
              <w:jc w:val="center"/>
              <w:rPr>
                <w:rFonts w:ascii="宋体" w:hAnsi="宋体"/>
                <w:sz w:val="24"/>
              </w:rPr>
            </w:pPr>
            <w:r>
              <w:rPr>
                <w:rFonts w:hint="eastAsia" w:ascii="宋体" w:hAnsi="宋体"/>
                <w:sz w:val="24"/>
              </w:rPr>
              <w:t>单样≥92.0</w:t>
            </w:r>
          </w:p>
        </w:tc>
        <w:tc>
          <w:tcPr>
            <w:tcW w:w="4217" w:type="dxa"/>
            <w:vAlign w:val="center"/>
          </w:tcPr>
          <w:p>
            <w:pPr>
              <w:spacing w:line="360" w:lineRule="auto"/>
              <w:rPr>
                <w:rFonts w:ascii="宋体" w:hAnsi="宋体"/>
                <w:sz w:val="24"/>
              </w:rPr>
            </w:pPr>
            <w:r>
              <w:rPr>
                <w:rFonts w:hint="eastAsia" w:ascii="宋体" w:hAnsi="宋体"/>
                <w:sz w:val="24"/>
              </w:rPr>
              <w:t>基价+5（元/吨）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381" w:type="dxa"/>
            <w:vAlign w:val="center"/>
          </w:tcPr>
          <w:p>
            <w:pPr>
              <w:spacing w:line="360" w:lineRule="auto"/>
              <w:jc w:val="center"/>
              <w:rPr>
                <w:rFonts w:ascii="宋体" w:hAnsi="宋体"/>
                <w:sz w:val="24"/>
              </w:rPr>
            </w:pPr>
            <w:r>
              <w:rPr>
                <w:rFonts w:hint="eastAsia" w:ascii="宋体" w:hAnsi="宋体"/>
                <w:sz w:val="24"/>
              </w:rPr>
              <w:t>碳酸钙含量（CaCO</w:t>
            </w:r>
            <w:r>
              <w:rPr>
                <w:rFonts w:hint="eastAsia" w:ascii="宋体" w:hAnsi="宋体"/>
                <w:sz w:val="24"/>
                <w:vertAlign w:val="subscript"/>
              </w:rPr>
              <w:t>3</w:t>
            </w:r>
            <w:r>
              <w:rPr>
                <w:rFonts w:hint="eastAsia" w:ascii="宋体" w:hAnsi="宋体"/>
                <w:sz w:val="24"/>
              </w:rPr>
              <w:t>）</w:t>
            </w:r>
          </w:p>
        </w:tc>
        <w:tc>
          <w:tcPr>
            <w:tcW w:w="795" w:type="dxa"/>
            <w:vAlign w:val="center"/>
          </w:tcPr>
          <w:p>
            <w:pPr>
              <w:spacing w:line="360" w:lineRule="auto"/>
              <w:jc w:val="center"/>
              <w:rPr>
                <w:rFonts w:ascii="宋体" w:hAnsi="宋体"/>
                <w:sz w:val="24"/>
              </w:rPr>
            </w:pPr>
            <w:r>
              <w:rPr>
                <w:rFonts w:hint="eastAsia" w:ascii="宋体" w:hAnsi="宋体"/>
                <w:sz w:val="24"/>
              </w:rPr>
              <w:t>%</w:t>
            </w:r>
          </w:p>
        </w:tc>
        <w:tc>
          <w:tcPr>
            <w:tcW w:w="2355" w:type="dxa"/>
            <w:vAlign w:val="center"/>
          </w:tcPr>
          <w:p>
            <w:pPr>
              <w:spacing w:line="360" w:lineRule="auto"/>
              <w:jc w:val="center"/>
              <w:rPr>
                <w:rFonts w:ascii="宋体" w:hAnsi="宋体"/>
                <w:sz w:val="24"/>
              </w:rPr>
            </w:pPr>
            <w:r>
              <w:rPr>
                <w:rFonts w:hint="eastAsia" w:ascii="宋体" w:hAnsi="宋体"/>
                <w:sz w:val="24"/>
              </w:rPr>
              <w:t>90.0≤单样＜92.0</w:t>
            </w:r>
          </w:p>
        </w:tc>
        <w:tc>
          <w:tcPr>
            <w:tcW w:w="4217" w:type="dxa"/>
            <w:vAlign w:val="center"/>
          </w:tcPr>
          <w:p>
            <w:pPr>
              <w:spacing w:line="360" w:lineRule="auto"/>
              <w:rPr>
                <w:rFonts w:ascii="宋体" w:hAnsi="宋体"/>
                <w:sz w:val="24"/>
              </w:rPr>
            </w:pPr>
            <w:r>
              <w:rPr>
                <w:rFonts w:hint="eastAsia" w:ascii="宋体" w:hAnsi="宋体"/>
                <w:color w:val="3A3A3A"/>
                <w:sz w:val="24"/>
              </w:rPr>
              <w:t>不奖不扣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381" w:type="dxa"/>
            <w:vAlign w:val="center"/>
          </w:tcPr>
          <w:p>
            <w:pPr>
              <w:spacing w:line="360" w:lineRule="auto"/>
              <w:jc w:val="center"/>
              <w:rPr>
                <w:rFonts w:ascii="宋体" w:hAnsi="宋体"/>
                <w:sz w:val="24"/>
              </w:rPr>
            </w:pPr>
            <w:r>
              <w:rPr>
                <w:rFonts w:hint="eastAsia" w:ascii="宋体" w:hAnsi="宋体"/>
                <w:sz w:val="24"/>
              </w:rPr>
              <w:t>碳酸钙含量（CaCO</w:t>
            </w:r>
            <w:r>
              <w:rPr>
                <w:rFonts w:hint="eastAsia" w:ascii="宋体" w:hAnsi="宋体"/>
                <w:sz w:val="24"/>
                <w:vertAlign w:val="subscript"/>
              </w:rPr>
              <w:t>3</w:t>
            </w:r>
            <w:r>
              <w:rPr>
                <w:rFonts w:hint="eastAsia" w:ascii="宋体" w:hAnsi="宋体"/>
                <w:sz w:val="24"/>
              </w:rPr>
              <w:t>）</w:t>
            </w:r>
          </w:p>
        </w:tc>
        <w:tc>
          <w:tcPr>
            <w:tcW w:w="795" w:type="dxa"/>
            <w:vAlign w:val="center"/>
          </w:tcPr>
          <w:p>
            <w:pPr>
              <w:spacing w:line="360" w:lineRule="auto"/>
              <w:jc w:val="center"/>
              <w:rPr>
                <w:rFonts w:ascii="宋体" w:hAnsi="宋体"/>
                <w:sz w:val="24"/>
              </w:rPr>
            </w:pPr>
            <w:r>
              <w:rPr>
                <w:rFonts w:hint="eastAsia" w:ascii="宋体" w:hAnsi="宋体"/>
                <w:sz w:val="24"/>
              </w:rPr>
              <w:t>%</w:t>
            </w:r>
          </w:p>
        </w:tc>
        <w:tc>
          <w:tcPr>
            <w:tcW w:w="2355" w:type="dxa"/>
            <w:vAlign w:val="center"/>
          </w:tcPr>
          <w:p>
            <w:pPr>
              <w:spacing w:line="360" w:lineRule="auto"/>
              <w:ind w:firstLine="120" w:firstLineChars="50"/>
              <w:rPr>
                <w:rFonts w:ascii="宋体" w:hAnsi="宋体"/>
                <w:sz w:val="24"/>
              </w:rPr>
            </w:pPr>
            <w:r>
              <w:rPr>
                <w:rFonts w:hint="eastAsia" w:ascii="宋体" w:hAnsi="宋体"/>
                <w:color w:val="3A3A3A"/>
                <w:sz w:val="24"/>
              </w:rPr>
              <w:t>87.0≤单样＜90.0</w:t>
            </w:r>
          </w:p>
        </w:tc>
        <w:tc>
          <w:tcPr>
            <w:tcW w:w="4217" w:type="dxa"/>
            <w:vAlign w:val="center"/>
          </w:tcPr>
          <w:p>
            <w:pPr>
              <w:spacing w:line="360" w:lineRule="auto"/>
              <w:rPr>
                <w:rFonts w:ascii="宋体" w:hAnsi="宋体"/>
                <w:sz w:val="24"/>
              </w:rPr>
            </w:pPr>
            <w:r>
              <w:rPr>
                <w:rFonts w:hint="eastAsia" w:ascii="宋体" w:hAnsi="宋体"/>
                <w:color w:val="3A3A3A"/>
                <w:sz w:val="24"/>
              </w:rPr>
              <w:t>基价+[(单样-90%）*300]（元/吨）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381" w:type="dxa"/>
            <w:vAlign w:val="center"/>
          </w:tcPr>
          <w:p>
            <w:pPr>
              <w:spacing w:line="360" w:lineRule="auto"/>
              <w:jc w:val="center"/>
              <w:rPr>
                <w:rFonts w:ascii="宋体" w:hAnsi="宋体"/>
                <w:sz w:val="24"/>
              </w:rPr>
            </w:pPr>
            <w:r>
              <w:rPr>
                <w:rFonts w:hint="eastAsia" w:ascii="宋体" w:hAnsi="宋体"/>
                <w:sz w:val="24"/>
              </w:rPr>
              <w:t>碳酸钙含量（CaCO</w:t>
            </w:r>
            <w:r>
              <w:rPr>
                <w:rFonts w:hint="eastAsia" w:ascii="宋体" w:hAnsi="宋体"/>
                <w:sz w:val="24"/>
                <w:vertAlign w:val="subscript"/>
              </w:rPr>
              <w:t>3</w:t>
            </w:r>
            <w:r>
              <w:rPr>
                <w:rFonts w:hint="eastAsia" w:ascii="宋体" w:hAnsi="宋体"/>
                <w:sz w:val="24"/>
              </w:rPr>
              <w:t>）</w:t>
            </w:r>
          </w:p>
        </w:tc>
        <w:tc>
          <w:tcPr>
            <w:tcW w:w="795" w:type="dxa"/>
            <w:vAlign w:val="center"/>
          </w:tcPr>
          <w:p>
            <w:pPr>
              <w:spacing w:line="360" w:lineRule="auto"/>
              <w:jc w:val="center"/>
              <w:rPr>
                <w:rFonts w:ascii="宋体" w:hAnsi="宋体"/>
                <w:sz w:val="24"/>
              </w:rPr>
            </w:pPr>
            <w:r>
              <w:rPr>
                <w:rFonts w:hint="eastAsia" w:ascii="宋体" w:hAnsi="宋体"/>
                <w:sz w:val="24"/>
              </w:rPr>
              <w:t>%</w:t>
            </w:r>
          </w:p>
        </w:tc>
        <w:tc>
          <w:tcPr>
            <w:tcW w:w="2355" w:type="dxa"/>
            <w:vAlign w:val="center"/>
          </w:tcPr>
          <w:p>
            <w:pPr>
              <w:spacing w:line="360" w:lineRule="auto"/>
              <w:jc w:val="center"/>
              <w:rPr>
                <w:rFonts w:ascii="宋体" w:hAnsi="宋体"/>
                <w:sz w:val="24"/>
              </w:rPr>
            </w:pPr>
            <w:r>
              <w:rPr>
                <w:rFonts w:hint="eastAsia" w:ascii="宋体" w:hAnsi="宋体"/>
                <w:color w:val="3A3A3A"/>
                <w:sz w:val="24"/>
              </w:rPr>
              <w:t>85.0≤单样＜87.0</w:t>
            </w:r>
          </w:p>
        </w:tc>
        <w:tc>
          <w:tcPr>
            <w:tcW w:w="4217" w:type="dxa"/>
            <w:vAlign w:val="center"/>
          </w:tcPr>
          <w:p>
            <w:pPr>
              <w:spacing w:line="360" w:lineRule="auto"/>
              <w:rPr>
                <w:rFonts w:ascii="宋体" w:hAnsi="宋体"/>
                <w:sz w:val="24"/>
              </w:rPr>
            </w:pPr>
            <w:r>
              <w:rPr>
                <w:rFonts w:hint="eastAsia" w:ascii="宋体" w:hAnsi="宋体"/>
                <w:color w:val="3A3A3A"/>
                <w:sz w:val="24"/>
              </w:rPr>
              <w:t>基价+[(单样-90%）*500]（元/吨）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381" w:type="dxa"/>
            <w:vAlign w:val="center"/>
          </w:tcPr>
          <w:p>
            <w:pPr>
              <w:spacing w:line="360" w:lineRule="auto"/>
              <w:jc w:val="center"/>
              <w:rPr>
                <w:rFonts w:ascii="宋体" w:hAnsi="宋体"/>
                <w:sz w:val="24"/>
              </w:rPr>
            </w:pPr>
            <w:r>
              <w:rPr>
                <w:rFonts w:hint="eastAsia" w:ascii="宋体" w:hAnsi="宋体"/>
                <w:sz w:val="24"/>
              </w:rPr>
              <w:t>碳酸钙含量（CaCO</w:t>
            </w:r>
            <w:r>
              <w:rPr>
                <w:rFonts w:hint="eastAsia" w:ascii="宋体" w:hAnsi="宋体"/>
                <w:sz w:val="24"/>
                <w:vertAlign w:val="subscript"/>
              </w:rPr>
              <w:t>3</w:t>
            </w:r>
            <w:r>
              <w:rPr>
                <w:rFonts w:hint="eastAsia" w:ascii="宋体" w:hAnsi="宋体"/>
                <w:sz w:val="24"/>
              </w:rPr>
              <w:t>）</w:t>
            </w:r>
          </w:p>
        </w:tc>
        <w:tc>
          <w:tcPr>
            <w:tcW w:w="795" w:type="dxa"/>
            <w:vAlign w:val="center"/>
          </w:tcPr>
          <w:p>
            <w:pPr>
              <w:spacing w:line="360" w:lineRule="auto"/>
              <w:jc w:val="center"/>
              <w:rPr>
                <w:rFonts w:ascii="宋体" w:hAnsi="宋体"/>
                <w:sz w:val="24"/>
              </w:rPr>
            </w:pPr>
            <w:r>
              <w:rPr>
                <w:rFonts w:hint="eastAsia" w:ascii="宋体" w:hAnsi="宋体"/>
                <w:sz w:val="24"/>
              </w:rPr>
              <w:t>%</w:t>
            </w:r>
          </w:p>
        </w:tc>
        <w:tc>
          <w:tcPr>
            <w:tcW w:w="2355" w:type="dxa"/>
            <w:vAlign w:val="center"/>
          </w:tcPr>
          <w:p>
            <w:pPr>
              <w:spacing w:line="360" w:lineRule="auto"/>
              <w:jc w:val="center"/>
              <w:rPr>
                <w:rFonts w:ascii="宋体" w:hAnsi="宋体"/>
                <w:sz w:val="24"/>
              </w:rPr>
            </w:pPr>
            <w:r>
              <w:rPr>
                <w:rFonts w:hint="eastAsia" w:ascii="宋体" w:hAnsi="宋体"/>
                <w:sz w:val="24"/>
              </w:rPr>
              <w:t>单样＜85.0</w:t>
            </w:r>
          </w:p>
        </w:tc>
        <w:tc>
          <w:tcPr>
            <w:tcW w:w="4217" w:type="dxa"/>
            <w:vAlign w:val="center"/>
          </w:tcPr>
          <w:p>
            <w:pPr>
              <w:spacing w:line="360" w:lineRule="auto"/>
              <w:rPr>
                <w:rFonts w:ascii="宋体" w:hAnsi="宋体"/>
                <w:sz w:val="24"/>
              </w:rPr>
            </w:pPr>
            <w:r>
              <w:rPr>
                <w:rFonts w:hint="eastAsia" w:ascii="宋体" w:hAnsi="宋体"/>
                <w:sz w:val="24"/>
              </w:rPr>
              <w:t>基价*50%（元/吨）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1381" w:type="dxa"/>
            <w:vAlign w:val="center"/>
          </w:tcPr>
          <w:p>
            <w:pPr>
              <w:spacing w:line="360" w:lineRule="auto"/>
              <w:jc w:val="center"/>
              <w:rPr>
                <w:rFonts w:ascii="宋体" w:hAnsi="宋体"/>
                <w:sz w:val="24"/>
              </w:rPr>
            </w:pPr>
            <w:r>
              <w:rPr>
                <w:rFonts w:hint="eastAsia" w:ascii="宋体" w:hAnsi="宋体"/>
                <w:sz w:val="24"/>
              </w:rPr>
              <w:t>含水</w:t>
            </w:r>
          </w:p>
        </w:tc>
        <w:tc>
          <w:tcPr>
            <w:tcW w:w="795" w:type="dxa"/>
            <w:vAlign w:val="center"/>
          </w:tcPr>
          <w:p>
            <w:pPr>
              <w:spacing w:line="360" w:lineRule="auto"/>
              <w:jc w:val="center"/>
              <w:rPr>
                <w:rFonts w:ascii="宋体" w:hAnsi="宋体"/>
                <w:sz w:val="24"/>
              </w:rPr>
            </w:pPr>
            <w:r>
              <w:rPr>
                <w:rFonts w:hint="eastAsia" w:ascii="宋体" w:hAnsi="宋体"/>
                <w:sz w:val="24"/>
              </w:rPr>
              <w:t>%</w:t>
            </w:r>
          </w:p>
        </w:tc>
        <w:tc>
          <w:tcPr>
            <w:tcW w:w="2355" w:type="dxa"/>
            <w:vAlign w:val="center"/>
          </w:tcPr>
          <w:p>
            <w:pPr>
              <w:spacing w:line="360" w:lineRule="auto"/>
              <w:jc w:val="center"/>
              <w:rPr>
                <w:rFonts w:ascii="宋体" w:hAnsi="宋体"/>
                <w:sz w:val="24"/>
              </w:rPr>
            </w:pPr>
            <w:r>
              <w:rPr>
                <w:rFonts w:hint="eastAsia" w:ascii="宋体" w:hAnsi="宋体"/>
                <w:sz w:val="24"/>
              </w:rPr>
              <w:t>≥0.8</w:t>
            </w:r>
          </w:p>
        </w:tc>
        <w:tc>
          <w:tcPr>
            <w:tcW w:w="4217" w:type="dxa"/>
            <w:vAlign w:val="center"/>
          </w:tcPr>
          <w:p>
            <w:pPr>
              <w:spacing w:line="360" w:lineRule="auto"/>
              <w:rPr>
                <w:rFonts w:ascii="宋体" w:hAnsi="宋体"/>
                <w:sz w:val="24"/>
              </w:rPr>
            </w:pPr>
            <w:r>
              <w:rPr>
                <w:rFonts w:hint="eastAsia" w:ascii="宋体" w:hAnsi="宋体"/>
                <w:sz w:val="24"/>
              </w:rPr>
              <w:t>结算量=磅量*（1-实际值）/（1-0.8%）＞1%时，甲方可以拒收，若已打入储槽，仅付运费（相当货款45%）。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1381" w:type="dxa"/>
            <w:vAlign w:val="center"/>
          </w:tcPr>
          <w:p>
            <w:pPr>
              <w:spacing w:line="360" w:lineRule="auto"/>
              <w:jc w:val="center"/>
              <w:rPr>
                <w:rFonts w:ascii="宋体" w:hAnsi="宋体"/>
                <w:sz w:val="24"/>
              </w:rPr>
            </w:pPr>
            <w:r>
              <w:rPr>
                <w:rFonts w:hint="eastAsia" w:ascii="宋体" w:hAnsi="宋体"/>
                <w:color w:val="3A3A3A"/>
                <w:sz w:val="24"/>
              </w:rPr>
              <w:t>粒度要求</w:t>
            </w:r>
          </w:p>
        </w:tc>
        <w:tc>
          <w:tcPr>
            <w:tcW w:w="3150" w:type="dxa"/>
            <w:gridSpan w:val="2"/>
            <w:vAlign w:val="center"/>
          </w:tcPr>
          <w:p>
            <w:pPr>
              <w:spacing w:line="360" w:lineRule="auto"/>
              <w:jc w:val="center"/>
              <w:rPr>
                <w:rFonts w:ascii="宋体" w:hAnsi="宋体"/>
                <w:sz w:val="24"/>
              </w:rPr>
            </w:pPr>
            <w:r>
              <w:rPr>
                <w:rFonts w:hint="eastAsia" w:ascii="宋体" w:hAnsi="宋体"/>
                <w:color w:val="3A3A3A"/>
                <w:sz w:val="24"/>
              </w:rPr>
              <w:t>0～1.67 mm，85%≤500um，25%≤45um</w:t>
            </w:r>
          </w:p>
        </w:tc>
        <w:tc>
          <w:tcPr>
            <w:tcW w:w="4217" w:type="dxa"/>
            <w:vAlign w:val="center"/>
          </w:tcPr>
          <w:p>
            <w:pPr>
              <w:spacing w:line="360" w:lineRule="auto"/>
              <w:rPr>
                <w:rFonts w:ascii="宋体" w:hAnsi="宋体"/>
                <w:sz w:val="24"/>
              </w:rPr>
            </w:pPr>
            <w:r>
              <w:rPr>
                <w:rFonts w:hint="eastAsia" w:ascii="宋体" w:hAnsi="宋体"/>
                <w:sz w:val="24"/>
              </w:rPr>
              <w:t>要求但不作价格调整</w:t>
            </w:r>
          </w:p>
        </w:tc>
      </w:tr>
    </w:tbl>
    <w:p>
      <w:pPr>
        <w:spacing w:line="360" w:lineRule="auto"/>
        <w:ind w:firstLine="240" w:firstLineChars="100"/>
        <w:rPr>
          <w:rFonts w:ascii="宋体" w:hAnsi="宋体"/>
          <w:sz w:val="24"/>
        </w:rPr>
      </w:pPr>
      <w:r>
        <w:rPr>
          <w:rFonts w:hint="eastAsia" w:ascii="宋体" w:hAnsi="宋体"/>
          <w:sz w:val="24"/>
        </w:rPr>
        <w:t>碳酸钙含量（CaCO</w:t>
      </w:r>
      <w:r>
        <w:rPr>
          <w:rFonts w:hint="eastAsia" w:ascii="宋体" w:hAnsi="宋体"/>
          <w:sz w:val="24"/>
          <w:vertAlign w:val="subscript"/>
        </w:rPr>
        <w:t>3</w:t>
      </w:r>
      <w:r>
        <w:rPr>
          <w:rFonts w:hint="eastAsia" w:ascii="宋体" w:hAnsi="宋体"/>
          <w:sz w:val="24"/>
        </w:rPr>
        <w:t>） 单样含量≤80%的，我司有权拒收。</w:t>
      </w:r>
    </w:p>
    <w:p>
      <w:pPr>
        <w:spacing w:line="360" w:lineRule="auto"/>
        <w:ind w:firstLine="360" w:firstLineChars="150"/>
        <w:rPr>
          <w:rFonts w:ascii="宋体" w:hAnsi="宋体"/>
          <w:sz w:val="24"/>
        </w:rPr>
      </w:pPr>
      <w:r>
        <w:rPr>
          <w:rFonts w:hint="eastAsia" w:ascii="宋体" w:hAnsi="宋体"/>
          <w:sz w:val="24"/>
        </w:rPr>
        <w:t>四、运输方式、交货地点：</w:t>
      </w:r>
    </w:p>
    <w:p>
      <w:pPr>
        <w:spacing w:line="360" w:lineRule="auto"/>
        <w:ind w:firstLine="480" w:firstLineChars="200"/>
        <w:rPr>
          <w:rFonts w:ascii="宋体" w:hAnsi="宋体"/>
          <w:sz w:val="24"/>
        </w:rPr>
      </w:pPr>
      <w:r>
        <w:rPr>
          <w:rFonts w:hint="eastAsia" w:ascii="宋体" w:hAnsi="宋体"/>
          <w:sz w:val="24"/>
        </w:rPr>
        <w:t>1、运输方式：汽车运输，由乙方承担运费和确保运输安全。</w:t>
      </w:r>
    </w:p>
    <w:p>
      <w:pPr>
        <w:spacing w:line="360" w:lineRule="auto"/>
        <w:ind w:firstLine="480" w:firstLineChars="200"/>
        <w:rPr>
          <w:rFonts w:ascii="宋体" w:hAnsi="宋体"/>
          <w:sz w:val="24"/>
        </w:rPr>
      </w:pPr>
      <w:r>
        <w:rPr>
          <w:rFonts w:hint="eastAsia" w:ascii="宋体" w:hAnsi="宋体"/>
          <w:sz w:val="24"/>
        </w:rPr>
        <w:t>2、交货地点：甲方指定仓库（厦门同安西柯镇食品工业园区）。</w:t>
      </w:r>
    </w:p>
    <w:p>
      <w:pPr>
        <w:spacing w:line="360" w:lineRule="auto"/>
        <w:ind w:firstLine="480" w:firstLineChars="200"/>
        <w:rPr>
          <w:rFonts w:ascii="宋体" w:hAnsi="宋体"/>
          <w:sz w:val="24"/>
        </w:rPr>
      </w:pPr>
      <w:r>
        <w:rPr>
          <w:rFonts w:hint="eastAsia" w:ascii="宋体" w:hAnsi="宋体"/>
          <w:sz w:val="24"/>
        </w:rPr>
        <w:t>五、数量、质量交接验收：</w:t>
      </w:r>
    </w:p>
    <w:p>
      <w:pPr>
        <w:pStyle w:val="5"/>
        <w:spacing w:line="360" w:lineRule="auto"/>
        <w:ind w:firstLine="480"/>
        <w:rPr>
          <w:rFonts w:ascii="宋体" w:hAnsi="宋体"/>
          <w:sz w:val="24"/>
          <w:szCs w:val="24"/>
        </w:rPr>
      </w:pPr>
      <w:r>
        <w:rPr>
          <w:rFonts w:hint="eastAsia" w:ascii="宋体" w:hAnsi="宋体"/>
          <w:sz w:val="24"/>
          <w:szCs w:val="24"/>
        </w:rPr>
        <w:t>1、乙方供应碳酸钙的数量，以甲方指定的地磅作为称量的工具，所称碳酸钙的重量作为结算的数量。</w:t>
      </w:r>
    </w:p>
    <w:p>
      <w:pPr>
        <w:pStyle w:val="5"/>
        <w:spacing w:line="360" w:lineRule="auto"/>
        <w:ind w:firstLine="480"/>
        <w:rPr>
          <w:rFonts w:ascii="宋体" w:hAnsi="宋体"/>
          <w:sz w:val="24"/>
          <w:szCs w:val="24"/>
        </w:rPr>
      </w:pPr>
      <w:r>
        <w:rPr>
          <w:rFonts w:hint="eastAsia" w:ascii="宋体" w:hAnsi="宋体"/>
          <w:sz w:val="24"/>
          <w:szCs w:val="24"/>
        </w:rPr>
        <w:t>2、按每辆车过磅，并按每车次所运载的重量填制收料单，经甲、乙双方签字确认后作结算的依据。</w:t>
      </w:r>
    </w:p>
    <w:p>
      <w:pPr>
        <w:pStyle w:val="5"/>
        <w:spacing w:line="360" w:lineRule="auto"/>
        <w:ind w:firstLine="480"/>
        <w:rPr>
          <w:rFonts w:ascii="宋体" w:hAnsi="宋体"/>
          <w:sz w:val="24"/>
          <w:szCs w:val="24"/>
        </w:rPr>
      </w:pPr>
      <w:r>
        <w:rPr>
          <w:rFonts w:hint="eastAsia" w:ascii="宋体" w:hAnsi="宋体"/>
          <w:sz w:val="24"/>
          <w:szCs w:val="24"/>
        </w:rPr>
        <w:t>3、碳酸钙运到甲方仓库并过磅后，由甲方对本车次的碳酸钙进行随机取样（乙方可要求多取一个备样），由甲方组织化验，乙方认同甲方的化验结果，样品的编号以日期为准。乙方供货时，每车须配送一份质量检测报告。样品的编号以日期为准。</w:t>
      </w:r>
    </w:p>
    <w:p>
      <w:pPr>
        <w:pStyle w:val="5"/>
        <w:spacing w:line="360" w:lineRule="auto"/>
        <w:ind w:firstLine="480"/>
        <w:rPr>
          <w:rFonts w:ascii="宋体" w:hAnsi="宋体"/>
          <w:sz w:val="24"/>
          <w:szCs w:val="24"/>
        </w:rPr>
      </w:pPr>
      <w:r>
        <w:rPr>
          <w:rFonts w:hint="eastAsia" w:ascii="宋体" w:hAnsi="宋体"/>
          <w:sz w:val="24"/>
          <w:szCs w:val="24"/>
        </w:rPr>
        <w:t>4、货品化验单一式三份，甲方二份，乙方一份。甲方应在收到货物后五个工作日内提供化验单给乙方。</w:t>
      </w:r>
    </w:p>
    <w:p>
      <w:pPr>
        <w:pStyle w:val="5"/>
        <w:spacing w:line="360" w:lineRule="auto"/>
        <w:ind w:firstLine="480"/>
        <w:rPr>
          <w:rFonts w:ascii="宋体" w:hAnsi="宋体"/>
          <w:sz w:val="24"/>
          <w:szCs w:val="24"/>
        </w:rPr>
      </w:pPr>
      <w:r>
        <w:rPr>
          <w:rFonts w:hint="eastAsia" w:ascii="宋体" w:hAnsi="宋体"/>
          <w:sz w:val="24"/>
          <w:szCs w:val="24"/>
        </w:rPr>
        <w:t>5、若乙方对化验结果有异议,，应在接到化验单的三天内书面提出，并由乙方对备用样进行化验，化验结果为最终结果，相关费用由乙方自行承担。</w:t>
      </w:r>
    </w:p>
    <w:p>
      <w:pPr>
        <w:pStyle w:val="5"/>
        <w:spacing w:line="360" w:lineRule="auto"/>
        <w:ind w:firstLine="480"/>
        <w:rPr>
          <w:rFonts w:ascii="宋体" w:hAnsi="宋体"/>
          <w:sz w:val="24"/>
          <w:szCs w:val="24"/>
        </w:rPr>
      </w:pPr>
      <w:r>
        <w:rPr>
          <w:rFonts w:hint="eastAsia" w:ascii="宋体" w:hAnsi="宋体"/>
          <w:sz w:val="24"/>
          <w:szCs w:val="24"/>
        </w:rPr>
        <w:t>六、价格：</w:t>
      </w:r>
    </w:p>
    <w:p>
      <w:pPr>
        <w:pStyle w:val="5"/>
        <w:spacing w:line="360" w:lineRule="auto"/>
        <w:ind w:firstLine="480"/>
        <w:rPr>
          <w:rFonts w:ascii="宋体" w:hAnsi="宋体"/>
          <w:sz w:val="24"/>
          <w:szCs w:val="24"/>
        </w:rPr>
      </w:pPr>
      <w:r>
        <w:rPr>
          <w:rFonts w:hint="eastAsia" w:ascii="宋体" w:hAnsi="宋体"/>
          <w:sz w:val="24"/>
          <w:szCs w:val="24"/>
        </w:rPr>
        <w:t>1、货物的结算价格根据所供应碳酸钙品质的不同在基价的水平上调整计算。货品的品质以化验的结果为依据。碳酸钙结算基价为：元 / 吨（含税到甲方石灰石仓价）</w:t>
      </w:r>
    </w:p>
    <w:p>
      <w:pPr>
        <w:pStyle w:val="5"/>
        <w:spacing w:line="360" w:lineRule="auto"/>
        <w:ind w:firstLine="480"/>
        <w:rPr>
          <w:rFonts w:ascii="宋体" w:hAnsi="宋体"/>
          <w:sz w:val="24"/>
          <w:szCs w:val="24"/>
        </w:rPr>
      </w:pPr>
      <w:r>
        <w:rPr>
          <w:rFonts w:hint="eastAsia" w:ascii="宋体" w:hAnsi="宋体"/>
          <w:sz w:val="24"/>
          <w:szCs w:val="24"/>
        </w:rPr>
        <w:t>2、根据货品的化验结果，在结算基价的基础上按第三条款调整货品的结算价格。</w:t>
      </w:r>
    </w:p>
    <w:p>
      <w:pPr>
        <w:pStyle w:val="5"/>
        <w:spacing w:line="360" w:lineRule="auto"/>
        <w:ind w:firstLine="480"/>
        <w:rPr>
          <w:rFonts w:ascii="宋体" w:hAnsi="宋体"/>
          <w:sz w:val="24"/>
          <w:szCs w:val="24"/>
        </w:rPr>
      </w:pPr>
      <w:r>
        <w:rPr>
          <w:rFonts w:hint="eastAsia" w:ascii="宋体" w:hAnsi="宋体"/>
          <w:sz w:val="24"/>
          <w:szCs w:val="24"/>
        </w:rPr>
        <w:t>3、影响价格的调整系数累加计算。</w:t>
      </w:r>
    </w:p>
    <w:p>
      <w:pPr>
        <w:pStyle w:val="5"/>
        <w:spacing w:line="360" w:lineRule="auto"/>
        <w:ind w:firstLine="480"/>
        <w:rPr>
          <w:rFonts w:ascii="宋体" w:hAnsi="宋体"/>
          <w:sz w:val="24"/>
          <w:szCs w:val="24"/>
        </w:rPr>
      </w:pPr>
      <w:r>
        <w:rPr>
          <w:rFonts w:hint="eastAsia" w:ascii="宋体" w:hAnsi="宋体"/>
          <w:sz w:val="24"/>
          <w:szCs w:val="24"/>
        </w:rPr>
        <w:t>4、合同期内，如遇国家税点调整，含税单价也将随之进行调整。</w:t>
      </w:r>
    </w:p>
    <w:p>
      <w:pPr>
        <w:pStyle w:val="5"/>
        <w:spacing w:line="360" w:lineRule="auto"/>
        <w:ind w:firstLine="480"/>
        <w:rPr>
          <w:rFonts w:ascii="宋体" w:hAnsi="宋体"/>
          <w:sz w:val="24"/>
          <w:szCs w:val="24"/>
        </w:rPr>
      </w:pPr>
      <w:r>
        <w:rPr>
          <w:rFonts w:hint="eastAsia" w:ascii="宋体" w:hAnsi="宋体"/>
          <w:sz w:val="24"/>
          <w:szCs w:val="24"/>
        </w:rPr>
        <w:t>七、结算方式：</w:t>
      </w:r>
    </w:p>
    <w:p>
      <w:pPr>
        <w:pStyle w:val="5"/>
        <w:spacing w:line="360" w:lineRule="auto"/>
        <w:ind w:firstLine="480"/>
        <w:rPr>
          <w:rFonts w:ascii="宋体" w:hAnsi="宋体"/>
          <w:sz w:val="24"/>
          <w:szCs w:val="24"/>
        </w:rPr>
      </w:pPr>
      <w:r>
        <w:rPr>
          <w:rFonts w:hint="eastAsia" w:ascii="宋体" w:hAnsi="宋体"/>
          <w:sz w:val="24"/>
          <w:szCs w:val="24"/>
        </w:rPr>
        <w:t>1、货款每月结算一次。甲方收到乙方的供货并验货合格后，且乙方正式有效合法的增值税专用发票后一个月内付款。</w:t>
      </w:r>
    </w:p>
    <w:p>
      <w:pPr>
        <w:pStyle w:val="5"/>
        <w:spacing w:line="360" w:lineRule="auto"/>
        <w:ind w:firstLine="480"/>
        <w:rPr>
          <w:rFonts w:ascii="宋体" w:hAnsi="宋体"/>
          <w:sz w:val="24"/>
          <w:szCs w:val="24"/>
        </w:rPr>
      </w:pPr>
      <w:r>
        <w:rPr>
          <w:rFonts w:hint="eastAsia" w:ascii="宋体" w:hAnsi="宋体"/>
          <w:sz w:val="24"/>
          <w:szCs w:val="24"/>
        </w:rPr>
        <w:t>2、有关的款项均通过银行付款。</w:t>
      </w:r>
    </w:p>
    <w:p>
      <w:pPr>
        <w:pStyle w:val="5"/>
        <w:spacing w:line="360" w:lineRule="auto"/>
        <w:ind w:firstLine="480"/>
        <w:rPr>
          <w:rFonts w:ascii="宋体" w:hAnsi="宋体"/>
          <w:sz w:val="24"/>
          <w:szCs w:val="24"/>
        </w:rPr>
      </w:pPr>
      <w:r>
        <w:rPr>
          <w:rFonts w:hint="eastAsia" w:ascii="宋体" w:hAnsi="宋体"/>
          <w:sz w:val="24"/>
          <w:szCs w:val="24"/>
        </w:rPr>
        <w:t>八、违约责任：</w:t>
      </w:r>
    </w:p>
    <w:p>
      <w:pPr>
        <w:pStyle w:val="5"/>
        <w:spacing w:line="360" w:lineRule="auto"/>
        <w:ind w:firstLine="480"/>
        <w:rPr>
          <w:rFonts w:ascii="宋体" w:hAnsi="宋体"/>
          <w:sz w:val="24"/>
          <w:szCs w:val="24"/>
        </w:rPr>
      </w:pPr>
      <w:r>
        <w:rPr>
          <w:rFonts w:hint="eastAsia" w:ascii="宋体" w:hAnsi="宋体"/>
          <w:sz w:val="24"/>
          <w:szCs w:val="24"/>
        </w:rPr>
        <w:t>1、乙方延误交货，每延误一天向甲方支付违约金人民币壹仟元，延误超过3天，甲方有权单方解除合同，违约金可直接从货款中抵扣。如因乙方的责任供货中断，导致甲方停产，给甲方造成的任何损失，由乙方负责赔偿。支付违约金、赔偿金不影响合同的继续履行。</w:t>
      </w:r>
    </w:p>
    <w:p>
      <w:pPr>
        <w:pStyle w:val="5"/>
        <w:spacing w:line="360" w:lineRule="auto"/>
        <w:ind w:firstLine="480"/>
        <w:rPr>
          <w:rFonts w:ascii="宋体" w:hAnsi="宋体"/>
          <w:sz w:val="24"/>
          <w:szCs w:val="24"/>
        </w:rPr>
      </w:pPr>
      <w:r>
        <w:rPr>
          <w:rFonts w:hint="eastAsia" w:ascii="宋体" w:hAnsi="宋体"/>
          <w:sz w:val="24"/>
          <w:szCs w:val="24"/>
        </w:rPr>
        <w:t xml:space="preserve">2、甲方延误付款，按银行同期贷款的基准利率计算罚息。 </w:t>
      </w:r>
    </w:p>
    <w:p>
      <w:pPr>
        <w:pStyle w:val="5"/>
        <w:spacing w:line="360" w:lineRule="auto"/>
        <w:ind w:firstLine="480"/>
        <w:rPr>
          <w:rFonts w:ascii="宋体" w:hAnsi="宋体"/>
          <w:sz w:val="24"/>
          <w:szCs w:val="24"/>
        </w:rPr>
      </w:pPr>
      <w:r>
        <w:rPr>
          <w:rFonts w:hint="eastAsia" w:ascii="宋体" w:hAnsi="宋体"/>
          <w:sz w:val="24"/>
          <w:szCs w:val="24"/>
        </w:rPr>
        <w:t>3、双方如因为纠纷引起诉讼，由责任方承担双方的诉讼费、律师代理费、执行费、公证费等。</w:t>
      </w:r>
    </w:p>
    <w:p>
      <w:pPr>
        <w:spacing w:line="276" w:lineRule="auto"/>
        <w:ind w:firstLine="480" w:firstLineChars="200"/>
        <w:rPr>
          <w:rFonts w:ascii="宋体" w:hAnsi="宋体"/>
          <w:color w:val="000000"/>
          <w:sz w:val="24"/>
        </w:rPr>
      </w:pPr>
      <w:r>
        <w:rPr>
          <w:rFonts w:hint="eastAsia" w:ascii="宋体" w:hAnsi="宋体"/>
          <w:sz w:val="24"/>
        </w:rPr>
        <w:t>4、如发生不可抗力影响合同的履行，双方不承担损失责任，但事后应及时主动向对方说明原因及相关证明。不可抗力为：</w:t>
      </w:r>
      <w:r>
        <w:rPr>
          <w:rFonts w:ascii="宋体" w:hAnsi="宋体"/>
          <w:color w:val="000000"/>
          <w:sz w:val="24"/>
        </w:rPr>
        <w:t>雷击、地震、风灾、水灾、火灾等自然灾害引起的</w:t>
      </w:r>
      <w:r>
        <w:rPr>
          <w:rFonts w:hint="eastAsia" w:ascii="宋体" w:hAnsi="宋体"/>
          <w:color w:val="000000"/>
          <w:sz w:val="24"/>
        </w:rPr>
        <w:t>事故。</w:t>
      </w:r>
    </w:p>
    <w:p>
      <w:pPr>
        <w:spacing w:line="276" w:lineRule="auto"/>
        <w:ind w:firstLine="480" w:firstLineChars="200"/>
        <w:rPr>
          <w:rFonts w:ascii="宋体" w:hAnsi="宋体"/>
          <w:sz w:val="24"/>
        </w:rPr>
      </w:pPr>
      <w:r>
        <w:rPr>
          <w:rFonts w:hint="eastAsia" w:ascii="宋体" w:hAnsi="宋体"/>
          <w:sz w:val="24"/>
        </w:rPr>
        <w:t>5、合同履约金：乙方须向甲方缴纳人民币伍仟元（</w:t>
      </w:r>
      <w:r>
        <w:rPr>
          <w:rStyle w:val="14"/>
          <w:rFonts w:hint="eastAsia" w:ascii="微软雅黑" w:hAnsi="微软雅黑" w:eastAsia="微软雅黑"/>
          <w:color w:val="525252"/>
          <w:shd w:val="clear" w:color="auto" w:fill="FFFFFF"/>
        </w:rPr>
        <w:t>￥</w:t>
      </w:r>
      <w:r>
        <w:rPr>
          <w:rFonts w:hint="eastAsia" w:ascii="宋体" w:hAnsi="宋体"/>
          <w:sz w:val="24"/>
        </w:rPr>
        <w:t>5000.00）作为合同履约金。如乙方无违约行为，该履约金在乙方履行完合同后五个工作日内无息退还；若乙方违约，甲方有权没收该履约金，并有权要求乙方赔偿因此而给甲方造成的一切损失。</w:t>
      </w:r>
    </w:p>
    <w:p>
      <w:pPr>
        <w:pStyle w:val="5"/>
        <w:spacing w:line="360" w:lineRule="auto"/>
        <w:ind w:firstLine="480"/>
        <w:rPr>
          <w:rFonts w:ascii="宋体" w:hAnsi="宋体"/>
          <w:sz w:val="24"/>
          <w:szCs w:val="24"/>
        </w:rPr>
      </w:pPr>
      <w:r>
        <w:rPr>
          <w:rFonts w:hint="eastAsia" w:ascii="宋体" w:hAnsi="宋体"/>
          <w:sz w:val="24"/>
          <w:szCs w:val="24"/>
        </w:rPr>
        <w:t>九、争议解决：</w:t>
      </w:r>
    </w:p>
    <w:p>
      <w:pPr>
        <w:pStyle w:val="5"/>
        <w:spacing w:line="360" w:lineRule="auto"/>
        <w:ind w:firstLine="480"/>
        <w:rPr>
          <w:rFonts w:ascii="宋体" w:hAnsi="宋体"/>
          <w:sz w:val="24"/>
          <w:szCs w:val="24"/>
        </w:rPr>
      </w:pPr>
      <w:r>
        <w:rPr>
          <w:rFonts w:hint="eastAsia" w:ascii="宋体" w:hAnsi="宋体"/>
          <w:sz w:val="24"/>
          <w:szCs w:val="24"/>
        </w:rPr>
        <w:t>1、甲乙双方发生争议时，应争取以协商的方式解决。</w:t>
      </w:r>
    </w:p>
    <w:p>
      <w:pPr>
        <w:pStyle w:val="5"/>
        <w:spacing w:line="360" w:lineRule="auto"/>
        <w:ind w:firstLine="480"/>
        <w:rPr>
          <w:rFonts w:ascii="宋体" w:hAnsi="宋体"/>
          <w:sz w:val="24"/>
          <w:szCs w:val="24"/>
        </w:rPr>
      </w:pPr>
      <w:r>
        <w:rPr>
          <w:rFonts w:hint="eastAsia" w:ascii="宋体" w:hAnsi="宋体"/>
          <w:sz w:val="24"/>
          <w:szCs w:val="24"/>
        </w:rPr>
        <w:t>2、协商不成由甲方住所地有管辖权的人民法院诉讼解决。</w:t>
      </w:r>
    </w:p>
    <w:p>
      <w:pPr>
        <w:pStyle w:val="5"/>
        <w:spacing w:line="360" w:lineRule="auto"/>
        <w:ind w:firstLine="480"/>
        <w:rPr>
          <w:rFonts w:ascii="宋体" w:hAnsi="宋体"/>
          <w:sz w:val="24"/>
          <w:szCs w:val="24"/>
        </w:rPr>
      </w:pPr>
      <w:r>
        <w:rPr>
          <w:rFonts w:hint="eastAsia" w:ascii="宋体" w:hAnsi="宋体"/>
          <w:sz w:val="24"/>
          <w:szCs w:val="24"/>
        </w:rPr>
        <w:t>十、</w:t>
      </w:r>
      <w:r>
        <w:rPr>
          <w:rFonts w:hint="eastAsia" w:ascii="宋体" w:hAnsi="宋体"/>
          <w:color w:val="000000"/>
          <w:kern w:val="0"/>
          <w:sz w:val="24"/>
        </w:rPr>
        <w:t>本合同正本一式三份，甲方执二份，乙方执一份</w:t>
      </w:r>
      <w:r>
        <w:rPr>
          <w:rFonts w:hint="eastAsia" w:ascii="宋体" w:hAnsi="宋体"/>
          <w:sz w:val="24"/>
          <w:szCs w:val="24"/>
        </w:rPr>
        <w:t>。</w:t>
      </w:r>
    </w:p>
    <w:p>
      <w:pPr>
        <w:pStyle w:val="5"/>
        <w:spacing w:line="360" w:lineRule="auto"/>
        <w:ind w:firstLine="0" w:firstLineChars="0"/>
        <w:rPr>
          <w:rFonts w:ascii="宋体" w:hAnsi="宋体"/>
          <w:sz w:val="24"/>
          <w:szCs w:val="24"/>
        </w:rPr>
      </w:pPr>
    </w:p>
    <w:tbl>
      <w:tblPr>
        <w:tblStyle w:val="11"/>
        <w:tblpPr w:leftFromText="180" w:rightFromText="180" w:vertAnchor="text" w:horzAnchor="margin" w:tblpXSpec="center" w:tblpY="88"/>
        <w:tblW w:w="91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1"/>
        <w:gridCol w:w="4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5" w:hRule="atLeast"/>
        </w:trPr>
        <w:tc>
          <w:tcPr>
            <w:tcW w:w="4801" w:type="dxa"/>
          </w:tcPr>
          <w:p>
            <w:pPr>
              <w:spacing w:line="360" w:lineRule="auto"/>
              <w:rPr>
                <w:rFonts w:ascii="宋体" w:hAnsi="宋体" w:cs="宋体"/>
                <w:sz w:val="24"/>
                <w:szCs w:val="24"/>
              </w:rPr>
            </w:pPr>
            <w:r>
              <w:rPr>
                <w:rFonts w:hint="eastAsia" w:ascii="宋体" w:hAnsi="宋体"/>
                <w:sz w:val="24"/>
              </w:rPr>
              <w:t>甲方</w:t>
            </w:r>
            <w:r>
              <w:rPr>
                <w:rFonts w:hint="eastAsia" w:ascii="宋体" w:hAnsi="宋体"/>
                <w:sz w:val="24"/>
                <w:szCs w:val="24"/>
              </w:rPr>
              <w:t>：</w:t>
            </w:r>
            <w:r>
              <w:rPr>
                <w:rFonts w:hint="eastAsia" w:ascii="宋体" w:hAnsi="宋体" w:cs="宋体"/>
                <w:sz w:val="24"/>
                <w:szCs w:val="24"/>
              </w:rPr>
              <w:t xml:space="preserve">厦门同集热电有限公司   </w:t>
            </w:r>
          </w:p>
          <w:p>
            <w:pPr>
              <w:rPr>
                <w:rFonts w:ascii="宋体" w:hAnsi="宋体" w:cs="宋体"/>
                <w:sz w:val="24"/>
                <w:szCs w:val="24"/>
              </w:rPr>
            </w:pPr>
            <w:r>
              <w:rPr>
                <w:rFonts w:hint="eastAsia" w:ascii="宋体" w:hAnsi="宋体" w:cs="宋体"/>
                <w:sz w:val="24"/>
                <w:szCs w:val="24"/>
              </w:rPr>
              <w:t>单位地址：厦门市同安区美禾三路399号</w:t>
            </w:r>
          </w:p>
          <w:p>
            <w:pPr>
              <w:spacing w:line="360" w:lineRule="auto"/>
              <w:rPr>
                <w:rFonts w:ascii="宋体" w:hAnsi="宋体" w:cs="宋体"/>
                <w:sz w:val="24"/>
                <w:szCs w:val="24"/>
              </w:rPr>
            </w:pPr>
            <w:r>
              <w:rPr>
                <w:rFonts w:hint="eastAsia" w:ascii="宋体" w:hAnsi="宋体" w:cs="宋体"/>
                <w:sz w:val="24"/>
                <w:szCs w:val="24"/>
              </w:rPr>
              <w:t xml:space="preserve">法定代表人： </w:t>
            </w:r>
          </w:p>
          <w:p>
            <w:pPr>
              <w:spacing w:line="360" w:lineRule="auto"/>
              <w:rPr>
                <w:rFonts w:ascii="宋体" w:hAnsi="宋体" w:cs="宋体"/>
                <w:sz w:val="24"/>
                <w:szCs w:val="24"/>
              </w:rPr>
            </w:pPr>
            <w:r>
              <w:rPr>
                <w:rFonts w:hint="eastAsia" w:ascii="宋体" w:hAnsi="宋体" w:cs="宋体"/>
                <w:sz w:val="24"/>
                <w:szCs w:val="24"/>
              </w:rPr>
              <w:t>经办人：</w:t>
            </w:r>
          </w:p>
          <w:p>
            <w:pPr>
              <w:spacing w:line="360" w:lineRule="auto"/>
              <w:rPr>
                <w:rFonts w:ascii="仿宋" w:hAnsi="仿宋" w:eastAsia="仿宋"/>
                <w:sz w:val="24"/>
                <w:szCs w:val="24"/>
              </w:rPr>
            </w:pPr>
            <w:r>
              <w:rPr>
                <w:rFonts w:hint="eastAsia" w:ascii="宋体" w:hAnsi="宋体" w:cs="宋体"/>
                <w:sz w:val="24"/>
                <w:szCs w:val="24"/>
              </w:rPr>
              <w:t>开户银行：</w:t>
            </w:r>
            <w:r>
              <w:rPr>
                <w:rFonts w:hint="eastAsia" w:asciiTheme="minorEastAsia" w:hAnsiTheme="minorEastAsia"/>
                <w:sz w:val="24"/>
                <w:szCs w:val="24"/>
              </w:rPr>
              <w:t>建设银行厦门分行集美支行</w:t>
            </w:r>
          </w:p>
          <w:p>
            <w:pPr>
              <w:spacing w:line="360" w:lineRule="auto"/>
              <w:rPr>
                <w:rFonts w:ascii="仿宋" w:hAnsi="仿宋" w:eastAsia="仿宋"/>
                <w:sz w:val="24"/>
                <w:szCs w:val="24"/>
              </w:rPr>
            </w:pPr>
            <w:r>
              <w:rPr>
                <w:rFonts w:hint="eastAsia" w:ascii="宋体" w:hAnsi="宋体" w:cs="宋体"/>
                <w:sz w:val="24"/>
                <w:szCs w:val="24"/>
              </w:rPr>
              <w:t>账号：</w:t>
            </w:r>
            <w:r>
              <w:rPr>
                <w:rFonts w:hint="eastAsia" w:ascii="仿宋" w:hAnsi="仿宋" w:eastAsia="仿宋"/>
                <w:sz w:val="24"/>
                <w:szCs w:val="24"/>
              </w:rPr>
              <w:t>35101556001050000117</w:t>
            </w:r>
          </w:p>
          <w:p>
            <w:pPr>
              <w:spacing w:line="360" w:lineRule="auto"/>
              <w:rPr>
                <w:rFonts w:ascii="宋体" w:hAnsi="宋体" w:cs="宋体"/>
                <w:sz w:val="24"/>
                <w:szCs w:val="24"/>
              </w:rPr>
            </w:pPr>
            <w:r>
              <w:rPr>
                <w:rFonts w:hint="eastAsia" w:ascii="宋体" w:hAnsi="宋体" w:cs="宋体"/>
                <w:sz w:val="24"/>
                <w:szCs w:val="24"/>
              </w:rPr>
              <w:t>邮政编码：361022</w:t>
            </w:r>
          </w:p>
          <w:p>
            <w:pPr>
              <w:spacing w:line="360" w:lineRule="auto"/>
              <w:rPr>
                <w:rFonts w:ascii="宋体" w:hAnsi="宋体" w:cs="宋体"/>
                <w:bCs/>
                <w:sz w:val="24"/>
                <w:szCs w:val="24"/>
              </w:rPr>
            </w:pPr>
            <w:r>
              <w:rPr>
                <w:rFonts w:hint="eastAsia" w:ascii="宋体" w:hAnsi="宋体" w:cs="宋体"/>
                <w:sz w:val="24"/>
                <w:szCs w:val="24"/>
              </w:rPr>
              <w:t>电话：0592-</w:t>
            </w:r>
            <w:r>
              <w:rPr>
                <w:rFonts w:hint="eastAsia" w:ascii="仿宋" w:hAnsi="仿宋" w:eastAsia="仿宋"/>
                <w:sz w:val="24"/>
                <w:szCs w:val="24"/>
              </w:rPr>
              <w:t>7396211</w:t>
            </w:r>
          </w:p>
          <w:p>
            <w:pPr>
              <w:spacing w:line="360" w:lineRule="auto"/>
              <w:rPr>
                <w:rFonts w:ascii="宋体" w:hAnsi="宋体"/>
                <w:sz w:val="24"/>
              </w:rPr>
            </w:pPr>
            <w:r>
              <w:rPr>
                <w:rFonts w:hint="eastAsia" w:ascii="宋体" w:hAnsi="宋体" w:cs="宋体"/>
                <w:sz w:val="24"/>
                <w:szCs w:val="24"/>
              </w:rPr>
              <w:t>传真：0592-</w:t>
            </w:r>
            <w:r>
              <w:rPr>
                <w:rFonts w:hint="eastAsia" w:ascii="仿宋" w:hAnsi="仿宋" w:eastAsia="仿宋"/>
                <w:sz w:val="24"/>
                <w:szCs w:val="24"/>
              </w:rPr>
              <w:t>7396297</w:t>
            </w:r>
          </w:p>
        </w:tc>
        <w:tc>
          <w:tcPr>
            <w:tcW w:w="4349" w:type="dxa"/>
          </w:tcPr>
          <w:p>
            <w:pPr>
              <w:spacing w:line="360" w:lineRule="auto"/>
              <w:rPr>
                <w:rFonts w:ascii="宋体" w:hAnsi="宋体"/>
                <w:sz w:val="24"/>
                <w:szCs w:val="24"/>
              </w:rPr>
            </w:pPr>
            <w:r>
              <w:rPr>
                <w:rFonts w:hint="eastAsia" w:ascii="宋体" w:hAnsi="宋体"/>
                <w:sz w:val="24"/>
              </w:rPr>
              <w:t>乙</w:t>
            </w:r>
            <w:r>
              <w:rPr>
                <w:rFonts w:hint="eastAsia" w:ascii="宋体" w:hAnsi="宋体"/>
                <w:sz w:val="24"/>
                <w:szCs w:val="24"/>
              </w:rPr>
              <w:t>方：</w:t>
            </w:r>
          </w:p>
          <w:p>
            <w:pPr>
              <w:spacing w:line="360" w:lineRule="auto"/>
              <w:rPr>
                <w:rFonts w:ascii="宋体" w:hAnsi="宋体"/>
                <w:sz w:val="24"/>
                <w:szCs w:val="24"/>
              </w:rPr>
            </w:pPr>
            <w:r>
              <w:rPr>
                <w:rFonts w:hint="eastAsia" w:ascii="宋体" w:hAnsi="宋体"/>
                <w:sz w:val="24"/>
                <w:szCs w:val="24"/>
              </w:rPr>
              <w:t>地址：</w:t>
            </w:r>
          </w:p>
          <w:p>
            <w:pPr>
              <w:spacing w:line="360" w:lineRule="auto"/>
              <w:rPr>
                <w:rFonts w:ascii="宋体" w:hAnsi="宋体"/>
                <w:sz w:val="24"/>
                <w:szCs w:val="24"/>
              </w:rPr>
            </w:pPr>
            <w:r>
              <w:rPr>
                <w:rFonts w:hint="eastAsia" w:ascii="宋体" w:hAnsi="宋体"/>
                <w:sz w:val="24"/>
                <w:szCs w:val="24"/>
              </w:rPr>
              <w:t>法定代表人：</w:t>
            </w:r>
          </w:p>
          <w:p>
            <w:pPr>
              <w:spacing w:line="360" w:lineRule="auto"/>
              <w:rPr>
                <w:rFonts w:ascii="宋体" w:hAnsi="宋体"/>
                <w:sz w:val="24"/>
                <w:szCs w:val="24"/>
              </w:rPr>
            </w:pPr>
            <w:r>
              <w:rPr>
                <w:rFonts w:hint="eastAsia" w:ascii="宋体" w:hAnsi="宋体"/>
                <w:sz w:val="24"/>
                <w:szCs w:val="24"/>
              </w:rPr>
              <w:t>经办人：</w:t>
            </w:r>
          </w:p>
          <w:p>
            <w:pPr>
              <w:spacing w:line="360" w:lineRule="auto"/>
              <w:rPr>
                <w:rFonts w:ascii="宋体" w:hAnsi="宋体"/>
                <w:sz w:val="24"/>
                <w:szCs w:val="24"/>
              </w:rPr>
            </w:pPr>
            <w:r>
              <w:rPr>
                <w:rFonts w:hint="eastAsia" w:ascii="宋体" w:hAnsi="宋体"/>
                <w:sz w:val="24"/>
                <w:szCs w:val="24"/>
              </w:rPr>
              <w:t>开户银行：</w:t>
            </w:r>
          </w:p>
          <w:p>
            <w:pPr>
              <w:spacing w:line="360" w:lineRule="auto"/>
              <w:rPr>
                <w:rFonts w:ascii="宋体" w:hAnsi="宋体"/>
                <w:sz w:val="24"/>
                <w:szCs w:val="24"/>
              </w:rPr>
            </w:pPr>
            <w:r>
              <w:rPr>
                <w:rFonts w:hint="eastAsia" w:ascii="宋体" w:hAnsi="宋体"/>
                <w:sz w:val="24"/>
                <w:szCs w:val="24"/>
              </w:rPr>
              <w:t>账号：</w:t>
            </w:r>
          </w:p>
          <w:p>
            <w:pPr>
              <w:spacing w:line="360" w:lineRule="auto"/>
              <w:rPr>
                <w:rFonts w:ascii="宋体" w:hAnsi="宋体"/>
                <w:sz w:val="24"/>
                <w:szCs w:val="24"/>
              </w:rPr>
            </w:pPr>
            <w:r>
              <w:rPr>
                <w:rFonts w:hint="eastAsia" w:ascii="宋体" w:hAnsi="宋体"/>
                <w:sz w:val="24"/>
                <w:szCs w:val="24"/>
              </w:rPr>
              <w:t>邮政编码：</w:t>
            </w:r>
          </w:p>
          <w:p>
            <w:pPr>
              <w:spacing w:line="360" w:lineRule="auto"/>
              <w:rPr>
                <w:rFonts w:ascii="宋体" w:hAnsi="宋体"/>
                <w:sz w:val="24"/>
                <w:szCs w:val="24"/>
              </w:rPr>
            </w:pPr>
            <w:r>
              <w:rPr>
                <w:rFonts w:hint="eastAsia" w:ascii="宋体" w:hAnsi="宋体"/>
                <w:sz w:val="24"/>
                <w:szCs w:val="24"/>
              </w:rPr>
              <w:t>电话：</w:t>
            </w:r>
          </w:p>
          <w:p>
            <w:pPr>
              <w:spacing w:line="360" w:lineRule="auto"/>
              <w:rPr>
                <w:rFonts w:ascii="宋体" w:hAnsi="宋体"/>
                <w:sz w:val="24"/>
              </w:rPr>
            </w:pPr>
            <w:r>
              <w:rPr>
                <w:rFonts w:hint="eastAsia" w:ascii="宋体" w:hAnsi="宋体"/>
                <w:sz w:val="24"/>
                <w:szCs w:val="24"/>
              </w:rPr>
              <w:t>传真：</w:t>
            </w:r>
          </w:p>
        </w:tc>
      </w:tr>
    </w:tbl>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36"/>
          <w:szCs w:val="36"/>
        </w:rPr>
      </w:pPr>
      <w:bookmarkStart w:id="48" w:name="_Toc30894"/>
      <w:bookmarkStart w:id="49" w:name="_Toc28305"/>
      <w:bookmarkStart w:id="50" w:name="_Toc3580"/>
      <w:r>
        <w:rPr>
          <w:rFonts w:hint="eastAsia" w:ascii="宋体" w:hAnsi="宋体" w:cs="宋体"/>
          <w:b/>
          <w:kern w:val="0"/>
          <w:sz w:val="36"/>
          <w:szCs w:val="36"/>
        </w:rPr>
        <w:t>同集热电碳酸钙（石灰石粉）</w:t>
      </w:r>
      <w:r>
        <w:rPr>
          <w:rFonts w:hint="eastAsia" w:ascii="宋体" w:hAnsi="宋体"/>
          <w:b/>
          <w:sz w:val="36"/>
          <w:szCs w:val="36"/>
        </w:rPr>
        <w:t>采购项目</w:t>
      </w:r>
    </w:p>
    <w:bookmarkEnd w:id="48"/>
    <w:bookmarkEnd w:id="49"/>
    <w:bookmarkEnd w:id="50"/>
    <w:p>
      <w:pPr>
        <w:spacing w:line="360" w:lineRule="auto"/>
        <w:jc w:val="center"/>
        <w:outlineLvl w:val="0"/>
        <w:rPr>
          <w:rFonts w:ascii="宋体" w:hAnsi="宋体"/>
          <w:b/>
          <w:sz w:val="36"/>
          <w:szCs w:val="36"/>
        </w:rPr>
      </w:pPr>
      <w:r>
        <w:rPr>
          <w:rFonts w:hint="eastAsia" w:ascii="宋体" w:hAnsi="宋体"/>
          <w:b/>
          <w:sz w:val="36"/>
          <w:szCs w:val="36"/>
        </w:rPr>
        <w:t>报价文件</w:t>
      </w:r>
    </w:p>
    <w:p>
      <w:pPr>
        <w:spacing w:line="360" w:lineRule="auto"/>
        <w:rPr>
          <w:rFonts w:ascii="宋体" w:hAnsi="宋体"/>
          <w:b/>
          <w:sz w:val="36"/>
        </w:rPr>
      </w:pPr>
    </w:p>
    <w:p>
      <w:pPr>
        <w:spacing w:beforeLines="50" w:line="400" w:lineRule="atLeast"/>
        <w:ind w:firstLine="602" w:firstLineChars="200"/>
        <w:jc w:val="left"/>
        <w:outlineLvl w:val="0"/>
        <w:rPr>
          <w:rFonts w:ascii="宋体" w:hAnsi="宋体"/>
          <w:b/>
          <w:bCs/>
          <w:sz w:val="30"/>
          <w:szCs w:val="30"/>
          <w:u w:val="single"/>
        </w:rPr>
      </w:pPr>
      <w:bookmarkStart w:id="51" w:name="_Toc12676"/>
      <w:bookmarkStart w:id="52" w:name="_Toc27454"/>
      <w:bookmarkStart w:id="53" w:name="_Toc10610"/>
      <w:bookmarkStart w:id="54" w:name="_Toc31210"/>
      <w:bookmarkStart w:id="55" w:name="_Toc260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Lines="50" w:line="400" w:lineRule="atLeast"/>
        <w:ind w:firstLine="602" w:firstLineChars="200"/>
        <w:jc w:val="left"/>
        <w:outlineLvl w:val="0"/>
        <w:rPr>
          <w:rFonts w:ascii="宋体" w:hAnsi="宋体"/>
          <w:b/>
          <w:bCs/>
          <w:sz w:val="30"/>
          <w:szCs w:val="30"/>
          <w:u w:val="single"/>
        </w:rPr>
      </w:pPr>
      <w:bookmarkStart w:id="56" w:name="_Toc26421"/>
      <w:bookmarkStart w:id="57" w:name="_Toc28416"/>
      <w:bookmarkStart w:id="58" w:name="_Toc16600"/>
      <w:bookmarkStart w:id="59" w:name="_Toc2110"/>
      <w:bookmarkStart w:id="60" w:name="_Toc22504"/>
      <w:r>
        <w:rPr>
          <w:rFonts w:hint="eastAsia" w:ascii="宋体" w:hAnsi="宋体"/>
          <w:b/>
          <w:bCs/>
          <w:sz w:val="30"/>
          <w:szCs w:val="30"/>
        </w:rPr>
        <w:t>法定代表人或其委托代理人：</w:t>
      </w:r>
      <w:bookmarkEnd w:id="56"/>
      <w:bookmarkEnd w:id="57"/>
      <w:bookmarkEnd w:id="58"/>
      <w:bookmarkEnd w:id="59"/>
      <w:bookmarkEnd w:id="60"/>
    </w:p>
    <w:p>
      <w:pPr>
        <w:spacing w:beforeLines="50" w:line="400" w:lineRule="atLeast"/>
        <w:ind w:firstLine="562" w:firstLineChars="200"/>
        <w:outlineLvl w:val="0"/>
        <w:rPr>
          <w:rFonts w:ascii="宋体" w:hAnsi="宋体"/>
          <w:b/>
          <w:bCs/>
          <w:sz w:val="28"/>
          <w:szCs w:val="28"/>
        </w:rPr>
      </w:pPr>
      <w:bookmarkStart w:id="61" w:name="_Toc19182"/>
      <w:bookmarkStart w:id="62" w:name="_Toc24026"/>
      <w:bookmarkStart w:id="63" w:name="_Toc7425"/>
      <w:bookmarkStart w:id="64" w:name="_Toc7142"/>
      <w:bookmarkStart w:id="65" w:name="_Toc14233"/>
      <w:r>
        <w:rPr>
          <w:rFonts w:hint="eastAsia" w:ascii="宋体" w:hAnsi="宋体"/>
          <w:b/>
          <w:bCs/>
          <w:sz w:val="28"/>
          <w:szCs w:val="28"/>
        </w:rPr>
        <w:t>报价日期：2023年  月   日</w:t>
      </w:r>
      <w:bookmarkEnd w:id="61"/>
      <w:bookmarkEnd w:id="62"/>
      <w:bookmarkEnd w:id="63"/>
      <w:bookmarkEnd w:id="64"/>
      <w:bookmarkEnd w:id="65"/>
    </w:p>
    <w:p>
      <w:pPr>
        <w:spacing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p>
    <w:p>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spacing w:val="-4"/>
          <w:sz w:val="24"/>
          <w:szCs w:val="24"/>
          <w:u w:val="single"/>
        </w:rPr>
        <w:t>同集</w:t>
      </w:r>
      <w:r>
        <w:rPr>
          <w:rFonts w:ascii="宋体" w:hAnsi="宋体" w:cs="宋体"/>
          <w:spacing w:val="-4"/>
          <w:sz w:val="24"/>
          <w:szCs w:val="24"/>
          <w:u w:val="single"/>
        </w:rPr>
        <w:t>热电</w:t>
      </w:r>
      <w:r>
        <w:rPr>
          <w:rFonts w:hint="eastAsia" w:ascii="宋体" w:hAnsi="宋体" w:cs="宋体"/>
          <w:kern w:val="0"/>
          <w:sz w:val="24"/>
          <w:szCs w:val="24"/>
          <w:u w:val="single"/>
        </w:rPr>
        <w:t>碳酸钙（石灰石粉）</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ind w:firstLine="240" w:firstLineChars="100"/>
        <w:rPr>
          <w:rFonts w:ascii="宋体" w:hAnsi="宋体"/>
          <w:bCs/>
          <w:sz w:val="24"/>
          <w:szCs w:val="24"/>
        </w:rPr>
      </w:pPr>
      <w:r>
        <w:rPr>
          <w:rFonts w:hint="eastAsia" w:ascii="宋体" w:hAnsi="宋体"/>
          <w:bCs/>
          <w:sz w:val="24"/>
          <w:szCs w:val="24"/>
        </w:rPr>
        <w:t>报价单位（盖公章）:</w:t>
      </w:r>
    </w:p>
    <w:p>
      <w:pPr>
        <w:kinsoku w:val="0"/>
        <w:overflowPunct w:val="0"/>
        <w:snapToGrid w:val="0"/>
        <w:spacing w:line="520" w:lineRule="atLeast"/>
        <w:ind w:firstLine="232" w:firstLineChars="100"/>
        <w:rPr>
          <w:rFonts w:ascii="宋体" w:hAnsi="宋体" w:cs="宋体"/>
          <w:spacing w:val="-4"/>
          <w:sz w:val="24"/>
          <w:szCs w:val="24"/>
          <w:u w:val="single"/>
        </w:rPr>
      </w:pPr>
    </w:p>
    <w:p>
      <w:pPr>
        <w:kinsoku w:val="0"/>
        <w:overflowPunct w:val="0"/>
        <w:snapToGrid w:val="0"/>
        <w:spacing w:line="520" w:lineRule="atLeast"/>
        <w:ind w:firstLine="232" w:firstLineChars="100"/>
        <w:rPr>
          <w:rFonts w:ascii="宋体" w:hAnsi="宋体" w:cs="宋体"/>
          <w:spacing w:val="-4"/>
          <w:sz w:val="24"/>
          <w:szCs w:val="24"/>
        </w:rPr>
      </w:pPr>
      <w:r>
        <w:rPr>
          <w:rFonts w:hint="eastAsia" w:ascii="宋体" w:hAnsi="宋体" w:cs="宋体"/>
          <w:spacing w:val="-4"/>
          <w:sz w:val="24"/>
          <w:szCs w:val="24"/>
        </w:rPr>
        <w:t>法定代表人或授权代理人（签字或盖章）：</w:t>
      </w:r>
    </w:p>
    <w:p>
      <w:pPr>
        <w:kinsoku w:val="0"/>
        <w:overflowPunct w:val="0"/>
        <w:snapToGrid w:val="0"/>
        <w:spacing w:line="520" w:lineRule="atLeast"/>
        <w:ind w:firstLine="232" w:firstLineChars="100"/>
        <w:rPr>
          <w:rFonts w:ascii="宋体" w:hAnsi="宋体" w:cs="宋体"/>
          <w:spacing w:val="-4"/>
          <w:sz w:val="24"/>
          <w:szCs w:val="24"/>
          <w:u w:val="single"/>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rPr>
        <w:t>3年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kern w:val="0"/>
          <w:sz w:val="36"/>
          <w:szCs w:val="36"/>
        </w:rPr>
        <w:t>谈 判 报 价 书</w:t>
      </w:r>
      <w:r>
        <w:rPr>
          <w:rFonts w:hint="eastAsia" w:ascii="宋体" w:hAnsi="宋体"/>
          <w:b/>
          <w:kern w:val="0"/>
          <w:sz w:val="36"/>
          <w:szCs w:val="36"/>
        </w:rPr>
        <w:t>（</w:t>
      </w:r>
      <w:r>
        <w:rPr>
          <w:rFonts w:ascii="宋体" w:hAnsi="宋体"/>
          <w:b/>
          <w:kern w:val="0"/>
          <w:sz w:val="28"/>
          <w:szCs w:val="28"/>
        </w:rPr>
        <w:t>同集热电</w:t>
      </w:r>
      <w:r>
        <w:rPr>
          <w:rFonts w:ascii="宋体" w:hAnsi="宋体"/>
          <w:b/>
          <w:kern w:val="0"/>
          <w:sz w:val="36"/>
          <w:szCs w:val="36"/>
        </w:rPr>
        <w:t>）</w:t>
      </w:r>
    </w:p>
    <w:tbl>
      <w:tblPr>
        <w:tblStyle w:val="12"/>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34"/>
        <w:gridCol w:w="3147"/>
        <w:gridCol w:w="3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3034"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3147"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ascii="宋体" w:hAnsi="宋体" w:eastAsia="宋体" w:cs="Times New Roman"/>
                <w:kern w:val="0"/>
                <w:sz w:val="24"/>
                <w:szCs w:val="24"/>
              </w:rPr>
              <w:t>）</w:t>
            </w:r>
          </w:p>
        </w:tc>
        <w:tc>
          <w:tcPr>
            <w:tcW w:w="3450"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3034" w:type="dxa"/>
            <w:vAlign w:val="center"/>
          </w:tcPr>
          <w:p>
            <w:pPr>
              <w:widowControl/>
              <w:spacing w:line="276" w:lineRule="auto"/>
              <w:jc w:val="center"/>
              <w:rPr>
                <w:rFonts w:ascii="宋体" w:hAnsi="宋体" w:eastAsia="宋体" w:cs="宋体"/>
                <w:kern w:val="0"/>
                <w:sz w:val="24"/>
                <w:szCs w:val="20"/>
              </w:rPr>
            </w:pPr>
            <w:r>
              <w:rPr>
                <w:rFonts w:hint="eastAsia" w:ascii="Times New Roman" w:hAnsi="Times New Roman" w:eastAsia="宋体" w:cs="宋体"/>
                <w:kern w:val="0"/>
                <w:sz w:val="24"/>
                <w:szCs w:val="20"/>
              </w:rPr>
              <w:t>碳酸钙</w:t>
            </w:r>
          </w:p>
          <w:p>
            <w:pPr>
              <w:widowControl/>
              <w:spacing w:line="276" w:lineRule="auto"/>
              <w:jc w:val="center"/>
              <w:rPr>
                <w:rFonts w:ascii="宋体" w:hAnsi="宋体" w:eastAsia="宋体" w:cs="Times New Roman"/>
                <w:kern w:val="0"/>
                <w:sz w:val="24"/>
                <w:szCs w:val="24"/>
              </w:rPr>
            </w:pPr>
            <w:r>
              <w:rPr>
                <w:rFonts w:hint="eastAsia" w:ascii="Times New Roman" w:hAnsi="Times New Roman" w:eastAsia="宋体" w:cs="宋体"/>
                <w:kern w:val="0"/>
                <w:sz w:val="24"/>
                <w:szCs w:val="20"/>
              </w:rPr>
              <w:t>（</w:t>
            </w:r>
            <w:r>
              <w:rPr>
                <w:rFonts w:hint="eastAsia" w:ascii="宋体" w:hAnsi="宋体" w:eastAsia="宋体" w:cs="宋体"/>
                <w:kern w:val="0"/>
                <w:sz w:val="24"/>
                <w:szCs w:val="20"/>
              </w:rPr>
              <w:t>碳酸钙含量≥90%，含水量≤0.8%）</w:t>
            </w:r>
          </w:p>
        </w:tc>
        <w:tc>
          <w:tcPr>
            <w:tcW w:w="3147" w:type="dxa"/>
            <w:vAlign w:val="center"/>
          </w:tcPr>
          <w:p>
            <w:pPr>
              <w:widowControl/>
              <w:spacing w:line="500" w:lineRule="exact"/>
              <w:jc w:val="center"/>
              <w:rPr>
                <w:rFonts w:ascii="宋体" w:hAnsi="宋体" w:eastAsia="宋体" w:cs="Times New Roman"/>
                <w:kern w:val="0"/>
                <w:sz w:val="24"/>
                <w:szCs w:val="24"/>
              </w:rPr>
            </w:pPr>
          </w:p>
        </w:tc>
        <w:tc>
          <w:tcPr>
            <w:tcW w:w="3450" w:type="dxa"/>
            <w:vAlign w:val="center"/>
          </w:tcPr>
          <w:p>
            <w:pPr>
              <w:widowControl/>
              <w:spacing w:line="500" w:lineRule="exact"/>
              <w:jc w:val="cente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3"/>
            <w:vAlign w:val="center"/>
          </w:tcPr>
          <w:p>
            <w:pPr>
              <w:widowControl/>
              <w:jc w:val="left"/>
              <w:rPr>
                <w:rFonts w:ascii="宋体" w:hAnsi="宋体" w:eastAsia="宋体" w:cs="宋体"/>
                <w:kern w:val="0"/>
                <w:sz w:val="20"/>
                <w:szCs w:val="21"/>
              </w:rPr>
            </w:pPr>
            <w:r>
              <w:rPr>
                <w:rFonts w:ascii="宋体" w:hAnsi="宋体" w:eastAsia="宋体" w:cs="宋体"/>
                <w:kern w:val="0"/>
                <w:sz w:val="20"/>
                <w:szCs w:val="21"/>
              </w:rPr>
              <w:t>说明：</w:t>
            </w:r>
          </w:p>
          <w:p>
            <w:pPr>
              <w:widowControl/>
              <w:jc w:val="left"/>
              <w:rPr>
                <w:rFonts w:ascii="宋体" w:hAnsi="宋体" w:eastAsia="宋体" w:cs="宋体"/>
                <w:kern w:val="0"/>
                <w:sz w:val="20"/>
                <w:szCs w:val="21"/>
              </w:rPr>
            </w:pPr>
            <w:r>
              <w:rPr>
                <w:rFonts w:ascii="宋体" w:hAnsi="宋体" w:eastAsia="宋体" w:cs="宋体"/>
                <w:kern w:val="0"/>
                <w:sz w:val="20"/>
                <w:szCs w:val="21"/>
              </w:rPr>
              <w:t>1、</w:t>
            </w:r>
            <w:r>
              <w:rPr>
                <w:rFonts w:hint="eastAsia" w:ascii="宋体" w:hAnsi="宋体" w:eastAsia="宋体" w:cs="宋体"/>
                <w:kern w:val="0"/>
                <w:sz w:val="20"/>
                <w:szCs w:val="21"/>
              </w:rPr>
              <w:t>谈判保证金为伍仟元整（¥5000.00）。</w:t>
            </w:r>
          </w:p>
          <w:p>
            <w:pPr>
              <w:widowControl/>
              <w:jc w:val="left"/>
              <w:rPr>
                <w:rFonts w:ascii="宋体" w:hAnsi="宋体" w:eastAsia="宋体" w:cs="宋体"/>
                <w:kern w:val="0"/>
                <w:sz w:val="20"/>
                <w:szCs w:val="21"/>
              </w:rPr>
            </w:pPr>
            <w:r>
              <w:rPr>
                <w:rFonts w:ascii="Times New Roman" w:hAnsi="Times New Roman" w:eastAsia="宋体" w:cs="Times New Roman"/>
                <w:kern w:val="0"/>
                <w:sz w:val="20"/>
                <w:szCs w:val="21"/>
              </w:rPr>
              <w:t>2</w:t>
            </w:r>
            <w:r>
              <w:rPr>
                <w:rFonts w:hint="eastAsia" w:ascii="Times New Roman" w:hAnsi="Times New Roman" w:eastAsia="宋体" w:cs="Times New Roman"/>
                <w:kern w:val="0"/>
                <w:sz w:val="20"/>
                <w:szCs w:val="21"/>
              </w:rPr>
              <w:t>、</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r>
              <w:rPr>
                <w:rFonts w:ascii="宋体" w:hAnsi="宋体" w:eastAsia="宋体" w:cs="宋体"/>
                <w:kern w:val="0"/>
                <w:sz w:val="20"/>
                <w:szCs w:val="21"/>
              </w:rPr>
              <w:t>3</w:t>
            </w:r>
            <w:r>
              <w:rPr>
                <w:rFonts w:hint="eastAsia" w:ascii="宋体" w:hAnsi="宋体" w:eastAsia="宋体" w:cs="宋体"/>
                <w:kern w:val="0"/>
                <w:sz w:val="20"/>
                <w:szCs w:val="21"/>
              </w:rPr>
              <w:t>、</w:t>
            </w:r>
            <w:r>
              <w:rPr>
                <w:rFonts w:ascii="宋体" w:hAnsi="宋体" w:eastAsia="宋体" w:cs="宋体"/>
                <w:kern w:val="0"/>
                <w:sz w:val="20"/>
                <w:szCs w:val="21"/>
              </w:rPr>
              <w:t>报价含</w:t>
            </w:r>
            <w:r>
              <w:rPr>
                <w:rFonts w:hint="eastAsia" w:ascii="宋体" w:hAnsi="宋体" w:eastAsia="宋体" w:cs="宋体"/>
                <w:kern w:val="0"/>
                <w:sz w:val="20"/>
                <w:szCs w:val="21"/>
              </w:rPr>
              <w:t>装卸</w:t>
            </w:r>
            <w:r>
              <w:rPr>
                <w:rFonts w:ascii="宋体" w:hAnsi="宋体" w:eastAsia="宋体" w:cs="宋体"/>
                <w:kern w:val="0"/>
                <w:sz w:val="20"/>
                <w:szCs w:val="21"/>
              </w:rPr>
              <w:t>费。</w:t>
            </w: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rPr>
        <w:t>3年 月日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同集</w:t>
      </w:r>
      <w:r>
        <w:rPr>
          <w:rFonts w:ascii="宋体" w:hAnsi="宋体" w:eastAsia="宋体" w:cs="Times New Roman"/>
          <w:bCs/>
          <w:color w:val="000000"/>
          <w:sz w:val="28"/>
          <w:szCs w:val="28"/>
          <w:u w:val="single"/>
        </w:rPr>
        <w:t>热电</w:t>
      </w:r>
      <w:r>
        <w:rPr>
          <w:rFonts w:hint="eastAsia" w:ascii="宋体" w:hAnsi="宋体" w:cs="宋体"/>
          <w:kern w:val="0"/>
          <w:sz w:val="28"/>
          <w:szCs w:val="28"/>
          <w:u w:val="single"/>
        </w:rPr>
        <w:t>碳酸钙（石灰石粉）</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rPr>
        <w:t>3</w:t>
      </w:r>
      <w:r>
        <w:rPr>
          <w:rFonts w:hint="eastAsia" w:ascii="宋体" w:hAnsi="宋体" w:eastAsia="宋体" w:cs="Times New Roman"/>
          <w:bCs/>
          <w:color w:val="000000"/>
          <w:sz w:val="28"/>
          <w:szCs w:val="28"/>
        </w:rPr>
        <w:t>年</w:t>
      </w:r>
      <w:r>
        <w:rPr>
          <w:rFonts w:hint="eastAsia" w:ascii="宋体" w:hAnsi="宋体" w:eastAsia="宋体" w:cs="Times New Roman"/>
          <w:bCs/>
          <w:color w:val="000000"/>
          <w:sz w:val="28"/>
          <w:szCs w:val="28"/>
          <w:lang w:val="en-US" w:eastAsia="zh-CN"/>
        </w:rPr>
        <w:t xml:space="preserve"> </w:t>
      </w:r>
      <w:r>
        <w:rPr>
          <w:rFonts w:hint="eastAsia" w:ascii="宋体" w:hAnsi="宋体" w:eastAsia="宋体" w:cs="Times New Roman"/>
          <w:bCs/>
          <w:color w:val="000000"/>
          <w:sz w:val="28"/>
          <w:szCs w:val="28"/>
        </w:rPr>
        <w:t>月</w:t>
      </w:r>
      <w:r>
        <w:rPr>
          <w:rFonts w:hint="eastAsia" w:ascii="宋体" w:hAnsi="宋体" w:eastAsia="宋体" w:cs="Times New Roman"/>
          <w:bCs/>
          <w:color w:val="000000"/>
          <w:sz w:val="28"/>
          <w:szCs w:val="28"/>
          <w:lang w:val="en-US" w:eastAsia="zh-CN"/>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0"/>
        <w:keepNext w:val="0"/>
        <w:keepLines w:val="0"/>
        <w:kinsoku w:val="0"/>
        <w:overflowPunct w:val="0"/>
        <w:snapToGrid w:val="0"/>
        <w:spacing w:before="0"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0"/>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20"/>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99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DhmMzliMjFmY2I5YWMxMGFjMzhkNjY4NTY4NjM0NTUifQ=="/>
  </w:docVars>
  <w:rsids>
    <w:rsidRoot w:val="003E3D3F"/>
    <w:rsid w:val="00005E9F"/>
    <w:rsid w:val="00031D36"/>
    <w:rsid w:val="00050D8D"/>
    <w:rsid w:val="000805A8"/>
    <w:rsid w:val="00095D6D"/>
    <w:rsid w:val="000A243A"/>
    <w:rsid w:val="000A4451"/>
    <w:rsid w:val="000C132A"/>
    <w:rsid w:val="000E0533"/>
    <w:rsid w:val="000E51CC"/>
    <w:rsid w:val="001314AB"/>
    <w:rsid w:val="00131DE1"/>
    <w:rsid w:val="00160B98"/>
    <w:rsid w:val="00162823"/>
    <w:rsid w:val="001C4C0F"/>
    <w:rsid w:val="0020084C"/>
    <w:rsid w:val="00213F2D"/>
    <w:rsid w:val="0024527F"/>
    <w:rsid w:val="00252D57"/>
    <w:rsid w:val="00262D0E"/>
    <w:rsid w:val="00281105"/>
    <w:rsid w:val="00286905"/>
    <w:rsid w:val="002B721F"/>
    <w:rsid w:val="002F5B21"/>
    <w:rsid w:val="002F5D78"/>
    <w:rsid w:val="002F7541"/>
    <w:rsid w:val="003055B8"/>
    <w:rsid w:val="00350970"/>
    <w:rsid w:val="00350E30"/>
    <w:rsid w:val="00365542"/>
    <w:rsid w:val="003719FD"/>
    <w:rsid w:val="003804EA"/>
    <w:rsid w:val="0038677E"/>
    <w:rsid w:val="003A705C"/>
    <w:rsid w:val="003C1CD2"/>
    <w:rsid w:val="003E3D3F"/>
    <w:rsid w:val="003E410F"/>
    <w:rsid w:val="00403E53"/>
    <w:rsid w:val="00411D01"/>
    <w:rsid w:val="00416BF4"/>
    <w:rsid w:val="00427268"/>
    <w:rsid w:val="00463794"/>
    <w:rsid w:val="004A0CD1"/>
    <w:rsid w:val="004B2035"/>
    <w:rsid w:val="004B4046"/>
    <w:rsid w:val="004E48D3"/>
    <w:rsid w:val="004E6E83"/>
    <w:rsid w:val="004F2391"/>
    <w:rsid w:val="005019B0"/>
    <w:rsid w:val="00504346"/>
    <w:rsid w:val="0051243F"/>
    <w:rsid w:val="005168EE"/>
    <w:rsid w:val="005271A7"/>
    <w:rsid w:val="00535E76"/>
    <w:rsid w:val="005530F3"/>
    <w:rsid w:val="005733C1"/>
    <w:rsid w:val="00576307"/>
    <w:rsid w:val="005B1261"/>
    <w:rsid w:val="005B766B"/>
    <w:rsid w:val="005C4C0E"/>
    <w:rsid w:val="005D0F2F"/>
    <w:rsid w:val="005F6A84"/>
    <w:rsid w:val="00613635"/>
    <w:rsid w:val="0062737E"/>
    <w:rsid w:val="00631BDF"/>
    <w:rsid w:val="00672834"/>
    <w:rsid w:val="00676825"/>
    <w:rsid w:val="00680364"/>
    <w:rsid w:val="006A33C8"/>
    <w:rsid w:val="006A6237"/>
    <w:rsid w:val="006C1BAF"/>
    <w:rsid w:val="006E3E2D"/>
    <w:rsid w:val="00701797"/>
    <w:rsid w:val="0073562C"/>
    <w:rsid w:val="00754E4D"/>
    <w:rsid w:val="00760B20"/>
    <w:rsid w:val="00763EC0"/>
    <w:rsid w:val="00772B7B"/>
    <w:rsid w:val="007A1322"/>
    <w:rsid w:val="007A77CE"/>
    <w:rsid w:val="007A7E20"/>
    <w:rsid w:val="00857BA7"/>
    <w:rsid w:val="00864DDC"/>
    <w:rsid w:val="00886013"/>
    <w:rsid w:val="00896BB7"/>
    <w:rsid w:val="00897CD9"/>
    <w:rsid w:val="00897F6E"/>
    <w:rsid w:val="008A444C"/>
    <w:rsid w:val="008C4558"/>
    <w:rsid w:val="008C7858"/>
    <w:rsid w:val="008F6EC4"/>
    <w:rsid w:val="00912D7A"/>
    <w:rsid w:val="00917815"/>
    <w:rsid w:val="00933AA4"/>
    <w:rsid w:val="009355DF"/>
    <w:rsid w:val="00946CDF"/>
    <w:rsid w:val="00954CC8"/>
    <w:rsid w:val="0096225E"/>
    <w:rsid w:val="00962321"/>
    <w:rsid w:val="00963712"/>
    <w:rsid w:val="00965D5D"/>
    <w:rsid w:val="009700E3"/>
    <w:rsid w:val="00992139"/>
    <w:rsid w:val="009A60F1"/>
    <w:rsid w:val="009D4206"/>
    <w:rsid w:val="009E27BA"/>
    <w:rsid w:val="00A04DDE"/>
    <w:rsid w:val="00A0560E"/>
    <w:rsid w:val="00A06249"/>
    <w:rsid w:val="00A14F23"/>
    <w:rsid w:val="00A3748E"/>
    <w:rsid w:val="00A43080"/>
    <w:rsid w:val="00A5127B"/>
    <w:rsid w:val="00A623BD"/>
    <w:rsid w:val="00A63A98"/>
    <w:rsid w:val="00AA51C2"/>
    <w:rsid w:val="00AB2A4E"/>
    <w:rsid w:val="00AD7CD3"/>
    <w:rsid w:val="00AE5550"/>
    <w:rsid w:val="00B12985"/>
    <w:rsid w:val="00B364D7"/>
    <w:rsid w:val="00B71276"/>
    <w:rsid w:val="00B837F8"/>
    <w:rsid w:val="00B90DCD"/>
    <w:rsid w:val="00B90F7C"/>
    <w:rsid w:val="00B91873"/>
    <w:rsid w:val="00B9651A"/>
    <w:rsid w:val="00BB3ED4"/>
    <w:rsid w:val="00BB4F50"/>
    <w:rsid w:val="00BC61B8"/>
    <w:rsid w:val="00C27F33"/>
    <w:rsid w:val="00C31A45"/>
    <w:rsid w:val="00C5035C"/>
    <w:rsid w:val="00C90576"/>
    <w:rsid w:val="00C905A5"/>
    <w:rsid w:val="00CE2BE3"/>
    <w:rsid w:val="00CE5D66"/>
    <w:rsid w:val="00CF572F"/>
    <w:rsid w:val="00D00718"/>
    <w:rsid w:val="00D112E8"/>
    <w:rsid w:val="00D20430"/>
    <w:rsid w:val="00D2643D"/>
    <w:rsid w:val="00D31227"/>
    <w:rsid w:val="00D43597"/>
    <w:rsid w:val="00D44C2C"/>
    <w:rsid w:val="00D513A8"/>
    <w:rsid w:val="00D531AB"/>
    <w:rsid w:val="00D66A7C"/>
    <w:rsid w:val="00D819C9"/>
    <w:rsid w:val="00D930A9"/>
    <w:rsid w:val="00DA4CCE"/>
    <w:rsid w:val="00DA7CC5"/>
    <w:rsid w:val="00DB222A"/>
    <w:rsid w:val="00DB2DF2"/>
    <w:rsid w:val="00DC3302"/>
    <w:rsid w:val="00E00390"/>
    <w:rsid w:val="00E04DC5"/>
    <w:rsid w:val="00E17BE1"/>
    <w:rsid w:val="00E759A1"/>
    <w:rsid w:val="00E81C97"/>
    <w:rsid w:val="00EA0F0D"/>
    <w:rsid w:val="00ED67D9"/>
    <w:rsid w:val="00EF1BAA"/>
    <w:rsid w:val="00F07AD4"/>
    <w:rsid w:val="00F14324"/>
    <w:rsid w:val="00F31602"/>
    <w:rsid w:val="00F51E70"/>
    <w:rsid w:val="00F57E07"/>
    <w:rsid w:val="00F6225F"/>
    <w:rsid w:val="00F70944"/>
    <w:rsid w:val="00FE3BE8"/>
    <w:rsid w:val="00FF2A80"/>
    <w:rsid w:val="03B122C9"/>
    <w:rsid w:val="15564E11"/>
    <w:rsid w:val="41287570"/>
    <w:rsid w:val="45D943F1"/>
    <w:rsid w:val="498D7384"/>
    <w:rsid w:val="66092260"/>
    <w:rsid w:val="78EE6EF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9"/>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3"/>
    <w:semiHidden/>
    <w:unhideWhenUsed/>
    <w:qFormat/>
    <w:uiPriority w:val="99"/>
    <w:pPr>
      <w:jc w:val="left"/>
    </w:pPr>
  </w:style>
  <w:style w:type="paragraph" w:styleId="5">
    <w:name w:val="Body Text Indent"/>
    <w:basedOn w:val="1"/>
    <w:link w:val="26"/>
    <w:qFormat/>
    <w:uiPriority w:val="0"/>
    <w:pPr>
      <w:ind w:firstLine="420" w:firstLineChars="200"/>
    </w:pPr>
    <w:rPr>
      <w:rFonts w:ascii="Times New Roman" w:hAnsi="Times New Roman" w:eastAsia="宋体" w:cs="Times New Roman"/>
      <w:szCs w:val="18"/>
    </w:rPr>
  </w:style>
  <w:style w:type="paragraph" w:styleId="6">
    <w:name w:val="Balloon Text"/>
    <w:basedOn w:val="1"/>
    <w:link w:val="25"/>
    <w:semiHidden/>
    <w:unhideWhenUsed/>
    <w:qFormat/>
    <w:uiPriority w:val="99"/>
    <w:rPr>
      <w:sz w:val="18"/>
      <w:szCs w:val="18"/>
    </w:rPr>
  </w:style>
  <w:style w:type="paragraph" w:styleId="7">
    <w:name w:val="footer"/>
    <w:basedOn w:val="1"/>
    <w:link w:val="18"/>
    <w:unhideWhenUsed/>
    <w:qFormat/>
    <w:uiPriority w:val="99"/>
    <w:pPr>
      <w:tabs>
        <w:tab w:val="center" w:pos="4153"/>
        <w:tab w:val="right" w:pos="8306"/>
      </w:tabs>
      <w:snapToGrid w:val="0"/>
      <w:jc w:val="left"/>
    </w:pPr>
    <w:rPr>
      <w:sz w:val="18"/>
      <w:szCs w:val="18"/>
    </w:rPr>
  </w:style>
  <w:style w:type="paragraph" w:styleId="8">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next w:val="1"/>
    <w:link w:val="21"/>
    <w:qFormat/>
    <w:uiPriority w:val="0"/>
    <w:pPr>
      <w:spacing w:before="240" w:after="60"/>
      <w:jc w:val="center"/>
      <w:outlineLvl w:val="0"/>
    </w:pPr>
    <w:rPr>
      <w:rFonts w:ascii="Cambria" w:hAnsi="Cambria" w:cs="Times New Roman"/>
      <w:b/>
      <w:bCs/>
      <w:sz w:val="32"/>
      <w:szCs w:val="32"/>
    </w:rPr>
  </w:style>
  <w:style w:type="paragraph" w:styleId="10">
    <w:name w:val="annotation subject"/>
    <w:basedOn w:val="4"/>
    <w:next w:val="4"/>
    <w:link w:val="24"/>
    <w:semiHidden/>
    <w:unhideWhenUsed/>
    <w:qFormat/>
    <w:uiPriority w:val="99"/>
    <w:rPr>
      <w:b/>
      <w:bCs/>
    </w:rPr>
  </w:style>
  <w:style w:type="table" w:styleId="12">
    <w:name w:val="Table Grid"/>
    <w:basedOn w:val="11"/>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Strong"/>
    <w:basedOn w:val="13"/>
    <w:qFormat/>
    <w:uiPriority w:val="22"/>
    <w:rPr>
      <w:b/>
      <w:bCs/>
    </w:rPr>
  </w:style>
  <w:style w:type="character" w:styleId="15">
    <w:name w:val="Hyperlink"/>
    <w:basedOn w:val="13"/>
    <w:unhideWhenUsed/>
    <w:qFormat/>
    <w:uiPriority w:val="99"/>
    <w:rPr>
      <w:color w:val="0563C1" w:themeColor="hyperlink"/>
      <w:u w:val="single"/>
    </w:rPr>
  </w:style>
  <w:style w:type="character" w:styleId="16">
    <w:name w:val="annotation reference"/>
    <w:basedOn w:val="13"/>
    <w:semiHidden/>
    <w:unhideWhenUsed/>
    <w:qFormat/>
    <w:uiPriority w:val="99"/>
    <w:rPr>
      <w:sz w:val="21"/>
      <w:szCs w:val="21"/>
    </w:rPr>
  </w:style>
  <w:style w:type="character" w:customStyle="1" w:styleId="17">
    <w:name w:val="页眉 Char"/>
    <w:basedOn w:val="13"/>
    <w:link w:val="8"/>
    <w:qFormat/>
    <w:uiPriority w:val="99"/>
    <w:rPr>
      <w:sz w:val="18"/>
      <w:szCs w:val="18"/>
    </w:rPr>
  </w:style>
  <w:style w:type="character" w:customStyle="1" w:styleId="18">
    <w:name w:val="页脚 Char"/>
    <w:basedOn w:val="13"/>
    <w:link w:val="7"/>
    <w:qFormat/>
    <w:uiPriority w:val="99"/>
    <w:rPr>
      <w:sz w:val="18"/>
      <w:szCs w:val="18"/>
    </w:rPr>
  </w:style>
  <w:style w:type="character" w:customStyle="1" w:styleId="19">
    <w:name w:val="标题 2 Char"/>
    <w:basedOn w:val="13"/>
    <w:link w:val="2"/>
    <w:qFormat/>
    <w:uiPriority w:val="0"/>
    <w:rPr>
      <w:rFonts w:ascii="Arial" w:hAnsi="Arial" w:eastAsia="黑体" w:cs="Times New Roman"/>
      <w:b/>
      <w:spacing w:val="10"/>
      <w:kern w:val="0"/>
      <w:sz w:val="32"/>
      <w:szCs w:val="20"/>
    </w:rPr>
  </w:style>
  <w:style w:type="paragraph" w:customStyle="1" w:styleId="20">
    <w:name w:val="标题 2 居中"/>
    <w:basedOn w:val="2"/>
    <w:qFormat/>
    <w:uiPriority w:val="0"/>
    <w:pPr>
      <w:jc w:val="center"/>
    </w:pPr>
    <w:rPr>
      <w:rFonts w:ascii="宋体" w:hAnsi="宋体"/>
    </w:rPr>
  </w:style>
  <w:style w:type="character" w:customStyle="1" w:styleId="21">
    <w:name w:val="标题 Char"/>
    <w:link w:val="9"/>
    <w:uiPriority w:val="0"/>
    <w:rPr>
      <w:rFonts w:ascii="Cambria" w:hAnsi="Cambria" w:cs="Times New Roman"/>
      <w:b/>
      <w:bCs/>
      <w:sz w:val="32"/>
      <w:szCs w:val="32"/>
    </w:rPr>
  </w:style>
  <w:style w:type="character" w:customStyle="1" w:styleId="22">
    <w:name w:val="标题 Char1"/>
    <w:basedOn w:val="13"/>
    <w:qFormat/>
    <w:uiPriority w:val="10"/>
    <w:rPr>
      <w:rFonts w:eastAsia="宋体" w:asciiTheme="majorHAnsi" w:hAnsiTheme="majorHAnsi" w:cstheme="majorBidi"/>
      <w:b/>
      <w:bCs/>
      <w:sz w:val="32"/>
      <w:szCs w:val="32"/>
    </w:rPr>
  </w:style>
  <w:style w:type="character" w:customStyle="1" w:styleId="23">
    <w:name w:val="批注文字 Char"/>
    <w:basedOn w:val="13"/>
    <w:link w:val="4"/>
    <w:semiHidden/>
    <w:qFormat/>
    <w:uiPriority w:val="99"/>
  </w:style>
  <w:style w:type="character" w:customStyle="1" w:styleId="24">
    <w:name w:val="批注主题 Char"/>
    <w:basedOn w:val="23"/>
    <w:link w:val="10"/>
    <w:semiHidden/>
    <w:qFormat/>
    <w:uiPriority w:val="99"/>
    <w:rPr>
      <w:b/>
      <w:bCs/>
    </w:rPr>
  </w:style>
  <w:style w:type="character" w:customStyle="1" w:styleId="25">
    <w:name w:val="批注框文本 Char"/>
    <w:basedOn w:val="13"/>
    <w:link w:val="6"/>
    <w:semiHidden/>
    <w:qFormat/>
    <w:uiPriority w:val="99"/>
    <w:rPr>
      <w:sz w:val="18"/>
      <w:szCs w:val="18"/>
    </w:rPr>
  </w:style>
  <w:style w:type="character" w:customStyle="1" w:styleId="26">
    <w:name w:val="正文文本缩进 Char"/>
    <w:basedOn w:val="13"/>
    <w:link w:val="5"/>
    <w:qFormat/>
    <w:uiPriority w:val="0"/>
    <w:rPr>
      <w:rFonts w:ascii="Times New Roman" w:hAnsi="Times New Roman" w:eastAsia="宋体" w:cs="Times New Roman"/>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D3D46E-1E67-430B-90A2-67DE3A2B80CD}">
  <ds:schemaRefs/>
</ds:datastoreItem>
</file>

<file path=docProps/app.xml><?xml version="1.0" encoding="utf-8"?>
<Properties xmlns="http://schemas.openxmlformats.org/officeDocument/2006/extended-properties" xmlns:vt="http://schemas.openxmlformats.org/officeDocument/2006/docPropsVTypes">
  <Template>Normal</Template>
  <Pages>18</Pages>
  <Words>6276</Words>
  <Characters>6805</Characters>
  <Lines>53</Lines>
  <Paragraphs>15</Paragraphs>
  <TotalTime>91</TotalTime>
  <ScaleCrop>false</ScaleCrop>
  <LinksUpToDate>false</LinksUpToDate>
  <CharactersWithSpaces>6941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2021-08-10T00:47:00Z</dcterms:created>
  <dc:creator>陈焰</dc:creator>
  <cp:lastModifiedBy>Happy</cp:lastModifiedBy>
  <dcterms:modified xsi:type="dcterms:W3CDTF">2023-08-28T05:52:50Z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975B2C1700E44AB2B52C74167D631DB8</vt:lpwstr>
  </property>
</Properties>
</file>