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lang w:val="en-US" w:eastAsia="zh-CN"/>
        </w:rPr>
        <w:t xml:space="preserve"> </w:t>
      </w:r>
      <w:r>
        <w:rPr>
          <w:rFonts w:hint="eastAsia"/>
          <w:b/>
          <w:sz w:val="36"/>
          <w:szCs w:val="36"/>
        </w:rPr>
        <w:t>盐酸采购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4-11</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11</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w:t>
      </w:r>
      <w:r>
        <w:rPr>
          <w:rFonts w:ascii="宋体" w:hAnsi="宋体" w:eastAsia="宋体" w:cs="宋体"/>
          <w:b/>
          <w:color w:val="3A3A3A"/>
          <w:kern w:val="0"/>
          <w:sz w:val="24"/>
          <w:szCs w:val="24"/>
          <w:u w:val="single"/>
        </w:rPr>
        <w:t>202</w:t>
      </w:r>
      <w:r>
        <w:rPr>
          <w:rFonts w:hint="eastAsia" w:ascii="宋体" w:hAnsi="宋体" w:eastAsia="宋体" w:cs="宋体"/>
          <w:b/>
          <w:color w:val="3A3A3A"/>
          <w:kern w:val="0"/>
          <w:sz w:val="24"/>
          <w:szCs w:val="24"/>
          <w:u w:val="single"/>
          <w:lang w:val="en-US" w:eastAsia="zh-CN"/>
        </w:rPr>
        <w:t>5</w:t>
      </w:r>
      <w:r>
        <w:rPr>
          <w:rFonts w:hint="eastAsia" w:ascii="宋体" w:hAnsi="宋体" w:eastAsia="宋体" w:cs="宋体"/>
          <w:b/>
          <w:color w:val="3A3A3A"/>
          <w:kern w:val="0"/>
          <w:sz w:val="24"/>
          <w:szCs w:val="24"/>
          <w:u w:val="single"/>
        </w:rPr>
        <w:t>年</w:t>
      </w:r>
      <w:r>
        <w:rPr>
          <w:rFonts w:hint="eastAsia" w:ascii="宋体" w:hAnsi="宋体" w:eastAsia="宋体" w:cs="宋体"/>
          <w:b/>
          <w:color w:val="3A3A3A"/>
          <w:kern w:val="0"/>
          <w:sz w:val="24"/>
          <w:szCs w:val="24"/>
          <w:u w:val="single"/>
          <w:lang w:val="en-US" w:eastAsia="zh-CN"/>
        </w:rPr>
        <w:t>1</w:t>
      </w:r>
      <w:r>
        <w:rPr>
          <w:rFonts w:hint="eastAsia" w:ascii="宋体" w:hAnsi="宋体" w:eastAsia="宋体" w:cs="宋体"/>
          <w:b/>
          <w:color w:val="3A3A3A"/>
          <w:kern w:val="0"/>
          <w:sz w:val="24"/>
          <w:szCs w:val="24"/>
          <w:u w:val="single"/>
        </w:rPr>
        <w:t>月-202</w:t>
      </w:r>
      <w:r>
        <w:rPr>
          <w:rFonts w:hint="eastAsia" w:ascii="宋体" w:hAnsi="宋体" w:eastAsia="宋体" w:cs="宋体"/>
          <w:b/>
          <w:color w:val="3A3A3A"/>
          <w:kern w:val="0"/>
          <w:sz w:val="24"/>
          <w:szCs w:val="24"/>
          <w:u w:val="single"/>
          <w:lang w:val="en-US" w:eastAsia="zh-CN"/>
        </w:rPr>
        <w:t>5</w:t>
      </w:r>
      <w:r>
        <w:rPr>
          <w:rFonts w:hint="eastAsia" w:ascii="宋体" w:hAnsi="宋体" w:eastAsia="宋体" w:cs="宋体"/>
          <w:b/>
          <w:color w:val="3A3A3A"/>
          <w:kern w:val="0"/>
          <w:sz w:val="24"/>
          <w:szCs w:val="24"/>
          <w:u w:val="single"/>
        </w:rPr>
        <w:t>年</w:t>
      </w:r>
      <w:r>
        <w:rPr>
          <w:rFonts w:hint="eastAsia" w:ascii="宋体" w:hAnsi="宋体" w:eastAsia="宋体" w:cs="宋体"/>
          <w:b/>
          <w:color w:val="3A3A3A"/>
          <w:kern w:val="0"/>
          <w:sz w:val="24"/>
          <w:szCs w:val="24"/>
          <w:u w:val="single"/>
          <w:lang w:val="en-US" w:eastAsia="zh-CN"/>
        </w:rPr>
        <w:t>6</w:t>
      </w:r>
      <w:r>
        <w:rPr>
          <w:rFonts w:hint="eastAsia" w:ascii="宋体" w:hAnsi="宋体" w:eastAsia="宋体" w:cs="宋体"/>
          <w:b/>
          <w:color w:val="3A3A3A"/>
          <w:kern w:val="0"/>
          <w:sz w:val="24"/>
          <w:szCs w:val="24"/>
          <w:u w:val="single"/>
        </w:rPr>
        <w:t>月</w:t>
      </w:r>
      <w:r>
        <w:rPr>
          <w:rFonts w:hint="eastAsia" w:ascii="宋体" w:hAnsi="宋体" w:eastAsia="宋体" w:cs="宋体"/>
          <w:color w:val="3A3A3A"/>
          <w:kern w:val="0"/>
          <w:sz w:val="24"/>
          <w:szCs w:val="24"/>
        </w:rPr>
        <w:t>盐酸竞争性谈判采购，希望具备长期供应能力的供应商，按照有关采购规定和我司的要求，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w:t>
      </w:r>
      <w:r>
        <w:rPr>
          <w:rFonts w:ascii="宋体" w:hAnsi="宋体" w:eastAsia="宋体" w:cs="宋体"/>
          <w:color w:val="3A3A3A"/>
          <w:kern w:val="0"/>
          <w:sz w:val="24"/>
          <w:szCs w:val="24"/>
        </w:rPr>
        <w:t>采购</w:t>
      </w:r>
    </w:p>
    <w:p>
      <w:pPr>
        <w:spacing w:line="480" w:lineRule="auto"/>
        <w:ind w:left="1680" w:hanging="1680" w:hangingChars="700"/>
        <w:jc w:val="left"/>
        <w:rPr>
          <w:rFonts w:hint="default" w:ascii="宋体" w:hAnsi="宋体" w:eastAsia="宋体"/>
          <w:bCs/>
          <w:kern w:val="0"/>
          <w:sz w:val="24"/>
          <w:szCs w:val="24"/>
          <w:lang w:val="en-US" w:eastAsia="zh-CN"/>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 xml:space="preserve">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2.3</w:t>
      </w:r>
      <w:r>
        <w:rPr>
          <w:rFonts w:hint="eastAsia" w:ascii="宋体" w:hAnsi="宋体" w:eastAsia="宋体"/>
          <w:bCs/>
          <w:kern w:val="0"/>
          <w:sz w:val="24"/>
          <w:szCs w:val="24"/>
        </w:rPr>
        <w:t>报价方须提供</w:t>
      </w:r>
      <w:r>
        <w:rPr>
          <w:rFonts w:hint="eastAsia" w:ascii="宋体" w:hAnsi="宋体" w:cs="宋体"/>
          <w:kern w:val="0"/>
          <w:sz w:val="24"/>
          <w:szCs w:val="24"/>
        </w:rPr>
        <w:t>危险化学品经营许可证</w:t>
      </w:r>
      <w:r>
        <w:rPr>
          <w:rFonts w:hint="eastAsia" w:ascii="宋体" w:hAnsi="宋体" w:eastAsia="宋体"/>
          <w:bCs/>
          <w:sz w:val="24"/>
          <w:szCs w:val="24"/>
        </w:rPr>
        <w:t>复印件并加盖公章</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w:t>
      </w:r>
      <w:r>
        <w:rPr>
          <w:rFonts w:hint="eastAsia" w:ascii="宋体" w:hAnsi="宋体" w:eastAsia="宋体" w:cs="宋体"/>
          <w:kern w:val="0"/>
          <w:sz w:val="24"/>
          <w:szCs w:val="24"/>
          <w:lang w:val="en-US" w:eastAsia="zh-CN"/>
        </w:rPr>
        <w:t>在投标截止时间</w:t>
      </w:r>
      <w:r>
        <w:rPr>
          <w:rFonts w:hint="eastAsia" w:ascii="宋体" w:hAnsi="宋体" w:eastAsia="宋体" w:cs="宋体"/>
          <w:kern w:val="0"/>
          <w:sz w:val="24"/>
          <w:szCs w:val="24"/>
        </w:rPr>
        <w:t>前须缴足谈判保证金人民币</w:t>
      </w:r>
      <w:r>
        <w:rPr>
          <w:rFonts w:hint="eastAsia" w:ascii="宋体" w:hAnsi="宋体" w:eastAsia="宋体" w:cs="宋体"/>
          <w:b/>
          <w:kern w:val="0"/>
          <w:sz w:val="24"/>
          <w:szCs w:val="24"/>
          <w:lang w:val="en-US" w:eastAsia="zh-CN"/>
        </w:rPr>
        <w:t>壹仟伍佰</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w:t>
      </w:r>
      <w:r>
        <w:rPr>
          <w:rFonts w:hint="eastAsia" w:ascii="宋体" w:hAnsi="宋体" w:eastAsia="宋体" w:cs="宋体"/>
          <w:color w:val="FF0000"/>
          <w:kern w:val="0"/>
          <w:sz w:val="24"/>
          <w:szCs w:val="24"/>
          <w:lang w:val="en-US" w:eastAsia="zh-CN"/>
        </w:rPr>
        <w:t>采购方指定</w:t>
      </w:r>
      <w:r>
        <w:rPr>
          <w:rFonts w:hint="eastAsia" w:ascii="宋体" w:hAnsi="宋体" w:eastAsia="宋体" w:cs="宋体"/>
          <w:color w:val="3A3A3A"/>
          <w:kern w:val="0"/>
          <w:sz w:val="24"/>
          <w:szCs w:val="24"/>
        </w:rPr>
        <w:t>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widowControl/>
        <w:shd w:val="clear" w:color="auto" w:fill="FFFFFF"/>
        <w:spacing w:line="360" w:lineRule="auto"/>
        <w:jc w:val="left"/>
        <w:rPr>
          <w:rFonts w:ascii="宋体" w:hAnsi="宋体" w:eastAsia="宋体" w:cs="宋体"/>
          <w:color w:val="3A3A3A"/>
          <w:kern w:val="0"/>
          <w:sz w:val="24"/>
          <w:szCs w:val="24"/>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ascii="宋体" w:hAnsi="宋体" w:cs="宋体"/>
          <w:b/>
          <w:bCs w:val="0"/>
          <w:sz w:val="24"/>
          <w:szCs w:val="24"/>
          <w:lang w:val="en-US" w:eastAsia="zh-CN"/>
        </w:rPr>
        <w:t>特别说明：</w:t>
      </w:r>
      <w:r>
        <w:rPr>
          <w:rFonts w:hint="eastAsia" w:ascii="宋体" w:hAnsi="宋体"/>
          <w:b w:val="0"/>
          <w:bCs w:val="0"/>
          <w:sz w:val="24"/>
        </w:rPr>
        <w:t>不能在</w:t>
      </w:r>
      <w:r>
        <w:rPr>
          <w:rFonts w:hint="eastAsia" w:ascii="宋体" w:hAnsi="宋体"/>
          <w:b w:val="0"/>
          <w:bCs w:val="0"/>
          <w:sz w:val="24"/>
          <w:lang w:val="en-US" w:eastAsia="zh-CN"/>
        </w:rPr>
        <w:t>报价</w:t>
      </w:r>
      <w:r>
        <w:rPr>
          <w:rFonts w:hint="eastAsia" w:ascii="宋体" w:hAnsi="宋体"/>
          <w:b w:val="0"/>
          <w:bCs w:val="0"/>
          <w:sz w:val="24"/>
        </w:rPr>
        <w:t>现场缴交现金或以个人名义交纳保证金。</w:t>
      </w:r>
      <w:r>
        <w:rPr>
          <w:rFonts w:hint="eastAsia" w:ascii="宋体" w:hAnsi="宋体"/>
          <w:b w:val="0"/>
          <w:bCs w:val="0"/>
          <w:sz w:val="24"/>
          <w:lang w:val="en-US" w:eastAsia="zh-CN"/>
        </w:rPr>
        <w:t>报价方</w:t>
      </w:r>
      <w:r>
        <w:rPr>
          <w:rFonts w:hint="eastAsia" w:ascii="宋体" w:hAnsi="宋体"/>
          <w:b w:val="0"/>
          <w:bCs w:val="0"/>
          <w:sz w:val="24"/>
        </w:rPr>
        <w:t>应从其银行账户以公对公转账方式向投标保证金账户提交保证金</w:t>
      </w:r>
      <w:r>
        <w:rPr>
          <w:rFonts w:hint="eastAsia" w:ascii="宋体" w:hAnsi="宋体"/>
          <w:b w:val="0"/>
          <w:bCs w:val="0"/>
          <w:sz w:val="24"/>
          <w:lang w:eastAsia="zh-CN"/>
        </w:rPr>
        <w:t>，</w:t>
      </w:r>
      <w:r>
        <w:rPr>
          <w:rFonts w:hint="eastAsia" w:ascii="宋体" w:hAnsi="宋体"/>
          <w:sz w:val="24"/>
        </w:rPr>
        <w:t>以</w:t>
      </w:r>
      <w:r>
        <w:rPr>
          <w:rFonts w:hint="eastAsia" w:ascii="宋体" w:hAnsi="宋体"/>
          <w:sz w:val="24"/>
          <w:lang w:val="en-US" w:eastAsia="zh-CN"/>
        </w:rPr>
        <w:t>报价</w:t>
      </w:r>
      <w:r>
        <w:rPr>
          <w:rFonts w:hint="eastAsia" w:ascii="宋体" w:hAnsi="宋体"/>
          <w:sz w:val="24"/>
        </w:rPr>
        <w:t>截止时间前实际到账为准</w:t>
      </w:r>
      <w:r>
        <w:rPr>
          <w:rFonts w:hint="eastAsia" w:ascii="宋体" w:hAnsi="宋体"/>
          <w:b w:val="0"/>
          <w:bCs w:val="0"/>
          <w:sz w:val="24"/>
        </w:rPr>
        <w:t>。</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3.3请在银行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color w:val="3A3A3A"/>
          <w:kern w:val="0"/>
          <w:sz w:val="24"/>
          <w:szCs w:val="24"/>
        </w:rPr>
        <w:t>盐酸谈判保证金”字样。</w:t>
      </w:r>
    </w:p>
    <w:p>
      <w:pPr>
        <w:widowControl/>
        <w:spacing w:line="276" w:lineRule="auto"/>
        <w:rPr>
          <w:rFonts w:ascii="宋体" w:hAnsi="宋体" w:eastAsia="宋体" w:cs="宋体"/>
          <w:color w:val="auto"/>
          <w:kern w:val="0"/>
          <w:sz w:val="24"/>
          <w:szCs w:val="24"/>
          <w:highlight w:val="none"/>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4</w:t>
      </w:r>
      <w:r>
        <w:rPr>
          <w:rFonts w:hint="eastAsia" w:ascii="宋体" w:hAnsi="宋体" w:eastAsia="宋体" w:cs="宋体"/>
          <w:color w:val="auto"/>
          <w:kern w:val="0"/>
          <w:sz w:val="24"/>
          <w:szCs w:val="24"/>
          <w:highlight w:val="none"/>
        </w:rPr>
        <w:t>谈判保证金收款单位：厦门海发环保能源股份有限公司</w:t>
      </w:r>
    </w:p>
    <w:p>
      <w:pPr>
        <w:widowControl/>
        <w:shd w:val="clear" w:color="auto" w:fill="FFFFFF"/>
        <w:spacing w:line="276"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账号：40373001040009422   开户行：</w:t>
      </w:r>
      <w:r>
        <w:rPr>
          <w:rFonts w:hint="eastAsia" w:ascii="宋体" w:hAnsi="宋体" w:eastAsia="宋体" w:cs="宋体"/>
          <w:b/>
          <w:color w:val="auto"/>
          <w:kern w:val="0"/>
          <w:sz w:val="24"/>
          <w:szCs w:val="24"/>
          <w:highlight w:val="none"/>
        </w:rPr>
        <w:t>农业银行新阳支行</w:t>
      </w:r>
    </w:p>
    <w:p>
      <w:pPr>
        <w:widowControl/>
        <w:spacing w:line="276"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w:t>
      </w:r>
      <w:r>
        <w:rPr>
          <w:rFonts w:hint="eastAsia" w:ascii="宋体" w:hAnsi="宋体" w:eastAsia="宋体" w:cs="Times New Roman"/>
          <w:sz w:val="24"/>
          <w:szCs w:val="24"/>
        </w:rPr>
        <w:t>5谈判保证金缴交截止时间：2</w:t>
      </w:r>
      <w:r>
        <w:rPr>
          <w:rFonts w:ascii="宋体" w:hAnsi="宋体" w:eastAsia="宋体" w:cs="Times New Roman"/>
          <w:sz w:val="24"/>
          <w:szCs w:val="24"/>
        </w:rPr>
        <w:t>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12</w:t>
      </w:r>
      <w:r>
        <w:rPr>
          <w:rFonts w:ascii="宋体" w:hAnsi="宋体" w:eastAsia="宋体" w:cs="Times New Roman"/>
          <w:sz w:val="24"/>
          <w:szCs w:val="24"/>
        </w:rPr>
        <w:t xml:space="preserve"> 月</w:t>
      </w:r>
      <w:r>
        <w:rPr>
          <w:rFonts w:hint="eastAsia" w:ascii="宋体" w:hAnsi="宋体" w:eastAsia="宋体" w:cs="Times New Roman"/>
          <w:sz w:val="24"/>
          <w:szCs w:val="24"/>
          <w:lang w:val="en-US" w:eastAsia="zh-CN"/>
        </w:rPr>
        <w:t xml:space="preserve">02 </w:t>
      </w:r>
      <w:r>
        <w:rPr>
          <w:rFonts w:ascii="宋体" w:hAnsi="宋体" w:eastAsia="宋体" w:cs="Times New Roman"/>
          <w:sz w:val="24"/>
          <w:szCs w:val="24"/>
        </w:rPr>
        <w:t xml:space="preserve">日 </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ascii="宋体" w:hAnsi="宋体" w:eastAsia="宋体" w:cs="Times New Roman"/>
          <w:sz w:val="24"/>
          <w:szCs w:val="24"/>
        </w:rPr>
        <w:t xml:space="preserve"> </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hd w:val="clear" w:color="auto" w:fill="FFFFFF"/>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w:t>
      </w:r>
      <w:r>
        <w:rPr>
          <w:rFonts w:ascii="宋体" w:hAnsi="宋体" w:eastAsia="宋体" w:cs="宋体"/>
          <w:b/>
          <w:bCs/>
          <w:color w:val="auto"/>
          <w:kern w:val="0"/>
          <w:sz w:val="24"/>
          <w:szCs w:val="24"/>
          <w:highlight w:val="none"/>
        </w:rPr>
        <w:t>4.1</w:t>
      </w:r>
      <w:r>
        <w:rPr>
          <w:rFonts w:hint="eastAsia" w:ascii="宋体" w:hAnsi="宋体" w:cs="宋体"/>
          <w:b/>
          <w:bCs/>
          <w:sz w:val="24"/>
          <w:szCs w:val="24"/>
        </w:rPr>
        <w:t>报</w:t>
      </w:r>
      <w:r>
        <w:rPr>
          <w:rFonts w:hint="eastAsia" w:ascii="宋体" w:hAnsi="宋体" w:cs="宋体"/>
          <w:b/>
          <w:bCs w:val="0"/>
          <w:sz w:val="24"/>
          <w:szCs w:val="24"/>
        </w:rPr>
        <w:t>价文件需</w:t>
      </w:r>
      <w:r>
        <w:rPr>
          <w:rFonts w:hint="eastAsia" w:ascii="宋体" w:hAnsi="宋体" w:cs="宋体"/>
          <w:b/>
          <w:bCs w:val="0"/>
          <w:sz w:val="24"/>
          <w:szCs w:val="24"/>
          <w:lang w:val="en-US" w:eastAsia="zh-CN"/>
        </w:rPr>
        <w:t>逐页加</w:t>
      </w:r>
      <w:r>
        <w:rPr>
          <w:rFonts w:hint="eastAsia" w:ascii="宋体" w:hAnsi="宋体" w:cs="宋体"/>
          <w:b/>
          <w:bCs w:val="0"/>
          <w:sz w:val="24"/>
          <w:szCs w:val="24"/>
        </w:rPr>
        <w:t>盖单位公章，所有报价文件装入密封袋，</w:t>
      </w:r>
      <w:r>
        <w:rPr>
          <w:rFonts w:hint="eastAsia" w:ascii="宋体" w:hAnsi="宋体" w:eastAsia="宋体" w:cs="宋体"/>
          <w:b/>
          <w:bCs w:val="0"/>
          <w:color w:val="auto"/>
          <w:sz w:val="24"/>
          <w:szCs w:val="24"/>
          <w:highlight w:val="none"/>
        </w:rPr>
        <w:t>在</w:t>
      </w:r>
      <w:r>
        <w:rPr>
          <w:rFonts w:hint="eastAsia" w:ascii="宋体" w:hAnsi="宋体"/>
          <w:b/>
          <w:bCs w:val="0"/>
          <w:sz w:val="24"/>
        </w:rPr>
        <w:t>每一密封处注明“于</w:t>
      </w:r>
      <w:r>
        <w:rPr>
          <w:rFonts w:hint="eastAsia" w:ascii="宋体" w:hAnsi="宋体"/>
          <w:b/>
          <w:bCs w:val="0"/>
          <w:sz w:val="24"/>
          <w:lang w:val="en-US" w:eastAsia="zh-CN"/>
        </w:rPr>
        <w:t xml:space="preserve">  </w:t>
      </w:r>
      <w:r>
        <w:rPr>
          <w:rFonts w:hint="eastAsia" w:ascii="宋体" w:hAnsi="宋体"/>
          <w:b/>
          <w:bCs w:val="0"/>
          <w:sz w:val="24"/>
          <w:u w:val="single"/>
        </w:rPr>
        <w:t xml:space="preserve">     </w:t>
      </w:r>
      <w:r>
        <w:rPr>
          <w:rFonts w:hint="eastAsia" w:ascii="宋体" w:hAnsi="宋体"/>
          <w:b/>
          <w:bCs w:val="0"/>
          <w:sz w:val="24"/>
        </w:rPr>
        <w:t>之前（指谈判邀请中规定的谈判截止日期及时间）不准启封”的字样，并加盖</w:t>
      </w:r>
      <w:r>
        <w:rPr>
          <w:rFonts w:hint="eastAsia" w:ascii="宋体" w:hAnsi="宋体"/>
          <w:b/>
          <w:bCs w:val="0"/>
          <w:sz w:val="24"/>
          <w:lang w:val="en-US" w:eastAsia="zh-CN"/>
        </w:rPr>
        <w:t>报价单位</w:t>
      </w:r>
      <w:r>
        <w:rPr>
          <w:rFonts w:hint="eastAsia" w:ascii="宋体" w:hAnsi="宋体"/>
          <w:b/>
          <w:bCs w:val="0"/>
          <w:sz w:val="24"/>
        </w:rPr>
        <w:t>公章</w:t>
      </w:r>
      <w:r>
        <w:rPr>
          <w:rFonts w:hint="eastAsia" w:ascii="宋体" w:hAnsi="宋体"/>
          <w:b/>
          <w:bCs w:val="0"/>
          <w:sz w:val="24"/>
          <w:lang w:eastAsia="zh-CN"/>
        </w:rPr>
        <w:t>；</w:t>
      </w:r>
      <w:r>
        <w:rPr>
          <w:rFonts w:hint="eastAsia" w:ascii="宋体" w:hAnsi="宋体" w:cs="宋体"/>
          <w:b/>
          <w:bCs w:val="0"/>
          <w:sz w:val="24"/>
          <w:szCs w:val="24"/>
        </w:rPr>
        <w:t>并在密封袋</w:t>
      </w:r>
      <w:r>
        <w:rPr>
          <w:rFonts w:hint="eastAsia" w:ascii="宋体" w:hAnsi="宋体" w:cs="宋体"/>
          <w:b/>
          <w:bCs w:val="0"/>
          <w:sz w:val="24"/>
          <w:szCs w:val="24"/>
          <w:lang w:val="en-US" w:eastAsia="zh-CN"/>
        </w:rPr>
        <w:t>封面</w:t>
      </w:r>
      <w:r>
        <w:rPr>
          <w:rFonts w:hint="eastAsia" w:ascii="宋体" w:hAnsi="宋体" w:cs="宋体"/>
          <w:b/>
          <w:bCs w:val="0"/>
          <w:sz w:val="24"/>
          <w:szCs w:val="24"/>
        </w:rPr>
        <w:t>上正确标明报价项目名称、单位名称、联系人及联系电话，同时加盖公章，否则视为无效标。</w:t>
      </w:r>
    </w:p>
    <w:p>
      <w:pPr>
        <w:widowControl/>
        <w:spacing w:line="480" w:lineRule="auto"/>
        <w:jc w:val="left"/>
        <w:rPr>
          <w:rFonts w:ascii="宋体" w:hAnsi="宋体" w:eastAsia="宋体" w:cs="宋体"/>
          <w:color w:val="auto"/>
          <w:kern w:val="0"/>
          <w:sz w:val="24"/>
          <w:szCs w:val="24"/>
        </w:rPr>
      </w:pPr>
      <w:r>
        <w:rPr>
          <w:rFonts w:ascii="宋体" w:hAnsi="宋体" w:eastAsia="宋体"/>
          <w:sz w:val="24"/>
          <w:szCs w:val="24"/>
        </w:rPr>
        <w:t>4.2</w:t>
      </w:r>
      <w:r>
        <w:rPr>
          <w:rFonts w:hint="eastAsia" w:ascii="宋体" w:hAnsi="宋体" w:eastAsia="宋体"/>
          <w:bCs/>
          <w:sz w:val="24"/>
          <w:szCs w:val="24"/>
        </w:rPr>
        <w:t>报价</w:t>
      </w:r>
      <w:r>
        <w:rPr>
          <w:rFonts w:hint="eastAsia" w:ascii="宋体" w:hAnsi="宋体" w:eastAsia="宋体"/>
          <w:bCs/>
          <w:color w:val="auto"/>
          <w:sz w:val="24"/>
          <w:szCs w:val="24"/>
        </w:rPr>
        <w:t>文件送达</w:t>
      </w:r>
      <w:r>
        <w:rPr>
          <w:rFonts w:ascii="宋体" w:hAnsi="宋体" w:eastAsia="宋体"/>
          <w:bCs/>
          <w:color w:val="auto"/>
          <w:sz w:val="24"/>
          <w:szCs w:val="24"/>
        </w:rPr>
        <w:t>或邮寄地址：</w:t>
      </w:r>
      <w:r>
        <w:rPr>
          <w:rFonts w:hint="eastAsia" w:ascii="宋体" w:hAnsi="宋体" w:eastAsia="宋体"/>
          <w:bCs/>
          <w:color w:val="auto"/>
          <w:sz w:val="24"/>
          <w:szCs w:val="24"/>
        </w:rPr>
        <w:t>厦门</w:t>
      </w:r>
      <w:r>
        <w:rPr>
          <w:rFonts w:ascii="宋体" w:hAnsi="宋体" w:eastAsia="宋体"/>
          <w:bCs/>
          <w:color w:val="auto"/>
          <w:sz w:val="24"/>
          <w:szCs w:val="24"/>
        </w:rPr>
        <w:t>市</w:t>
      </w:r>
      <w:r>
        <w:rPr>
          <w:rFonts w:hint="eastAsia" w:ascii="宋体" w:hAnsi="宋体" w:eastAsia="宋体" w:cs="Times New Roman"/>
          <w:color w:val="auto"/>
          <w:sz w:val="24"/>
          <w:szCs w:val="24"/>
        </w:rPr>
        <w:t xml:space="preserve">海沧区阳光西路288号 </w:t>
      </w:r>
      <w:r>
        <w:rPr>
          <w:rFonts w:hint="eastAsia" w:ascii="宋体" w:hAnsi="宋体" w:eastAsia="宋体" w:cs="宋体"/>
          <w:bCs/>
          <w:color w:val="auto"/>
          <w:kern w:val="0"/>
          <w:sz w:val="24"/>
          <w:szCs w:val="24"/>
        </w:rPr>
        <w:t>厦门海发环保能源股份有限公司</w:t>
      </w:r>
      <w:r>
        <w:rPr>
          <w:rFonts w:hint="eastAsia" w:ascii="宋体" w:hAnsi="宋体" w:eastAsia="宋体" w:cs="宋体"/>
          <w:color w:val="auto"/>
          <w:kern w:val="0"/>
          <w:sz w:val="24"/>
          <w:szCs w:val="24"/>
          <w:lang w:val="en-US" w:eastAsia="zh-CN"/>
        </w:rPr>
        <w:t>314室</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4.3在截止时间以后送达的报价文件，采购方有权拒绝接收。</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ascii="宋体" w:hAnsi="宋体" w:eastAsia="宋体" w:cs="宋体"/>
          <w:color w:val="auto"/>
          <w:kern w:val="0"/>
          <w:sz w:val="24"/>
          <w:szCs w:val="24"/>
        </w:rPr>
        <w:t>4</w:t>
      </w:r>
      <w:r>
        <w:rPr>
          <w:rFonts w:hint="eastAsia" w:ascii="宋体" w:hAnsi="宋体" w:eastAsia="宋体" w:cs="宋体"/>
          <w:color w:val="auto"/>
          <w:kern w:val="0"/>
          <w:sz w:val="24"/>
          <w:szCs w:val="24"/>
        </w:rPr>
        <w:t>邀请报价方现场参</w:t>
      </w:r>
      <w:r>
        <w:rPr>
          <w:rFonts w:hint="eastAsia" w:ascii="宋体" w:hAnsi="宋体" w:eastAsia="宋体" w:cs="宋体"/>
          <w:color w:val="auto"/>
          <w:kern w:val="0"/>
          <w:sz w:val="24"/>
          <w:szCs w:val="24"/>
          <w:lang w:val="en-US" w:eastAsia="zh-CN"/>
        </w:rPr>
        <w:t>与谈判</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r>
        <w:rPr>
          <w:rFonts w:hint="eastAsia" w:ascii="宋体" w:hAnsi="宋体" w:eastAsia="宋体" w:cs="宋体"/>
          <w:b/>
          <w:bCs/>
          <w:color w:val="auto"/>
          <w:kern w:val="0"/>
          <w:sz w:val="24"/>
          <w:szCs w:val="24"/>
          <w:highlight w:val="none"/>
          <w:lang w:val="en-US" w:eastAsia="zh-CN"/>
        </w:rPr>
        <w:t>报价文件以左侧装订成册，同时</w:t>
      </w:r>
      <w:r>
        <w:rPr>
          <w:rFonts w:hint="eastAsia" w:ascii="宋体" w:hAnsi="宋体" w:eastAsia="宋体" w:cs="宋体"/>
          <w:b/>
          <w:bCs/>
          <w:color w:val="auto"/>
          <w:kern w:val="0"/>
          <w:sz w:val="24"/>
          <w:szCs w:val="24"/>
          <w:highlight w:val="none"/>
        </w:rPr>
        <w:t>密封提供报价文件（有加盖公章的）扫描件，可以光盘或U盘提供。</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5</w:t>
      </w:r>
      <w:r>
        <w:rPr>
          <w:rFonts w:hint="eastAsia" w:ascii="宋体" w:hAnsi="宋体" w:eastAsia="宋体" w:cs="宋体"/>
          <w:color w:val="auto"/>
          <w:kern w:val="0"/>
          <w:sz w:val="24"/>
          <w:szCs w:val="24"/>
        </w:rPr>
        <w:t>投标</w:t>
      </w:r>
      <w:r>
        <w:rPr>
          <w:rFonts w:ascii="宋体" w:hAnsi="宋体" w:eastAsia="宋体" w:cs="宋体"/>
          <w:color w:val="auto"/>
          <w:kern w:val="0"/>
          <w:sz w:val="24"/>
          <w:szCs w:val="24"/>
        </w:rPr>
        <w:t>截止时间</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r>
        <w:rPr>
          <w:rFonts w:hint="eastAsia" w:ascii="宋体" w:hAnsi="宋体" w:eastAsia="宋体" w:cs="Times New Roman"/>
          <w:color w:val="auto"/>
          <w:sz w:val="24"/>
          <w:szCs w:val="24"/>
        </w:rPr>
        <w:t>2</w:t>
      </w:r>
      <w:r>
        <w:rPr>
          <w:rFonts w:ascii="宋体" w:hAnsi="宋体" w:eastAsia="宋体" w:cs="Times New Roman"/>
          <w:color w:val="auto"/>
          <w:sz w:val="24"/>
          <w:szCs w:val="24"/>
        </w:rPr>
        <w:t>02</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12</w:t>
      </w:r>
      <w:r>
        <w:rPr>
          <w:rFonts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 xml:space="preserve">02 </w:t>
      </w:r>
      <w:r>
        <w:rPr>
          <w:rFonts w:ascii="宋体" w:hAnsi="宋体" w:eastAsia="宋体" w:cs="Times New Roman"/>
          <w:color w:val="auto"/>
          <w:sz w:val="24"/>
          <w:szCs w:val="24"/>
        </w:rPr>
        <w:t>日</w:t>
      </w:r>
      <w:r>
        <w:rPr>
          <w:rFonts w:hint="eastAsia" w:ascii="宋体" w:hAnsi="宋体" w:eastAsia="宋体" w:cs="Times New Roman"/>
          <w:color w:val="auto"/>
          <w:sz w:val="24"/>
          <w:szCs w:val="24"/>
        </w:rPr>
        <w:t>10:</w:t>
      </w:r>
      <w:r>
        <w:rPr>
          <w:rFonts w:hint="eastAsia" w:ascii="宋体" w:hAnsi="宋体" w:eastAsia="宋体" w:cs="Times New Roman"/>
          <w:color w:val="auto"/>
          <w:sz w:val="24"/>
          <w:szCs w:val="24"/>
          <w:lang w:val="en-US" w:eastAsia="zh-CN"/>
        </w:rPr>
        <w:t>00</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谈判</w:t>
      </w:r>
      <w:r>
        <w:rPr>
          <w:rFonts w:ascii="宋体" w:hAnsi="宋体" w:eastAsia="宋体" w:cs="宋体"/>
          <w:color w:val="auto"/>
          <w:kern w:val="0"/>
          <w:sz w:val="24"/>
          <w:szCs w:val="24"/>
        </w:rPr>
        <w:t>时间</w:t>
      </w:r>
      <w:r>
        <w:rPr>
          <w:rFonts w:hint="eastAsia" w:ascii="宋体" w:hAnsi="宋体" w:eastAsia="宋体" w:cs="宋体"/>
          <w:color w:val="auto"/>
          <w:kern w:val="0"/>
          <w:sz w:val="24"/>
          <w:szCs w:val="24"/>
        </w:rPr>
        <w:t>及地点</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eastAsia="宋体" w:cs="宋体"/>
          <w:color w:val="auto"/>
          <w:kern w:val="0"/>
          <w:sz w:val="24"/>
          <w:szCs w:val="24"/>
        </w:rPr>
        <w:t>：</w:t>
      </w:r>
      <w:r>
        <w:rPr>
          <w:rFonts w:ascii="宋体" w:hAnsi="宋体" w:eastAsia="宋体" w:cs="宋体"/>
          <w:color w:val="auto"/>
          <w:kern w:val="0"/>
          <w:sz w:val="24"/>
          <w:szCs w:val="24"/>
        </w:rPr>
        <w:fldChar w:fldCharType="end"/>
      </w:r>
    </w:p>
    <w:p>
      <w:pPr>
        <w:widowControl/>
        <w:spacing w:line="480" w:lineRule="auto"/>
        <w:jc w:val="left"/>
        <w:rPr>
          <w:rFonts w:hint="eastAsia" w:ascii="宋体" w:hAnsi="宋体"/>
          <w:kern w:val="0"/>
          <w:sz w:val="24"/>
          <w:szCs w:val="24"/>
        </w:rPr>
      </w:pPr>
      <w:r>
        <w:rPr>
          <w:rFonts w:hint="eastAsia" w:ascii="宋体" w:hAnsi="宋体"/>
          <w:color w:val="000000"/>
          <w:kern w:val="0"/>
          <w:sz w:val="24"/>
          <w:szCs w:val="24"/>
          <w:lang w:val="en-US" w:eastAsia="zh-CN"/>
        </w:rPr>
        <w:t>6.1采购方于</w:t>
      </w:r>
      <w:r>
        <w:rPr>
          <w:rFonts w:hint="eastAsia" w:ascii="宋体" w:hAnsi="宋体"/>
          <w:b/>
          <w:bCs/>
          <w:sz w:val="24"/>
          <w:szCs w:val="24"/>
        </w:rPr>
        <w:t>202</w:t>
      </w:r>
      <w:r>
        <w:rPr>
          <w:rFonts w:hint="eastAsia" w:ascii="宋体" w:hAnsi="宋体"/>
          <w:b/>
          <w:bCs/>
          <w:sz w:val="24"/>
          <w:szCs w:val="24"/>
          <w:lang w:val="en-US" w:eastAsia="zh-CN"/>
        </w:rPr>
        <w:t>4</w:t>
      </w:r>
      <w:r>
        <w:rPr>
          <w:rFonts w:hint="eastAsia" w:ascii="宋体" w:hAnsi="宋体"/>
          <w:b/>
          <w:bCs/>
          <w:sz w:val="24"/>
          <w:szCs w:val="24"/>
        </w:rPr>
        <w:t>年</w:t>
      </w:r>
      <w:r>
        <w:rPr>
          <w:rFonts w:hint="eastAsia" w:ascii="宋体" w:hAnsi="宋体"/>
          <w:b/>
          <w:bCs/>
          <w:sz w:val="24"/>
          <w:szCs w:val="24"/>
          <w:lang w:val="en-US" w:eastAsia="zh-CN"/>
        </w:rPr>
        <w:t>12</w:t>
      </w:r>
      <w:r>
        <w:rPr>
          <w:rFonts w:hint="eastAsia" w:ascii="宋体" w:hAnsi="宋体"/>
          <w:b/>
          <w:bCs/>
          <w:sz w:val="24"/>
          <w:szCs w:val="24"/>
        </w:rPr>
        <w:t>月</w:t>
      </w:r>
      <w:r>
        <w:rPr>
          <w:rFonts w:hint="eastAsia" w:ascii="宋体" w:hAnsi="宋体"/>
          <w:b/>
          <w:bCs/>
          <w:sz w:val="24"/>
          <w:szCs w:val="24"/>
          <w:lang w:val="en-US" w:eastAsia="zh-CN"/>
        </w:rPr>
        <w:t>02</w:t>
      </w:r>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r>
        <w:rPr>
          <w:rFonts w:hint="eastAsia" w:ascii="宋体" w:hAnsi="宋体"/>
          <w:kern w:val="0"/>
          <w:sz w:val="24"/>
          <w:szCs w:val="24"/>
          <w:lang w:val="en-US" w:eastAsia="zh-CN"/>
        </w:rPr>
        <w:t>开标谈判</w:t>
      </w:r>
      <w:r>
        <w:rPr>
          <w:rFonts w:hint="eastAsia" w:ascii="宋体" w:hAnsi="宋体"/>
          <w:kern w:val="0"/>
          <w:sz w:val="24"/>
          <w:szCs w:val="24"/>
        </w:rPr>
        <w:t>。</w:t>
      </w:r>
    </w:p>
    <w:p>
      <w:pPr>
        <w:tabs>
          <w:tab w:val="left" w:pos="0"/>
        </w:tabs>
        <w:autoSpaceDE/>
        <w:autoSpaceDN/>
        <w:snapToGrid w:val="0"/>
        <w:spacing w:line="360" w:lineRule="auto"/>
        <w:ind w:right="105" w:rightChars="50"/>
        <w:jc w:val="left"/>
        <w:textAlignment w:val="auto"/>
        <w:rPr>
          <w:rFonts w:hint="eastAsia" w:ascii="宋体" w:hAnsi="宋体"/>
          <w:bCs/>
          <w:sz w:val="24"/>
          <w:szCs w:val="24"/>
          <w:lang w:eastAsia="zh-CN"/>
        </w:rPr>
      </w:pPr>
      <w:r>
        <w:rPr>
          <w:rFonts w:hint="eastAsia" w:ascii="宋体" w:hAnsi="宋体"/>
          <w:kern w:val="0"/>
          <w:sz w:val="24"/>
          <w:szCs w:val="24"/>
          <w:lang w:val="en-US" w:eastAsia="zh-CN"/>
        </w:rPr>
        <w:t>6.2</w:t>
      </w:r>
      <w:r>
        <w:rPr>
          <w:rFonts w:hint="eastAsia" w:ascii="宋体" w:hAnsi="宋体" w:cs="宋体"/>
          <w:sz w:val="24"/>
          <w:szCs w:val="24"/>
        </w:rPr>
        <w:t>谈判时欢迎所有报价方参加谈判会议，报价方代表应签名以证明其出席谈判会议，谈判代表须出具身份证原件。</w:t>
      </w:r>
      <w:r>
        <w:rPr>
          <w:rFonts w:hint="eastAsia" w:ascii="宋体" w:hAnsi="宋体" w:cs="宋体"/>
          <w:bCs/>
          <w:sz w:val="24"/>
          <w:szCs w:val="24"/>
        </w:rPr>
        <w:t>报价方因故不能派代表出席谈判会议，</w:t>
      </w:r>
      <w:r>
        <w:rPr>
          <w:rFonts w:hint="eastAsia" w:ascii="宋体" w:hAnsi="宋体"/>
          <w:bCs/>
          <w:sz w:val="24"/>
          <w:szCs w:val="24"/>
        </w:rPr>
        <w:t>应在响应报价文件中出具谈判承诺书</w:t>
      </w:r>
      <w:r>
        <w:rPr>
          <w:rFonts w:hint="eastAsia" w:ascii="宋体" w:hAnsi="宋体"/>
          <w:bCs/>
          <w:sz w:val="24"/>
          <w:szCs w:val="24"/>
          <w:lang w:eastAsia="zh-CN"/>
        </w:rPr>
        <w:t>。</w:t>
      </w:r>
    </w:p>
    <w:p>
      <w:pPr>
        <w:tabs>
          <w:tab w:val="left" w:pos="0"/>
        </w:tabs>
        <w:autoSpaceDE/>
        <w:autoSpaceDN/>
        <w:snapToGrid w:val="0"/>
        <w:spacing w:line="360" w:lineRule="auto"/>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项目限价：本次采购设定限高价为450元/吨（含税），报价高于此价格则视为无效报价</w:t>
      </w:r>
      <w:r>
        <w:rPr>
          <w:rFonts w:hint="eastAsia" w:ascii="宋体" w:hAnsi="宋体" w:eastAsia="宋体" w:cs="宋体"/>
          <w:kern w:val="0"/>
          <w:sz w:val="24"/>
          <w:szCs w:val="24"/>
          <w:lang w:val="en-US" w:eastAsia="zh-CN"/>
        </w:rPr>
        <w:t>。</w:t>
      </w:r>
    </w:p>
    <w:p>
      <w:pPr>
        <w:autoSpaceDE/>
        <w:autoSpaceDN/>
        <w:snapToGrid w:val="0"/>
        <w:spacing w:line="360" w:lineRule="auto"/>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成交</w:t>
      </w:r>
      <w:r>
        <w:rPr>
          <w:rFonts w:ascii="宋体" w:hAnsi="宋体" w:eastAsia="宋体" w:cs="宋体"/>
          <w:color w:val="auto"/>
          <w:kern w:val="0"/>
          <w:sz w:val="24"/>
          <w:szCs w:val="24"/>
        </w:rPr>
        <w:t>原则</w:t>
      </w:r>
      <w:r>
        <w:rPr>
          <w:rFonts w:hint="eastAsia" w:ascii="宋体" w:hAnsi="宋体" w:eastAsia="宋体" w:cs="宋体"/>
          <w:color w:val="auto"/>
          <w:kern w:val="0"/>
          <w:sz w:val="24"/>
          <w:szCs w:val="24"/>
        </w:rPr>
        <w:t>：</w:t>
      </w:r>
    </w:p>
    <w:p>
      <w:pPr>
        <w:widowControl/>
        <w:snapToGrid w:val="0"/>
        <w:spacing w:line="360" w:lineRule="auto"/>
        <w:ind w:right="105" w:rightChars="50"/>
        <w:jc w:val="left"/>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本次采用经评审合格且最低价成交法。以</w:t>
      </w:r>
      <w:r>
        <w:rPr>
          <w:rFonts w:hint="eastAsia" w:ascii="宋体" w:hAnsi="宋体" w:eastAsia="宋体" w:cs="宋体"/>
          <w:color w:val="auto"/>
          <w:kern w:val="0"/>
          <w:sz w:val="24"/>
          <w:szCs w:val="24"/>
          <w:highlight w:val="none"/>
          <w:lang w:val="en-US" w:eastAsia="zh-CN"/>
        </w:rPr>
        <w:t>有效</w:t>
      </w:r>
      <w:r>
        <w:rPr>
          <w:rFonts w:hint="eastAsia" w:ascii="宋体" w:hAnsi="宋体" w:eastAsia="宋体" w:cs="宋体"/>
          <w:color w:val="auto"/>
          <w:kern w:val="0"/>
          <w:sz w:val="24"/>
          <w:szCs w:val="24"/>
          <w:highlight w:val="none"/>
        </w:rPr>
        <w:t>单价</w:t>
      </w:r>
      <w:r>
        <w:rPr>
          <w:rFonts w:hint="eastAsia" w:ascii="宋体" w:hAnsi="宋体" w:eastAsia="宋体" w:cs="宋体"/>
          <w:color w:val="auto"/>
          <w:kern w:val="0"/>
          <w:sz w:val="24"/>
          <w:szCs w:val="24"/>
          <w:highlight w:val="none"/>
          <w:lang w:val="en-US" w:eastAsia="zh-CN"/>
        </w:rPr>
        <w:t>最低</w:t>
      </w:r>
      <w:r>
        <w:rPr>
          <w:rFonts w:hint="eastAsia" w:ascii="宋体" w:hAnsi="宋体" w:eastAsia="宋体" w:cs="宋体"/>
          <w:color w:val="auto"/>
          <w:kern w:val="0"/>
          <w:sz w:val="24"/>
          <w:szCs w:val="24"/>
          <w:highlight w:val="none"/>
        </w:rPr>
        <w:t>作为成交价，</w:t>
      </w:r>
      <w:r>
        <w:rPr>
          <w:rFonts w:hint="eastAsia" w:ascii="宋体" w:hAnsi="宋体"/>
          <w:color w:val="auto"/>
          <w:sz w:val="24"/>
          <w:szCs w:val="24"/>
          <w:highlight w:val="none"/>
        </w:rPr>
        <w:t xml:space="preserve"> 报价最低的前三位如出现2家及以上价格相等，由评标小组抽签确定成交候选供应商顺序。</w:t>
      </w:r>
      <w:r>
        <w:rPr>
          <w:rFonts w:hint="eastAsia" w:ascii="宋体" w:hAnsi="宋体" w:cs="宋体"/>
          <w:color w:val="auto"/>
          <w:highlight w:val="none"/>
        </w:rPr>
        <w:t xml:space="preserve"> </w:t>
      </w:r>
    </w:p>
    <w:p>
      <w:pPr>
        <w:widowControl/>
        <w:spacing w:line="48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联系</w:t>
      </w:r>
      <w:r>
        <w:rPr>
          <w:rFonts w:ascii="宋体" w:hAnsi="宋体" w:eastAsia="宋体" w:cs="宋体"/>
          <w:color w:val="auto"/>
          <w:kern w:val="0"/>
          <w:sz w:val="24"/>
          <w:szCs w:val="24"/>
        </w:rPr>
        <w:t>人</w:t>
      </w:r>
      <w:r>
        <w:rPr>
          <w:rFonts w:hint="eastAsia" w:ascii="宋体" w:hAnsi="宋体" w:eastAsia="宋体" w:cs="宋体"/>
          <w:color w:val="auto"/>
          <w:kern w:val="0"/>
          <w:sz w:val="24"/>
          <w:szCs w:val="24"/>
        </w:rPr>
        <w:t>：业务</w:t>
      </w:r>
      <w:r>
        <w:rPr>
          <w:rFonts w:ascii="宋体" w:hAnsi="宋体" w:eastAsia="宋体" w:cs="宋体"/>
          <w:color w:val="auto"/>
          <w:kern w:val="0"/>
          <w:sz w:val="24"/>
          <w:szCs w:val="24"/>
        </w:rPr>
        <w:t>联系人：</w:t>
      </w:r>
      <w:r>
        <w:rPr>
          <w:rFonts w:hint="eastAsia" w:ascii="宋体" w:hAnsi="宋体" w:eastAsia="宋体" w:cs="宋体"/>
          <w:color w:val="auto"/>
          <w:kern w:val="0"/>
          <w:sz w:val="24"/>
          <w:szCs w:val="24"/>
        </w:rPr>
        <w:t>江汉</w:t>
      </w:r>
      <w:r>
        <w:rPr>
          <w:rFonts w:ascii="宋体" w:hAnsi="宋体" w:eastAsia="宋体" w:cs="宋体"/>
          <w:color w:val="auto"/>
          <w:kern w:val="0"/>
          <w:sz w:val="24"/>
          <w:szCs w:val="24"/>
        </w:rPr>
        <w:t>林</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联系电话：</w:t>
      </w:r>
      <w:r>
        <w:rPr>
          <w:rFonts w:hint="eastAsia" w:ascii="宋体" w:hAnsi="宋体" w:eastAsia="宋体" w:cs="宋体"/>
          <w:color w:val="auto"/>
          <w:kern w:val="0"/>
          <w:sz w:val="24"/>
          <w:szCs w:val="24"/>
        </w:rPr>
        <w:t>0592-</w:t>
      </w:r>
      <w:r>
        <w:rPr>
          <w:rFonts w:ascii="宋体" w:hAnsi="宋体" w:eastAsia="宋体" w:cs="宋体"/>
          <w:color w:val="auto"/>
          <w:kern w:val="0"/>
          <w:sz w:val="24"/>
          <w:szCs w:val="24"/>
        </w:rPr>
        <w:t>6807563</w:t>
      </w:r>
      <w:r>
        <w:rPr>
          <w:rFonts w:hint="eastAsia" w:ascii="宋体" w:hAnsi="宋体" w:eastAsia="宋体" w:cs="宋体"/>
          <w:color w:val="auto"/>
          <w:kern w:val="0"/>
          <w:sz w:val="24"/>
          <w:szCs w:val="24"/>
        </w:rPr>
        <w:t>）</w:t>
      </w:r>
    </w:p>
    <w:p>
      <w:pPr>
        <w:pStyle w:val="7"/>
        <w:ind w:firstLine="2640" w:firstLineChars="1100"/>
        <w:rPr>
          <w:rFonts w:hint="default" w:eastAsia="宋体"/>
          <w:lang w:val="en-US" w:eastAsia="zh-CN"/>
        </w:rPr>
      </w:pPr>
      <w:r>
        <w:rPr>
          <w:rFonts w:hint="eastAsia" w:hAnsi="宋体" w:eastAsia="宋体" w:cs="宋体"/>
          <w:color w:val="auto"/>
          <w:kern w:val="0"/>
          <w:sz w:val="24"/>
          <w:szCs w:val="24"/>
          <w:lang w:val="en-US" w:eastAsia="zh-CN"/>
        </w:rPr>
        <w:t>曾翼君(联系电话：0592-7396297）</w:t>
      </w:r>
    </w:p>
    <w:p>
      <w:pPr>
        <w:widowControl/>
        <w:spacing w:line="480" w:lineRule="auto"/>
        <w:ind w:firstLine="1080" w:firstLineChars="45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收标</w:t>
      </w:r>
      <w:r>
        <w:rPr>
          <w:rFonts w:ascii="宋体" w:hAnsi="宋体" w:eastAsia="宋体" w:cs="宋体"/>
          <w:color w:val="auto"/>
          <w:kern w:val="0"/>
          <w:sz w:val="24"/>
          <w:szCs w:val="24"/>
        </w:rPr>
        <w:t>书</w:t>
      </w: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highlight w:val="none"/>
        </w:rPr>
        <w:t>王芸芸（联系电话：</w:t>
      </w:r>
      <w:r>
        <w:rPr>
          <w:rFonts w:hint="eastAsia" w:ascii="宋体" w:hAnsi="宋体"/>
          <w:color w:val="auto"/>
          <w:kern w:val="0"/>
          <w:sz w:val="24"/>
          <w:szCs w:val="24"/>
          <w:highlight w:val="none"/>
        </w:rPr>
        <w:t>13860158176</w:t>
      </w:r>
      <w:r>
        <w:rPr>
          <w:rFonts w:hint="eastAsia" w:ascii="宋体" w:hAnsi="宋体" w:eastAsia="宋体" w:cs="宋体"/>
          <w:color w:val="auto"/>
          <w:kern w:val="0"/>
          <w:sz w:val="24"/>
          <w:szCs w:val="24"/>
          <w:highlight w:val="none"/>
        </w:rPr>
        <w:t>）</w:t>
      </w:r>
    </w:p>
    <w:p>
      <w:pPr>
        <w:widowControl/>
        <w:spacing w:line="276" w:lineRule="auto"/>
        <w:ind w:left="1800" w:hanging="1800" w:hangingChars="75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120" w:firstLineChars="50"/>
        <w:jc w:val="left"/>
        <w:rPr>
          <w:rFonts w:hint="default" w:ascii="宋体" w:hAnsi="宋体" w:eastAsia="宋体" w:cs="宋体"/>
          <w:kern w:val="0"/>
          <w:sz w:val="24"/>
          <w:szCs w:val="24"/>
          <w:lang w:val="en-US" w:eastAsia="zh-CN"/>
        </w:rPr>
      </w:pPr>
      <w:r>
        <w:rPr>
          <w:rFonts w:hint="eastAsia" w:ascii="宋体" w:hAnsi="宋体" w:eastAsia="宋体"/>
          <w:color w:val="000000"/>
          <w:sz w:val="24"/>
          <w:szCs w:val="24"/>
          <w:shd w:val="clear" w:color="auto" w:fill="FFFFFF"/>
        </w:rPr>
        <w:t>环保能源公司纪检小组 0592-6807</w:t>
      </w:r>
      <w:r>
        <w:rPr>
          <w:rFonts w:hint="eastAsia" w:ascii="宋体" w:hAnsi="宋体" w:eastAsia="宋体"/>
          <w:color w:val="000000"/>
          <w:sz w:val="24"/>
          <w:szCs w:val="24"/>
          <w:shd w:val="clear" w:color="auto" w:fill="FFFFFF"/>
          <w:lang w:val="en-US" w:eastAsia="zh-CN"/>
        </w:rPr>
        <w:t>596</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 xml:space="preserve">11 </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22</w:t>
      </w:r>
      <w:bookmarkStart w:id="72" w:name="_GoBack"/>
      <w:bookmarkEnd w:id="72"/>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jc w:val="center"/>
        <w:rPr>
          <w:rFonts w:ascii="宋体" w:hAnsi="宋体" w:eastAsia="宋体" w:cs="宋体"/>
          <w:b/>
          <w:kern w:val="0"/>
          <w:sz w:val="36"/>
          <w:szCs w:val="36"/>
        </w:rPr>
      </w:pP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3"/>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谈判</w:t>
      </w:r>
      <w:r>
        <w:rPr>
          <w:rFonts w:ascii="宋体" w:hAnsi="宋体" w:eastAsia="宋体" w:cs="宋体"/>
          <w:b/>
          <w:kern w:val="0"/>
          <w:sz w:val="36"/>
          <w:szCs w:val="36"/>
        </w:rPr>
        <w:t>须知</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color w:val="3A3A3A"/>
          <w:sz w:val="24"/>
          <w:szCs w:val="24"/>
        </w:rPr>
        <w:t>盐酸</w:t>
      </w:r>
      <w:r>
        <w:rPr>
          <w:rFonts w:hint="eastAsia" w:ascii="宋体" w:hAnsi="宋体" w:eastAsia="宋体"/>
          <w:b w:val="0"/>
          <w:sz w:val="24"/>
          <w:szCs w:val="24"/>
        </w:rPr>
        <w:t>采购，采购方为厦门</w:t>
      </w:r>
      <w:r>
        <w:rPr>
          <w:rFonts w:hint="eastAsia" w:ascii="宋体" w:hAnsi="宋体" w:eastAsia="宋体"/>
          <w:sz w:val="24"/>
          <w:szCs w:val="24"/>
        </w:rPr>
        <w:t>海发</w:t>
      </w:r>
      <w:r>
        <w:rPr>
          <w:rFonts w:ascii="宋体" w:hAnsi="宋体" w:eastAsia="宋体"/>
          <w:sz w:val="24"/>
          <w:szCs w:val="24"/>
        </w:rPr>
        <w:t>环保能源股份</w:t>
      </w:r>
      <w:r>
        <w:rPr>
          <w:rFonts w:hint="eastAsia" w:ascii="宋体" w:hAnsi="宋体" w:eastAsia="宋体"/>
          <w:sz w:val="24"/>
          <w:szCs w:val="24"/>
        </w:rPr>
        <w:t>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60230610"/>
      <w:bookmarkStart w:id="2" w:name="_Toc23613348"/>
      <w:bookmarkStart w:id="3" w:name="_Toc514_WPSOffice_Level2"/>
      <w:bookmarkStart w:id="4" w:name="_Toc24455231"/>
      <w:bookmarkStart w:id="5" w:name="_Toc33340836"/>
      <w:bookmarkStart w:id="6" w:name="_Toc229281569"/>
      <w:bookmarkStart w:id="7" w:name="_Toc293413478"/>
      <w:bookmarkStart w:id="8" w:name="_Toc32472_WPSOffice_Level2"/>
      <w:bookmarkStart w:id="9" w:name="_Toc260238414"/>
      <w:bookmarkStart w:id="10" w:name="_Toc24083811"/>
      <w:bookmarkStart w:id="11" w:name="_Toc32305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293413479"/>
      <w:bookmarkStart w:id="14" w:name="_Toc32292_WPSOffice_Level2"/>
      <w:bookmarkStart w:id="15" w:name="_Toc11355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3"/>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hint="eastAsia" w:ascii="宋体" w:hAnsi="宋体" w:eastAsia="宋体" w:cs="Times New Roman"/>
          <w:b w:val="0"/>
          <w:spacing w:val="10"/>
          <w:kern w:val="0"/>
          <w:sz w:val="24"/>
          <w:szCs w:val="24"/>
          <w:lang w:val="en-US" w:eastAsia="zh-CN" w:bidi="ar-SA"/>
        </w:rPr>
      </w:pPr>
      <w:r>
        <w:rPr>
          <w:rFonts w:hint="eastAsia" w:ascii="宋体" w:hAnsi="宋体"/>
          <w:bCs/>
          <w:sz w:val="24"/>
          <w:szCs w:val="24"/>
        </w:rPr>
        <w:t>响应文件的编制</w:t>
      </w:r>
      <w:bookmarkEnd w:id="12"/>
      <w:bookmarkEnd w:id="13"/>
      <w:bookmarkEnd w:id="14"/>
      <w:bookmarkEnd w:id="15"/>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3.1响应函；</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3.2谈判报价书；</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3.3法定代表人身份证复印件；</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3.4法人授权委托书原件及授权代表人身份证复印件（投标签字非法定代表人签署需出具）；</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3.5企业能有效识别二维码的营业执照复印件；</w:t>
      </w:r>
    </w:p>
    <w:p>
      <w:pPr>
        <w:numPr>
          <w:ilvl w:val="0"/>
          <w:numId w:val="0"/>
        </w:numPr>
        <w:tabs>
          <w:tab w:val="left" w:pos="0"/>
        </w:tabs>
        <w:adjustRightInd w:val="0"/>
        <w:snapToGrid w:val="0"/>
        <w:spacing w:line="480" w:lineRule="auto"/>
        <w:ind w:leftChars="0" w:right="105" w:rightChars="5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3.6谈判承诺书（如谈判代表未到现场，则需提供，未提供的则视为无效报价）</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3.7危险化学品经营许可证复印件加盖公章。</w:t>
      </w:r>
    </w:p>
    <w:p>
      <w:pPr>
        <w:numPr>
          <w:ilvl w:val="0"/>
          <w:numId w:val="0"/>
        </w:numPr>
        <w:tabs>
          <w:tab w:val="left" w:pos="0"/>
        </w:tabs>
        <w:adjustRightInd w:val="0"/>
        <w:snapToGrid w:val="0"/>
        <w:spacing w:line="480" w:lineRule="auto"/>
        <w:ind w:leftChars="0" w:right="105" w:rightChars="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4455233"/>
      <w:bookmarkStart w:id="17" w:name="_Toc260230612"/>
      <w:bookmarkStart w:id="18" w:name="_Toc229281571"/>
      <w:bookmarkStart w:id="19" w:name="_Toc12004_WPSOffice_Level2"/>
      <w:bookmarkStart w:id="20" w:name="_Toc293413480"/>
      <w:bookmarkStart w:id="21" w:name="_Toc1802_WPSOffice_Level2"/>
      <w:bookmarkStart w:id="22" w:name="_Toc17624_WPSOffice_Level2"/>
      <w:bookmarkStart w:id="23" w:name="_Toc260238416"/>
      <w:bookmarkStart w:id="24" w:name="_Toc33340838"/>
      <w:bookmarkStart w:id="25" w:name="_Toc24083813"/>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hint="eastAsia" w:ascii="宋体" w:hAnsi="宋体"/>
          <w:bCs/>
          <w:sz w:val="24"/>
          <w:szCs w:val="24"/>
        </w:rPr>
        <w:t>谈判与评</w:t>
      </w:r>
      <w:bookmarkEnd w:id="26"/>
      <w:r>
        <w:rPr>
          <w:rFonts w:hint="eastAsia" w:ascii="宋体" w:hAnsi="宋体"/>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w:t>
      </w:r>
      <w:r>
        <w:rPr>
          <w:rFonts w:hint="eastAsia" w:ascii="宋体" w:hAnsi="宋体" w:eastAsia="宋体" w:cs="宋体"/>
          <w:kern w:val="0"/>
          <w:sz w:val="24"/>
          <w:szCs w:val="24"/>
          <w:lang w:val="en-US" w:eastAsia="zh-CN"/>
        </w:rPr>
        <w:t>谈判</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9373772"/>
      <w:bookmarkStart w:id="28" w:name="_Toc440899515"/>
      <w:bookmarkStart w:id="29" w:name="_Toc444614425"/>
      <w:bookmarkStart w:id="30" w:name="_Toc418522815"/>
      <w:bookmarkStart w:id="31" w:name="_Toc445748261"/>
      <w:bookmarkStart w:id="32" w:name="_Toc425266324"/>
      <w:bookmarkStart w:id="33" w:name="_Toc441224335"/>
      <w:bookmarkStart w:id="34" w:name="_Toc420577581"/>
      <w:bookmarkStart w:id="35" w:name="_Toc422416153"/>
      <w:bookmarkStart w:id="36" w:name="_Toc449635679"/>
      <w:bookmarkStart w:id="37" w:name="_Toc421773672"/>
      <w:bookmarkStart w:id="38" w:name="_Toc445901129"/>
      <w:bookmarkStart w:id="39" w:name="_Toc457383223"/>
      <w:bookmarkStart w:id="40" w:name="_Toc422906617"/>
      <w:bookmarkStart w:id="41" w:name="_Toc441500070"/>
      <w:bookmarkStart w:id="42" w:name="_Toc439661731"/>
      <w:bookmarkStart w:id="43" w:name="_Toc462647056"/>
      <w:bookmarkStart w:id="44" w:name="_Toc445991603"/>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color w:val="auto"/>
          <w:sz w:val="24"/>
          <w:szCs w:val="24"/>
          <w:highlight w:val="none"/>
        </w:rPr>
        <w:t>评</w:t>
      </w:r>
      <w:r>
        <w:rPr>
          <w:rFonts w:hint="eastAsia" w:ascii="宋体" w:hAnsi="宋体"/>
          <w:sz w:val="24"/>
          <w:szCs w:val="24"/>
        </w:rPr>
        <w:t>审谈判小组对具备实质性的报价文件进行评估和比较。评审谈判小组成员由采购方相关人员组成，评审谈判小组将严格按照谈判文件的要求和条件对所有报价文件进行评审。谈判小组从通过资格和符合性审查且报价最低的前三位报价方进行谈判。谈判小组所有成员应当</w:t>
      </w:r>
      <w:r>
        <w:rPr>
          <w:rFonts w:hint="eastAsia" w:ascii="宋体" w:hAnsi="宋体"/>
          <w:sz w:val="24"/>
          <w:szCs w:val="24"/>
          <w:lang w:val="en-US" w:eastAsia="zh-CN"/>
        </w:rPr>
        <w:t>全员到齐</w:t>
      </w:r>
      <w:r>
        <w:rPr>
          <w:rFonts w:hint="eastAsia" w:ascii="宋体" w:hAnsi="宋体"/>
          <w:sz w:val="24"/>
          <w:szCs w:val="24"/>
        </w:rPr>
        <w:t>与单一报价方分别进行谈判，谈判顺序采用随机抽取的方法确认。</w:t>
      </w:r>
    </w:p>
    <w:p>
      <w:pPr>
        <w:kinsoku w:val="0"/>
        <w:overflowPunct w:val="0"/>
        <w:autoSpaceDE w:val="0"/>
        <w:autoSpaceDN w:val="0"/>
        <w:spacing w:line="480" w:lineRule="auto"/>
        <w:jc w:val="left"/>
        <w:rPr>
          <w:rFonts w:ascii="宋体" w:hAnsi="宋体"/>
          <w:color w:val="auto"/>
          <w:sz w:val="24"/>
          <w:szCs w:val="24"/>
          <w:highlight w:val="none"/>
        </w:rPr>
      </w:pPr>
      <w:r>
        <w:rPr>
          <w:rFonts w:hint="eastAsia" w:ascii="宋体" w:hAnsi="宋体"/>
          <w:sz w:val="24"/>
          <w:szCs w:val="24"/>
        </w:rPr>
        <w:t>谈判小组对采购文件和报价文件提出重点的谈判内容，根据采购文件及有关规定，与已递送报价文件的各报价方代表进</w:t>
      </w:r>
      <w:r>
        <w:rPr>
          <w:rFonts w:hint="eastAsia" w:ascii="宋体" w:hAnsi="宋体" w:eastAsia="宋体" w:cs="宋体"/>
          <w:b w:val="0"/>
          <w:bCs/>
          <w:color w:val="auto"/>
          <w:sz w:val="24"/>
          <w:szCs w:val="24"/>
          <w:highlight w:val="none"/>
        </w:rPr>
        <w:t>行一轮谈判。报价方代表未到现场，</w:t>
      </w:r>
      <w:r>
        <w:rPr>
          <w:rFonts w:hint="eastAsia" w:ascii="宋体" w:hAnsi="宋体" w:eastAsia="宋体" w:cs="宋体"/>
          <w:b w:val="0"/>
          <w:bCs/>
          <w:color w:val="auto"/>
          <w:sz w:val="24"/>
          <w:szCs w:val="24"/>
          <w:highlight w:val="none"/>
          <w:lang w:val="en-US" w:eastAsia="zh-CN"/>
        </w:rPr>
        <w:t>应在响应报价文件中出具谈判承诺书。</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color w:val="auto"/>
          <w:sz w:val="24"/>
          <w:szCs w:val="24"/>
          <w:highlight w:val="none"/>
        </w:rPr>
        <w:t>符</w:t>
      </w:r>
      <w:r>
        <w:rPr>
          <w:rFonts w:hint="eastAsia" w:ascii="宋体" w:hAnsi="宋体"/>
          <w:sz w:val="24"/>
          <w:szCs w:val="24"/>
        </w:rPr>
        <w:t>合性审查，如发现下列情况之一，将按废标处理。</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5.2.3.1</w:t>
      </w:r>
      <w:r>
        <w:rPr>
          <w:rFonts w:hint="eastAsia" w:ascii="宋体" w:hAnsi="宋体"/>
          <w:sz w:val="24"/>
          <w:szCs w:val="24"/>
        </w:rPr>
        <w:t>资格证明文件不全的；</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5.2.3.2</w:t>
      </w:r>
      <w:r>
        <w:rPr>
          <w:rFonts w:hint="eastAsia" w:ascii="宋体" w:hAnsi="宋体"/>
          <w:sz w:val="24"/>
          <w:szCs w:val="24"/>
        </w:rPr>
        <w:t>报价文件未按谈判文件规定盖报价单位公章、签字、填写日期；</w:t>
      </w:r>
    </w:p>
    <w:p>
      <w:pPr>
        <w:kinsoku w:val="0"/>
        <w:overflowPunct w:val="0"/>
        <w:autoSpaceDE w:val="0"/>
        <w:autoSpaceDN w:val="0"/>
        <w:spacing w:line="480" w:lineRule="auto"/>
        <w:jc w:val="left"/>
        <w:rPr>
          <w:rFonts w:hint="eastAsia" w:ascii="宋体" w:hAnsi="宋体"/>
          <w:sz w:val="24"/>
          <w:szCs w:val="24"/>
        </w:rPr>
      </w:pPr>
      <w:r>
        <w:rPr>
          <w:rFonts w:hint="eastAsia" w:ascii="宋体" w:hAnsi="宋体"/>
          <w:sz w:val="24"/>
          <w:szCs w:val="24"/>
          <w:lang w:val="en-US" w:eastAsia="zh-CN"/>
        </w:rPr>
        <w:t>5.2.3.3</w:t>
      </w: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hint="eastAsia" w:ascii="宋体" w:hAnsi="宋体" w:eastAsia="宋体"/>
          <w:bCs/>
          <w:sz w:val="24"/>
          <w:szCs w:val="24"/>
          <w:lang w:val="en-US" w:eastAsia="zh-CN"/>
        </w:rPr>
      </w:pPr>
      <w:r>
        <w:rPr>
          <w:rFonts w:hint="eastAsia" w:ascii="宋体" w:hAnsi="宋体"/>
          <w:sz w:val="24"/>
          <w:szCs w:val="24"/>
        </w:rPr>
        <w:t>5.2.4谈判小组与报价方就谈</w:t>
      </w:r>
      <w:r>
        <w:rPr>
          <w:rFonts w:hint="eastAsia" w:ascii="宋体" w:hAnsi="宋体"/>
          <w:bCs/>
          <w:sz w:val="24"/>
          <w:szCs w:val="24"/>
        </w:rPr>
        <w:t>判文件技术、商务、合同条款等内容进行谈判，报价方第二次报价不得高于第一次报价；报价方代表未到谈判现场，应在响应报价文件中出具谈判承诺书</w:t>
      </w:r>
      <w:r>
        <w:rPr>
          <w:rFonts w:hint="eastAsia" w:ascii="宋体" w:hAnsi="宋体"/>
          <w:bCs/>
          <w:sz w:val="24"/>
          <w:szCs w:val="24"/>
          <w:lang w:val="en-US" w:eastAsia="zh-CN"/>
        </w:rPr>
        <w:t xml:space="preserve"> </w:t>
      </w:r>
      <w:r>
        <w:rPr>
          <w:rFonts w:hint="eastAsia" w:ascii="宋体" w:hAnsi="宋体"/>
          <w:bCs/>
          <w:sz w:val="24"/>
          <w:szCs w:val="24"/>
          <w:lang w:eastAsia="zh-CN"/>
        </w:rPr>
        <w:t>。</w:t>
      </w:r>
    </w:p>
    <w:p>
      <w:pPr>
        <w:kinsoku w:val="0"/>
        <w:overflowPunct w:val="0"/>
        <w:autoSpaceDE w:val="0"/>
        <w:autoSpaceDN w:val="0"/>
        <w:spacing w:line="480" w:lineRule="auto"/>
        <w:jc w:val="left"/>
        <w:rPr>
          <w:rFonts w:hint="eastAsia" w:ascii="宋体" w:hAnsi="宋体"/>
          <w:sz w:val="24"/>
          <w:szCs w:val="24"/>
          <w:lang w:val="en-US" w:eastAsia="zh-CN"/>
        </w:rPr>
      </w:pPr>
      <w:r>
        <w:rPr>
          <w:rFonts w:hint="eastAsia" w:ascii="宋体" w:hAnsi="宋体"/>
          <w:bCs/>
          <w:sz w:val="24"/>
          <w:szCs w:val="24"/>
        </w:rPr>
        <w:t>5.2.5</w:t>
      </w:r>
      <w:r>
        <w:rPr>
          <w:rFonts w:hint="eastAsia" w:ascii="宋体" w:hAnsi="宋体"/>
          <w:sz w:val="24"/>
          <w:szCs w:val="24"/>
        </w:rPr>
        <w:t>谈判过程中，响应供应商提交的澄清文件和最终承诺书，应由响应供应商法定代表人或授权代表签署后生效，响应供应商应受其约束。</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成交供应商应在接到成交通知书</w:t>
      </w:r>
      <w:r>
        <w:rPr>
          <w:rFonts w:hint="eastAsia" w:ascii="宋体" w:hAnsi="宋体"/>
          <w:sz w:val="24"/>
          <w:szCs w:val="24"/>
          <w:lang w:val="en-US" w:eastAsia="zh-CN"/>
        </w:rPr>
        <w:t>五个工作日内</w:t>
      </w:r>
      <w:r>
        <w:rPr>
          <w:rFonts w:hint="eastAsia" w:ascii="宋体" w:hAnsi="宋体"/>
          <w:sz w:val="24"/>
          <w:szCs w:val="24"/>
        </w:rPr>
        <w:t>与采购方尽快签订合同，采购方和成交供应商不得另行订立背离合同实质性内容的其它协议。</w:t>
      </w:r>
    </w:p>
    <w:p>
      <w:pPr>
        <w:tabs>
          <w:tab w:val="left" w:pos="0"/>
        </w:tabs>
        <w:adjustRightInd w:val="0"/>
        <w:snapToGrid w:val="0"/>
        <w:spacing w:line="480" w:lineRule="auto"/>
        <w:ind w:right="105" w:rightChars="50"/>
        <w:jc w:val="lef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r>
        <w:rPr>
          <w:rFonts w:hint="eastAsia" w:ascii="宋体" w:hAnsi="宋体" w:eastAsia="宋体"/>
          <w:sz w:val="24"/>
          <w:szCs w:val="24"/>
          <w:lang w:val="en-US" w:eastAsia="zh-CN"/>
        </w:rPr>
        <w:t>或重新发起采购</w:t>
      </w:r>
      <w:r>
        <w:rPr>
          <w:rFonts w:hint="eastAsia" w:ascii="宋体" w:hAnsi="宋体" w:eastAsia="宋体"/>
          <w:sz w:val="24"/>
          <w:szCs w:val="24"/>
        </w:rPr>
        <w:t>。</w:t>
      </w:r>
    </w:p>
    <w:p>
      <w:pPr>
        <w:rPr>
          <w:b/>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0"/>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）生产需求，现进行盐酸采购，各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3A3A3A"/>
          <w:kern w:val="0"/>
          <w:sz w:val="24"/>
          <w:szCs w:val="24"/>
        </w:rPr>
        <w:t>盐酸</w:t>
      </w:r>
      <w:r>
        <w:rPr>
          <w:rFonts w:hint="eastAsia" w:ascii="宋体" w:hAnsi="宋体" w:eastAsia="宋体" w:cs="宋体"/>
          <w:color w:val="000000" w:themeColor="text1"/>
          <w:kern w:val="0"/>
          <w:sz w:val="24"/>
          <w:szCs w:val="24"/>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3"/>
        <w:tblpPr w:leftFromText="180" w:rightFromText="180" w:vertAnchor="text" w:horzAnchor="page" w:tblpX="1364" w:tblpY="523"/>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0"/>
        <w:gridCol w:w="2010"/>
        <w:gridCol w:w="1725"/>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77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新阳热电</w:t>
            </w:r>
            <w:r>
              <w:rPr>
                <w:rFonts w:hint="eastAsia" w:ascii="宋体" w:hAnsi="宋体" w:eastAsia="宋体" w:cs="宋体"/>
                <w:color w:val="000000"/>
                <w:kern w:val="0"/>
                <w:sz w:val="24"/>
                <w:szCs w:val="24"/>
              </w:rPr>
              <w:t>需求数量</w:t>
            </w:r>
          </w:p>
        </w:tc>
        <w:tc>
          <w:tcPr>
            <w:tcW w:w="1725" w:type="dxa"/>
            <w:vAlign w:val="center"/>
          </w:tcPr>
          <w:p>
            <w:pPr>
              <w:widowControl/>
              <w:spacing w:line="276"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同集热电需求量</w:t>
            </w:r>
          </w:p>
        </w:tc>
        <w:tc>
          <w:tcPr>
            <w:tcW w:w="305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70"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cs="宋体"/>
                <w:kern w:val="0"/>
                <w:szCs w:val="21"/>
              </w:rPr>
              <w:t>盐酸</w:t>
            </w:r>
          </w:p>
        </w:tc>
        <w:tc>
          <w:tcPr>
            <w:tcW w:w="2010" w:type="dxa"/>
            <w:vAlign w:val="center"/>
          </w:tcPr>
          <w:p>
            <w:pPr>
              <w:widowControl/>
              <w:spacing w:line="276" w:lineRule="auto"/>
              <w:jc w:val="center"/>
              <w:rPr>
                <w:rFonts w:ascii="宋体" w:hAnsi="宋体" w:eastAsia="宋体" w:cs="宋体"/>
                <w:color w:val="000000"/>
                <w:kern w:val="0"/>
                <w:sz w:val="24"/>
                <w:szCs w:val="24"/>
              </w:rPr>
            </w:pPr>
            <w:r>
              <w:rPr>
                <w:rFonts w:ascii="宋体" w:hAnsi="宋体" w:eastAsia="宋体" w:cs="Times New Roman"/>
                <w:color w:val="000000"/>
                <w:kern w:val="0"/>
                <w:sz w:val="24"/>
                <w:szCs w:val="24"/>
              </w:rPr>
              <w:t>250</w:t>
            </w:r>
            <w:r>
              <w:rPr>
                <w:rFonts w:hint="eastAsia" w:ascii="宋体" w:hAnsi="宋体" w:eastAsia="宋体" w:cs="Times New Roman"/>
                <w:color w:val="000000"/>
                <w:kern w:val="0"/>
                <w:sz w:val="24"/>
                <w:szCs w:val="24"/>
              </w:rPr>
              <w:t>吨</w:t>
            </w:r>
          </w:p>
        </w:tc>
        <w:tc>
          <w:tcPr>
            <w:tcW w:w="1725"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80吨</w:t>
            </w:r>
          </w:p>
        </w:tc>
        <w:tc>
          <w:tcPr>
            <w:tcW w:w="3056"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Cs w:val="21"/>
              </w:rPr>
              <w:t>浓度≥3</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高纯酸）</w:t>
            </w:r>
          </w:p>
        </w:tc>
      </w:tr>
    </w:tbl>
    <w:p>
      <w:pPr>
        <w:widowControl/>
        <w:spacing w:line="360" w:lineRule="auto"/>
        <w:jc w:val="left"/>
        <w:rPr>
          <w:rFonts w:ascii="宋体" w:hAnsi="宋体" w:cs="宋体"/>
          <w:color w:val="FF0000"/>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431"/>
        <w:gridCol w:w="454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3"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序号</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检验质量（</w:t>
            </w:r>
            <w:r>
              <w:rPr>
                <w:rFonts w:ascii="宋体" w:hAnsi="宋体"/>
                <w:color w:val="000000"/>
                <w:sz w:val="24"/>
                <w:szCs w:val="21"/>
              </w:rPr>
              <w:t>溶度）</w:t>
            </w:r>
          </w:p>
        </w:tc>
        <w:tc>
          <w:tcPr>
            <w:tcW w:w="4548" w:type="dxa"/>
            <w:shd w:val="clear" w:color="auto" w:fill="auto"/>
            <w:vAlign w:val="center"/>
          </w:tcPr>
          <w:p>
            <w:pPr>
              <w:spacing w:line="480" w:lineRule="auto"/>
              <w:ind w:firstLine="720" w:firstLineChars="300"/>
              <w:rPr>
                <w:rFonts w:ascii="宋体" w:hAnsi="宋体"/>
                <w:color w:val="000000"/>
                <w:sz w:val="24"/>
                <w:szCs w:val="21"/>
              </w:rPr>
            </w:pPr>
            <w:r>
              <w:rPr>
                <w:rFonts w:hint="eastAsia" w:ascii="宋体" w:hAnsi="宋体"/>
                <w:color w:val="000000"/>
                <w:sz w:val="24"/>
                <w:szCs w:val="21"/>
              </w:rPr>
              <w:t>结算</w:t>
            </w:r>
            <w:r>
              <w:rPr>
                <w:rFonts w:ascii="宋体" w:hAnsi="宋体"/>
                <w:color w:val="000000"/>
                <w:sz w:val="24"/>
                <w:szCs w:val="21"/>
              </w:rPr>
              <w:t>价</w:t>
            </w:r>
          </w:p>
        </w:tc>
        <w:tc>
          <w:tcPr>
            <w:tcW w:w="1388" w:type="dxa"/>
          </w:tcPr>
          <w:p>
            <w:pPr>
              <w:spacing w:line="480" w:lineRule="auto"/>
              <w:ind w:firstLine="480" w:firstLineChars="200"/>
              <w:rPr>
                <w:rFonts w:ascii="宋体" w:hAnsi="宋体"/>
                <w:color w:val="000000"/>
                <w:sz w:val="24"/>
                <w:szCs w:val="21"/>
              </w:rPr>
            </w:pPr>
            <w:r>
              <w:rPr>
                <w:rFonts w:hint="eastAsia" w:ascii="宋体" w:hAnsi="宋体"/>
                <w:color w:val="00000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1</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sz w:val="24"/>
                <w:szCs w:val="21"/>
              </w:rPr>
              <w:t>溶度≥</w:t>
            </w:r>
            <w:r>
              <w:rPr>
                <w:rFonts w:ascii="宋体" w:hAnsi="宋体"/>
                <w:sz w:val="24"/>
                <w:szCs w:val="21"/>
              </w:rPr>
              <w:t>31%</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按成交价</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2</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sz w:val="24"/>
                <w:szCs w:val="21"/>
              </w:rPr>
              <w:t>31%</w:t>
            </w:r>
            <w:r>
              <w:rPr>
                <w:rFonts w:hint="eastAsia" w:ascii="宋体" w:hAnsi="宋体"/>
                <w:sz w:val="24"/>
                <w:szCs w:val="21"/>
              </w:rPr>
              <w:t>＞溶度≥</w:t>
            </w:r>
            <w:r>
              <w:rPr>
                <w:rFonts w:ascii="宋体" w:hAnsi="宋体"/>
                <w:sz w:val="24"/>
                <w:szCs w:val="21"/>
              </w:rPr>
              <w:t>29%</w:t>
            </w:r>
          </w:p>
        </w:tc>
        <w:tc>
          <w:tcPr>
            <w:tcW w:w="4548" w:type="dxa"/>
            <w:shd w:val="clear" w:color="auto" w:fill="auto"/>
            <w:vAlign w:val="center"/>
          </w:tcPr>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sz w:val="24"/>
                <w:szCs w:val="21"/>
              </w:rPr>
              <w:t>扣除该</w:t>
            </w:r>
            <w:r>
              <w:rPr>
                <w:rFonts w:ascii="宋体" w:hAnsi="宋体"/>
                <w:color w:val="000000"/>
                <w:sz w:val="24"/>
                <w:szCs w:val="21"/>
              </w:rPr>
              <w:t>批次金额的10%</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3</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ascii="宋体" w:hAnsi="宋体"/>
                <w:color w:val="000000"/>
                <w:sz w:val="24"/>
                <w:szCs w:val="21"/>
              </w:rPr>
              <w:t>29%</w:t>
            </w:r>
            <w:r>
              <w:rPr>
                <w:rFonts w:hint="eastAsia" w:ascii="宋体" w:hAnsi="宋体"/>
                <w:color w:val="000000"/>
                <w:sz w:val="24"/>
                <w:szCs w:val="21"/>
              </w:rPr>
              <w:t>＞</w:t>
            </w:r>
            <w:r>
              <w:rPr>
                <w:rFonts w:ascii="宋体" w:hAnsi="宋体"/>
                <w:color w:val="000000"/>
                <w:sz w:val="24"/>
                <w:szCs w:val="21"/>
              </w:rPr>
              <w:t>溶度＞28%</w:t>
            </w:r>
          </w:p>
        </w:tc>
        <w:tc>
          <w:tcPr>
            <w:tcW w:w="4548" w:type="dxa"/>
            <w:shd w:val="clear" w:color="auto" w:fill="auto"/>
            <w:vAlign w:val="center"/>
          </w:tcPr>
          <w:p>
            <w:pPr>
              <w:spacing w:line="480" w:lineRule="auto"/>
              <w:rPr>
                <w:rFonts w:ascii="宋体" w:hAnsi="宋体"/>
                <w:color w:val="000000"/>
                <w:sz w:val="24"/>
                <w:szCs w:val="21"/>
              </w:rPr>
            </w:pPr>
            <w:r>
              <w:rPr>
                <w:rFonts w:hint="eastAsia" w:ascii="宋体" w:hAnsi="宋体"/>
                <w:color w:val="000000"/>
                <w:sz w:val="24"/>
                <w:szCs w:val="21"/>
              </w:rPr>
              <w:t>扣除该</w:t>
            </w:r>
            <w:r>
              <w:rPr>
                <w:rFonts w:ascii="宋体" w:hAnsi="宋体"/>
                <w:color w:val="000000"/>
                <w:sz w:val="24"/>
                <w:szCs w:val="21"/>
              </w:rPr>
              <w:t>批次金额的2</w:t>
            </w:r>
            <w:r>
              <w:rPr>
                <w:rFonts w:hint="eastAsia" w:ascii="宋体" w:hAnsi="宋体"/>
                <w:color w:val="000000"/>
                <w:sz w:val="24"/>
                <w:szCs w:val="21"/>
              </w:rPr>
              <w:t>0</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3" w:type="dxa"/>
            <w:shd w:val="clear" w:color="auto" w:fill="auto"/>
            <w:vAlign w:val="center"/>
          </w:tcPr>
          <w:p>
            <w:pPr>
              <w:spacing w:line="480" w:lineRule="auto"/>
              <w:ind w:firstLine="240" w:firstLineChars="100"/>
              <w:rPr>
                <w:rFonts w:ascii="宋体" w:hAnsi="宋体"/>
                <w:color w:val="000000"/>
                <w:sz w:val="24"/>
                <w:szCs w:val="21"/>
              </w:rPr>
            </w:pPr>
            <w:r>
              <w:rPr>
                <w:rFonts w:hint="eastAsia" w:ascii="宋体" w:hAnsi="宋体"/>
                <w:color w:val="000000"/>
                <w:sz w:val="24"/>
                <w:szCs w:val="21"/>
              </w:rPr>
              <w:t>4</w:t>
            </w:r>
          </w:p>
        </w:tc>
        <w:tc>
          <w:tcPr>
            <w:tcW w:w="2431" w:type="dxa"/>
            <w:shd w:val="clear" w:color="auto" w:fill="auto"/>
            <w:vAlign w:val="center"/>
          </w:tcPr>
          <w:p>
            <w:pPr>
              <w:spacing w:line="480" w:lineRule="auto"/>
              <w:ind w:firstLine="360" w:firstLineChars="150"/>
              <w:rPr>
                <w:rFonts w:ascii="宋体" w:hAnsi="宋体"/>
                <w:color w:val="000000"/>
                <w:sz w:val="24"/>
                <w:szCs w:val="21"/>
              </w:rPr>
            </w:pPr>
            <w:r>
              <w:rPr>
                <w:rFonts w:hint="eastAsia" w:ascii="宋体" w:hAnsi="宋体"/>
                <w:color w:val="000000"/>
                <w:sz w:val="24"/>
                <w:szCs w:val="21"/>
              </w:rPr>
              <w:t>溶度≤</w:t>
            </w:r>
            <w:r>
              <w:rPr>
                <w:rFonts w:ascii="宋体" w:hAnsi="宋体"/>
                <w:color w:val="000000"/>
                <w:sz w:val="24"/>
                <w:szCs w:val="21"/>
              </w:rPr>
              <w:t>28%</w:t>
            </w:r>
          </w:p>
        </w:tc>
        <w:tc>
          <w:tcPr>
            <w:tcW w:w="4548" w:type="dxa"/>
            <w:shd w:val="clear" w:color="auto" w:fill="auto"/>
            <w:vAlign w:val="center"/>
          </w:tcPr>
          <w:p>
            <w:pPr>
              <w:rPr>
                <w:rFonts w:ascii="宋体" w:hAnsi="宋体"/>
                <w:color w:val="000000"/>
                <w:sz w:val="24"/>
                <w:szCs w:val="21"/>
              </w:rPr>
            </w:pPr>
            <w:r>
              <w:rPr>
                <w:rFonts w:hint="eastAsia" w:ascii="宋体" w:hAnsi="宋体"/>
                <w:color w:val="000000"/>
                <w:sz w:val="24"/>
                <w:szCs w:val="21"/>
              </w:rPr>
              <w:t>需方</w:t>
            </w:r>
            <w:r>
              <w:rPr>
                <w:rFonts w:ascii="宋体" w:hAnsi="宋体"/>
                <w:color w:val="000000"/>
                <w:sz w:val="24"/>
                <w:szCs w:val="21"/>
              </w:rPr>
              <w:t>将无</w:t>
            </w:r>
            <w:r>
              <w:rPr>
                <w:rFonts w:hint="eastAsia" w:ascii="宋体" w:hAnsi="宋体"/>
                <w:color w:val="000000"/>
                <w:sz w:val="24"/>
                <w:szCs w:val="21"/>
              </w:rPr>
              <w:t>偿使用该批次产品或有权要求供方退换该批次全部产品，因此造成的损失由供方负责</w:t>
            </w:r>
            <w:r>
              <w:rPr>
                <w:rFonts w:ascii="宋体" w:hAnsi="宋体"/>
                <w:color w:val="000000"/>
                <w:sz w:val="24"/>
                <w:szCs w:val="21"/>
              </w:rPr>
              <w:t>。</w:t>
            </w:r>
          </w:p>
        </w:tc>
        <w:tc>
          <w:tcPr>
            <w:tcW w:w="1388" w:type="dxa"/>
          </w:tcPr>
          <w:p>
            <w:pPr>
              <w:spacing w:line="480" w:lineRule="auto"/>
              <w:rPr>
                <w:rFonts w:ascii="宋体" w:hAnsi="宋体"/>
                <w:color w:val="000000"/>
                <w:sz w:val="24"/>
                <w:szCs w:val="21"/>
              </w:rPr>
            </w:pP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FF0000"/>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color w:val="FF0000"/>
          <w:kern w:val="0"/>
          <w:sz w:val="24"/>
          <w:szCs w:val="24"/>
        </w:rPr>
        <w:t>202</w:t>
      </w: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1</w:t>
      </w:r>
      <w:r>
        <w:rPr>
          <w:rFonts w:hint="eastAsia" w:ascii="宋体" w:hAnsi="宋体" w:eastAsia="宋体" w:cs="宋体"/>
          <w:color w:val="FF0000"/>
          <w:kern w:val="0"/>
          <w:sz w:val="24"/>
          <w:szCs w:val="24"/>
        </w:rPr>
        <w:t>月至202</w:t>
      </w: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月，</w:t>
      </w:r>
      <w:r>
        <w:rPr>
          <w:rFonts w:hint="eastAsia" w:ascii="宋体" w:hAnsi="宋体" w:eastAsia="宋体" w:cs="宋体"/>
          <w:kern w:val="0"/>
          <w:sz w:val="24"/>
          <w:szCs w:val="24"/>
        </w:rPr>
        <w:t>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ascii="宋体" w:hAnsi="宋体"/>
          <w:sz w:val="24"/>
          <w:szCs w:val="24"/>
        </w:rPr>
        <w:t>厦门市海沧</w:t>
      </w:r>
      <w:r>
        <w:rPr>
          <w:rFonts w:ascii="宋体" w:hAnsi="宋体"/>
          <w:sz w:val="24"/>
          <w:szCs w:val="24"/>
        </w:rPr>
        <w:t>区阳光西路</w:t>
      </w:r>
      <w:r>
        <w:rPr>
          <w:rFonts w:hint="eastAsia" w:ascii="宋体" w:hAnsi="宋体"/>
          <w:sz w:val="24"/>
          <w:szCs w:val="24"/>
        </w:rPr>
        <w:t>288号</w:t>
      </w:r>
      <w:r>
        <w:rPr>
          <w:rFonts w:hint="eastAsia" w:ascii="宋体" w:hAnsi="宋体"/>
          <w:sz w:val="24"/>
          <w:szCs w:val="24"/>
          <w:lang w:eastAsia="zh-CN"/>
        </w:rPr>
        <w:t>、</w:t>
      </w:r>
      <w:r>
        <w:rPr>
          <w:rFonts w:hint="eastAsia" w:ascii="宋体" w:hAnsi="宋体"/>
          <w:sz w:val="24"/>
          <w:szCs w:val="24"/>
          <w:lang w:val="en-US" w:eastAsia="zh-CN"/>
        </w:rPr>
        <w:t>厦门市同安区美禾三路399号</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海发环能</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ascii="宋体" w:hAnsi="宋体" w:cs="宋体"/>
          <w:b/>
          <w:kern w:val="0"/>
          <w:sz w:val="24"/>
        </w:rPr>
        <w:t>30</w:t>
      </w:r>
      <w:r>
        <w:rPr>
          <w:rFonts w:hint="eastAsia" w:ascii="宋体" w:hAnsi="宋体" w:cs="宋体"/>
          <w:b/>
          <w:kern w:val="0"/>
          <w:sz w:val="24"/>
        </w:rPr>
        <w:t>吨</w:t>
      </w:r>
      <w:r>
        <w:rPr>
          <w:rFonts w:hint="eastAsia" w:ascii="宋体" w:hAnsi="宋体" w:cs="宋体"/>
          <w:b/>
          <w:kern w:val="0"/>
          <w:sz w:val="24"/>
          <w:lang w:eastAsia="zh-CN"/>
        </w:rPr>
        <w:t>，</w:t>
      </w:r>
      <w:r>
        <w:rPr>
          <w:rFonts w:hint="eastAsia" w:ascii="宋体" w:hAnsi="宋体" w:cs="宋体"/>
          <w:b/>
          <w:kern w:val="0"/>
          <w:sz w:val="24"/>
          <w:lang w:val="en-US" w:eastAsia="zh-CN"/>
        </w:rPr>
        <w:t>同集热电</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hint="eastAsia" w:ascii="宋体" w:hAnsi="宋体" w:cs="宋体"/>
          <w:b/>
          <w:kern w:val="0"/>
          <w:sz w:val="24"/>
          <w:lang w:val="en-US" w:eastAsia="zh-CN"/>
        </w:rPr>
        <w:t>12</w:t>
      </w:r>
      <w:r>
        <w:rPr>
          <w:rFonts w:hint="eastAsia" w:ascii="宋体" w:hAnsi="宋体" w:cs="宋体"/>
          <w:b/>
          <w:kern w:val="0"/>
          <w:sz w:val="24"/>
        </w:rPr>
        <w:t>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cs="宋体" w:asciiTheme="minorEastAsia" w:hAnsiTheme="minorEastAsia"/>
          <w:color w:val="000000" w:themeColor="text1"/>
          <w:kern w:val="0"/>
          <w:sz w:val="24"/>
          <w:szCs w:val="24"/>
          <w:lang w:val="en-US" w:eastAsia="zh-CN"/>
          <w14:textFill>
            <w14:solidFill>
              <w14:schemeClr w14:val="tx1"/>
            </w14:solidFill>
          </w14:textFill>
        </w:rPr>
        <w:t>采购方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厂内电子汽车衡的计量数量为准，双方共同监磅，并作为结算依据。如</w:t>
      </w:r>
      <w:r>
        <w:rPr>
          <w:rFonts w:hint="eastAsia" w:cs="宋体" w:asciiTheme="minorEastAsia" w:hAnsiTheme="minorEastAsia"/>
          <w:color w:val="000000" w:themeColor="text1"/>
          <w:kern w:val="0"/>
          <w:sz w:val="24"/>
          <w:szCs w:val="24"/>
          <w:lang w:val="en-US" w:eastAsia="zh-CN"/>
          <w14:textFill>
            <w14:solidFill>
              <w14:schemeClr w14:val="tx1"/>
            </w14:solidFill>
          </w14:textFill>
        </w:rPr>
        <w:t>成交供应商</w:t>
      </w:r>
      <w:r>
        <w:rPr>
          <w:rFonts w:hint="eastAsia" w:cs="宋体" w:asciiTheme="minorEastAsia" w:hAnsiTheme="minorEastAsia"/>
          <w:color w:val="000000" w:themeColor="text1"/>
          <w:kern w:val="0"/>
          <w:sz w:val="24"/>
          <w:szCs w:val="24"/>
          <w14:textFill>
            <w14:solidFill>
              <w14:schemeClr w14:val="tx1"/>
            </w14:solidFill>
          </w14:textFill>
        </w:rPr>
        <w:t>需要，可以委托第三方进行过磅校验，费用由</w:t>
      </w:r>
      <w:r>
        <w:rPr>
          <w:rFonts w:hint="eastAsia" w:cs="宋体" w:asciiTheme="minorEastAsia" w:hAnsiTheme="minorEastAsia"/>
          <w:color w:val="000000" w:themeColor="text1"/>
          <w:kern w:val="0"/>
          <w:sz w:val="24"/>
          <w:szCs w:val="24"/>
          <w:lang w:val="en-US" w:eastAsia="zh-CN"/>
          <w14:textFill>
            <w14:solidFill>
              <w14:schemeClr w14:val="tx1"/>
            </w14:solidFill>
          </w14:textFill>
        </w:rPr>
        <w:t>成交供应商</w:t>
      </w:r>
      <w:r>
        <w:rPr>
          <w:rFonts w:hint="eastAsia" w:cs="宋体" w:asciiTheme="minorEastAsia" w:hAnsiTheme="minorEastAsia"/>
          <w:color w:val="000000" w:themeColor="text1"/>
          <w:kern w:val="0"/>
          <w:sz w:val="24"/>
          <w:szCs w:val="24"/>
          <w14:textFill>
            <w14:solidFill>
              <w14:schemeClr w14:val="tx1"/>
            </w14:solidFill>
          </w14:textFill>
        </w:rPr>
        <w:t>负责，每次送货需提供该批次产品出厂检验报告。</w:t>
      </w:r>
    </w:p>
    <w:p>
      <w:pPr>
        <w:spacing w:line="540" w:lineRule="exact"/>
        <w:rPr>
          <w:rFonts w:ascii="宋体" w:hAnsi="宋体" w:cs="宋体"/>
          <w:color w:val="333333"/>
          <w:kern w:val="0"/>
          <w:sz w:val="24"/>
          <w:szCs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Theme="minorEastAsia" w:hAnsiTheme="minorEastAsia"/>
          <w:szCs w:val="21"/>
          <w:lang w:val="en-US" w:eastAsia="zh-CN"/>
        </w:rPr>
        <w:t>采购方</w:t>
      </w:r>
      <w:r>
        <w:rPr>
          <w:rFonts w:hint="eastAsia" w:asciiTheme="minorEastAsia" w:hAnsiTheme="minorEastAsia"/>
          <w:szCs w:val="21"/>
        </w:rPr>
        <w:t>分阶段对产品取样,化验由化验室人员按照现有的设备进行化验，并以化验出来的结果作为结算依据。</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批次结算</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具体以合同约定为依据</w:t>
      </w:r>
      <w:r>
        <w:rPr>
          <w:rFonts w:cs="宋体" w:asciiTheme="minorEastAsia" w:hAnsiTheme="minorEastAsia"/>
          <w:kern w:val="0"/>
          <w:sz w:val="24"/>
          <w:szCs w:val="24"/>
        </w:rPr>
        <w:t>。</w:t>
      </w:r>
    </w:p>
    <w:p>
      <w:pPr>
        <w:widowControl/>
        <w:shd w:val="clear" w:color="auto" w:fill="FFFFFF"/>
        <w:spacing w:line="480" w:lineRule="auto"/>
        <w:jc w:val="left"/>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合同履约金</w:t>
      </w:r>
      <w:r>
        <w:rPr>
          <w:rFonts w:hint="eastAsia" w:ascii="宋体" w:hAnsi="宋体"/>
          <w:color w:val="auto"/>
          <w:sz w:val="24"/>
          <w:szCs w:val="24"/>
          <w:lang w:eastAsia="zh-CN"/>
        </w:rPr>
        <w:t>：</w:t>
      </w:r>
      <w:r>
        <w:rPr>
          <w:rFonts w:hint="eastAsia" w:ascii="宋体" w:hAnsi="宋体"/>
          <w:color w:val="auto"/>
          <w:sz w:val="24"/>
          <w:szCs w:val="24"/>
        </w:rPr>
        <w:t>成交供应商应在</w:t>
      </w:r>
      <w:r>
        <w:rPr>
          <w:rFonts w:hint="eastAsia" w:ascii="宋体" w:hAnsi="宋体"/>
          <w:color w:val="auto"/>
          <w:sz w:val="24"/>
          <w:szCs w:val="24"/>
          <w:lang w:val="en-US" w:eastAsia="zh-CN"/>
        </w:rPr>
        <w:t>接到</w:t>
      </w:r>
      <w:r>
        <w:rPr>
          <w:rFonts w:hint="eastAsia" w:ascii="宋体" w:hAnsi="宋体"/>
          <w:color w:val="auto"/>
          <w:sz w:val="24"/>
          <w:szCs w:val="24"/>
        </w:rPr>
        <w:t>《成交通知书》</w:t>
      </w:r>
      <w:r>
        <w:rPr>
          <w:rFonts w:hint="eastAsia" w:ascii="宋体" w:hAnsi="宋体"/>
          <w:color w:val="auto"/>
          <w:sz w:val="24"/>
          <w:szCs w:val="24"/>
          <w:lang w:val="en-US" w:eastAsia="zh-CN"/>
        </w:rPr>
        <w:t>三</w:t>
      </w:r>
      <w:r>
        <w:rPr>
          <w:rFonts w:hint="eastAsia" w:ascii="宋体" w:hAnsi="宋体"/>
          <w:color w:val="auto"/>
          <w:sz w:val="24"/>
          <w:szCs w:val="24"/>
        </w:rPr>
        <w:t>个工作日内将履约保证金人民币</w:t>
      </w:r>
      <w:r>
        <w:rPr>
          <w:rFonts w:hint="eastAsia" w:ascii="宋体" w:hAnsi="宋体"/>
          <w:color w:val="auto"/>
          <w:sz w:val="24"/>
          <w:szCs w:val="24"/>
          <w:lang w:val="en-US" w:eastAsia="zh-CN"/>
        </w:rPr>
        <w:t>捌仟</w:t>
      </w:r>
      <w:r>
        <w:rPr>
          <w:rFonts w:hint="eastAsia" w:ascii="宋体" w:hAnsi="宋体"/>
          <w:color w:val="auto"/>
          <w:sz w:val="24"/>
          <w:szCs w:val="24"/>
        </w:rPr>
        <w:t>元存入采购人账户。</w:t>
      </w:r>
    </w:p>
    <w:p>
      <w:pPr>
        <w:widowControl/>
        <w:shd w:val="clear" w:color="auto" w:fill="FFFFFF"/>
        <w:spacing w:line="480" w:lineRule="auto"/>
        <w:jc w:val="left"/>
        <w:rPr>
          <w:rFonts w:hint="eastAsia" w:ascii="宋体" w:hAnsi="宋体"/>
          <w:color w:val="auto"/>
          <w:sz w:val="24"/>
          <w:szCs w:val="24"/>
        </w:rPr>
      </w:pPr>
      <w:r>
        <w:rPr>
          <w:rFonts w:hint="eastAsia" w:ascii="宋体" w:hAnsi="宋体"/>
          <w:color w:val="auto"/>
          <w:sz w:val="24"/>
          <w:szCs w:val="24"/>
        </w:rPr>
        <w:t>收款单位：厦门海发环保能源股份有限公司</w:t>
      </w:r>
    </w:p>
    <w:p>
      <w:pPr>
        <w:widowControl/>
        <w:shd w:val="clear" w:color="auto" w:fill="FFFFFF"/>
        <w:spacing w:line="480" w:lineRule="auto"/>
        <w:jc w:val="left"/>
        <w:rPr>
          <w:rFonts w:hint="eastAsia" w:ascii="宋体" w:hAnsi="宋体" w:eastAsia="宋体" w:cs="宋体"/>
          <w:color w:val="auto"/>
          <w:kern w:val="0"/>
          <w:sz w:val="24"/>
          <w:szCs w:val="24"/>
          <w:highlight w:val="none"/>
        </w:rPr>
      </w:pPr>
      <w:r>
        <w:rPr>
          <w:rFonts w:hint="eastAsia" w:ascii="宋体" w:hAnsi="宋体"/>
          <w:color w:val="auto"/>
          <w:sz w:val="24"/>
          <w:szCs w:val="24"/>
        </w:rPr>
        <w:t>账号：</w:t>
      </w:r>
      <w:r>
        <w:rPr>
          <w:rFonts w:hint="eastAsia" w:ascii="宋体" w:hAnsi="宋体" w:eastAsia="宋体" w:cs="宋体"/>
          <w:color w:val="auto"/>
          <w:kern w:val="0"/>
          <w:sz w:val="24"/>
          <w:szCs w:val="24"/>
          <w:highlight w:val="none"/>
        </w:rPr>
        <w:t>40373001040009422</w:t>
      </w:r>
    </w:p>
    <w:p>
      <w:pPr>
        <w:widowControl/>
        <w:shd w:val="clear" w:color="auto" w:fill="FFFFFF"/>
        <w:spacing w:line="480" w:lineRule="auto"/>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5.合同签订：成交供应商需分别与厦门海发环保能源股份有限公司及厦门同集热电有限公司签订购销合同</w:t>
      </w:r>
    </w:p>
    <w:p>
      <w:pPr>
        <w:widowControl/>
        <w:shd w:val="clear" w:color="auto" w:fill="FFFFFF"/>
        <w:spacing w:line="480" w:lineRule="auto"/>
        <w:jc w:val="left"/>
        <w:rPr>
          <w:rFonts w:hint="eastAsia" w:ascii="宋体" w:hAnsi="宋体"/>
          <w:sz w:val="24"/>
          <w:szCs w:val="24"/>
          <w:lang w:val="en-US" w:eastAsia="zh-CN"/>
        </w:rPr>
      </w:pPr>
      <w:bookmarkStart w:id="45" w:name="_Toc15618_WPSOffice_Level1"/>
      <w:bookmarkStart w:id="46" w:name="_Toc3940_WPSOffice_Level1"/>
      <w:bookmarkStart w:id="47" w:name="_Toc8176"/>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widowControl/>
        <w:shd w:val="clear" w:color="auto" w:fill="FFFFFF"/>
        <w:spacing w:line="480" w:lineRule="auto"/>
        <w:jc w:val="left"/>
        <w:rPr>
          <w:rFonts w:hint="eastAsia" w:ascii="宋体" w:hAnsi="宋体"/>
          <w:sz w:val="24"/>
          <w:szCs w:val="24"/>
          <w:lang w:val="en-US" w:eastAsia="zh-CN"/>
        </w:rPr>
      </w:pPr>
    </w:p>
    <w:p>
      <w:pPr>
        <w:pStyle w:val="3"/>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500" w:lineRule="exact"/>
        <w:rPr>
          <w:rFonts w:hint="eastAsia" w:asciiTheme="minorEastAsia" w:hAnsiTheme="minorEastAsia"/>
          <w:szCs w:val="21"/>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盐酸购销合同（海发环能版）</w:t>
      </w:r>
    </w:p>
    <w:p>
      <w:pPr>
        <w:spacing w:line="500" w:lineRule="exact"/>
        <w:rPr>
          <w:rFonts w:asciiTheme="minorEastAsia" w:hAnsiTheme="minorEastAsia"/>
          <w:szCs w:val="21"/>
        </w:rPr>
      </w:pPr>
      <w:r>
        <w:rPr>
          <w:rFonts w:hint="eastAsia" w:asciiTheme="minorEastAsia" w:hAnsiTheme="minorEastAsia"/>
          <w:szCs w:val="21"/>
        </w:rPr>
        <w:t xml:space="preserve">需方：厦门海发环保能源股份有限公司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签订地点：厦门海沧</w:t>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r>
        <w:rPr>
          <w:rFonts w:hint="eastAsia" w:asciiTheme="minorEastAsia" w:hAnsiTheme="minorEastAsia"/>
          <w:vanish/>
          <w:szCs w:val="21"/>
        </w:rPr>
        <w:pgNum/>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color w:val="FF0000"/>
          <w:szCs w:val="21"/>
        </w:rPr>
      </w:pPr>
      <w:r>
        <w:rPr>
          <w:rFonts w:hint="eastAsia" w:asciiTheme="minorEastAsia" w:hAnsiTheme="minorEastAsia"/>
          <w:color w:val="FF0000"/>
          <w:szCs w:val="21"/>
        </w:rPr>
        <w:t>1、</w:t>
      </w:r>
      <w:r>
        <w:rPr>
          <w:rFonts w:hint="eastAsia" w:asciiTheme="minorEastAsia" w:hAnsiTheme="minorEastAsia"/>
          <w:color w:val="FF0000"/>
          <w:szCs w:val="21"/>
          <w:lang w:val="en-US" w:eastAsia="zh-CN"/>
        </w:rPr>
        <w:t>供方在收到成交通知书后三个工作日内向</w:t>
      </w:r>
      <w:r>
        <w:rPr>
          <w:rFonts w:hint="eastAsia" w:asciiTheme="minorEastAsia" w:hAnsiTheme="minorEastAsia"/>
          <w:color w:val="FF0000"/>
          <w:szCs w:val="21"/>
        </w:rPr>
        <w:t>需方</w:t>
      </w:r>
      <w:r>
        <w:rPr>
          <w:rFonts w:hint="eastAsia" w:asciiTheme="minorEastAsia" w:hAnsiTheme="minorEastAsia"/>
          <w:color w:val="FF0000"/>
          <w:szCs w:val="21"/>
          <w:lang w:val="en-US" w:eastAsia="zh-CN"/>
        </w:rPr>
        <w:t>账户缴存捌仟</w:t>
      </w:r>
      <w:r>
        <w:rPr>
          <w:rFonts w:hint="eastAsia" w:asciiTheme="minorEastAsia" w:hAnsiTheme="minorEastAsia"/>
          <w:color w:val="FF0000"/>
          <w:szCs w:val="21"/>
        </w:rPr>
        <w:t>元整（</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80</w:t>
      </w:r>
      <w:r>
        <w:rPr>
          <w:rFonts w:ascii="宋体" w:hAnsi="宋体" w:eastAsia="宋体" w:cs="宋体"/>
          <w:b/>
          <w:kern w:val="0"/>
          <w:sz w:val="24"/>
          <w:szCs w:val="24"/>
        </w:rPr>
        <w:t>00.00</w:t>
      </w:r>
      <w:r>
        <w:rPr>
          <w:rFonts w:hint="eastAsia" w:asciiTheme="minorEastAsia" w:hAnsiTheme="minorEastAsia"/>
          <w:color w:val="FF0000"/>
          <w:szCs w:val="21"/>
        </w:rPr>
        <w:t>元）</w:t>
      </w:r>
      <w:r>
        <w:rPr>
          <w:rFonts w:hint="eastAsia" w:asciiTheme="minorEastAsia" w:hAnsiTheme="minorEastAsia"/>
          <w:color w:val="FF0000"/>
          <w:szCs w:val="21"/>
          <w:lang w:val="en-US" w:eastAsia="zh-CN"/>
        </w:rPr>
        <w:t>作为</w:t>
      </w:r>
      <w:r>
        <w:rPr>
          <w:rFonts w:hint="eastAsia" w:asciiTheme="minorEastAsia" w:hAnsiTheme="minorEastAsia"/>
          <w:color w:val="FF0000"/>
          <w:szCs w:val="21"/>
        </w:rPr>
        <w:t xml:space="preserve"> 合同履约金，质保期至202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07</w:t>
      </w:r>
      <w:r>
        <w:rPr>
          <w:rFonts w:hint="eastAsia" w:asciiTheme="minorEastAsia" w:hAnsiTheme="minorEastAsia"/>
          <w:color w:val="FF0000"/>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spacing w:line="520" w:lineRule="exact"/>
        <w:ind w:firstLine="420" w:firstLineChars="200"/>
        <w:rPr>
          <w:rFonts w:hint="eastAsia" w:asciiTheme="minorEastAsia" w:hAnsiTheme="minorEastAsia"/>
          <w:szCs w:val="21"/>
        </w:rPr>
      </w:pPr>
      <w:r>
        <w:rPr>
          <w:rFonts w:hint="eastAsia" w:ascii="宋体" w:hAnsi="宋体"/>
          <w:sz w:val="21"/>
          <w:szCs w:val="21"/>
        </w:rPr>
        <w:t>3、在合同期内供货数量以实际供应量结算，总数量不得超过合同签订数量2</w:t>
      </w:r>
      <w:r>
        <w:rPr>
          <w:rFonts w:ascii="宋体" w:hAnsi="宋体"/>
          <w:sz w:val="21"/>
          <w:szCs w:val="21"/>
        </w:rPr>
        <w:t>5</w:t>
      </w:r>
      <w:r>
        <w:rPr>
          <w:rFonts w:hint="eastAsia" w:ascii="宋体" w:hAnsi="宋体"/>
          <w:sz w:val="21"/>
          <w:szCs w:val="21"/>
        </w:rPr>
        <w:t>0吨。</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hint="eastAsia" w:ascii="宋体" w:hAnsi="宋体"/>
          <w:sz w:val="21"/>
          <w:szCs w:val="21"/>
        </w:rPr>
      </w:pPr>
      <w:r>
        <w:rPr>
          <w:rFonts w:hint="eastAsia" w:ascii="宋体" w:hAnsi="宋体"/>
          <w:sz w:val="21"/>
          <w:szCs w:val="21"/>
        </w:rPr>
        <w:t>九、厂区道路运输及装卸安全</w:t>
      </w:r>
    </w:p>
    <w:p>
      <w:pPr>
        <w:spacing w:line="520" w:lineRule="exact"/>
        <w:ind w:firstLine="420" w:firstLineChars="200"/>
        <w:rPr>
          <w:rFonts w:hint="eastAsia" w:ascii="宋体" w:hAnsi="宋体"/>
          <w:sz w:val="21"/>
          <w:szCs w:val="21"/>
        </w:rPr>
      </w:pPr>
      <w:r>
        <w:rPr>
          <w:rFonts w:hint="eastAsia" w:ascii="宋体" w:hAnsi="宋体"/>
          <w:sz w:val="21"/>
          <w:szCs w:val="21"/>
        </w:rPr>
        <w:t>根据《危险化学品道路运输管理办法》第九、十、十一、十二、十三、十四、十五条的规定：</w:t>
      </w:r>
    </w:p>
    <w:p>
      <w:pPr>
        <w:spacing w:line="520" w:lineRule="exact"/>
        <w:ind w:firstLine="420" w:firstLineChars="200"/>
        <w:rPr>
          <w:rFonts w:hint="eastAsia" w:ascii="宋体" w:hAnsi="宋体"/>
          <w:sz w:val="21"/>
          <w:szCs w:val="21"/>
        </w:rPr>
      </w:pPr>
      <w:r>
        <w:rPr>
          <w:rFonts w:hint="eastAsia" w:ascii="宋体" w:hAnsi="宋体"/>
          <w:sz w:val="21"/>
          <w:szCs w:val="21"/>
        </w:rPr>
        <w:t>1、危险化学品道路运输企业应取得道路运输管理机构颁发的危险货物道路运输许可，并向工商行政管理部门办理登记手续。</w:t>
      </w:r>
    </w:p>
    <w:p>
      <w:pPr>
        <w:spacing w:line="520" w:lineRule="exact"/>
        <w:ind w:firstLine="420" w:firstLineChars="200"/>
        <w:rPr>
          <w:rFonts w:hint="eastAsia" w:ascii="宋体" w:hAnsi="宋体"/>
          <w:sz w:val="21"/>
          <w:szCs w:val="21"/>
        </w:rPr>
      </w:pPr>
      <w:r>
        <w:rPr>
          <w:rFonts w:hint="eastAsia" w:ascii="宋体" w:hAnsi="宋体"/>
          <w:sz w:val="21"/>
          <w:szCs w:val="21"/>
        </w:rPr>
        <w:t>2、危险化学品运输车辆应当依法取得道路运输管理机构颁发的《道路运输证》，并在经营范围内注明危险化学品类别、品名，且运输车辆应满足国家相关规范要求，并定期做好维护、保养工作。</w:t>
      </w:r>
    </w:p>
    <w:p>
      <w:pPr>
        <w:spacing w:line="520" w:lineRule="exact"/>
        <w:ind w:firstLine="420" w:firstLineChars="200"/>
        <w:rPr>
          <w:rFonts w:hint="eastAsia" w:ascii="宋体" w:hAnsi="宋体"/>
          <w:sz w:val="21"/>
          <w:szCs w:val="21"/>
        </w:rPr>
      </w:pPr>
      <w:r>
        <w:rPr>
          <w:rFonts w:hint="eastAsia" w:ascii="宋体" w:hAnsi="宋体"/>
          <w:sz w:val="21"/>
          <w:szCs w:val="21"/>
        </w:rPr>
        <w:t>3、车辆驾驶人员应取得相应车辆驾驶证，并经考试取得从业资格证；押运员也应取得从业资格证；同时驾驶人员、押运人员应熟悉危险化学品的特性及应急处置方法。</w:t>
      </w:r>
    </w:p>
    <w:p>
      <w:pPr>
        <w:spacing w:line="520" w:lineRule="exact"/>
        <w:ind w:firstLine="420" w:firstLineChars="200"/>
        <w:rPr>
          <w:rFonts w:hint="eastAsia" w:ascii="宋体" w:hAnsi="宋体"/>
          <w:sz w:val="21"/>
          <w:szCs w:val="21"/>
        </w:rPr>
      </w:pPr>
      <w:r>
        <w:rPr>
          <w:rFonts w:hint="eastAsia" w:ascii="宋体" w:hAnsi="宋体"/>
          <w:sz w:val="21"/>
          <w:szCs w:val="21"/>
        </w:rPr>
        <w:t>4、危险化学品道路运输时应按规定配备充足、合格的驾驶人员及押运人员。</w:t>
      </w:r>
    </w:p>
    <w:p>
      <w:pPr>
        <w:spacing w:line="520" w:lineRule="exact"/>
        <w:ind w:firstLine="420" w:firstLineChars="200"/>
        <w:rPr>
          <w:rFonts w:hint="eastAsia" w:ascii="宋体" w:hAnsi="宋体"/>
          <w:sz w:val="21"/>
          <w:szCs w:val="21"/>
        </w:rPr>
      </w:pPr>
      <w:r>
        <w:rPr>
          <w:rFonts w:hint="eastAsia" w:ascii="宋体" w:hAnsi="宋体"/>
          <w:sz w:val="21"/>
          <w:szCs w:val="21"/>
        </w:rPr>
        <w:t>5、危险化学品的道路运输企业应落实主体责任，加强运输车辆及设施、设备的维护、管理，及时排查并消除安全隐患。</w:t>
      </w:r>
    </w:p>
    <w:p>
      <w:pPr>
        <w:spacing w:line="520" w:lineRule="exact"/>
        <w:ind w:firstLine="420" w:firstLineChars="200"/>
        <w:rPr>
          <w:rFonts w:hint="eastAsia" w:ascii="宋体" w:hAnsi="宋体"/>
          <w:sz w:val="21"/>
          <w:szCs w:val="21"/>
        </w:rPr>
      </w:pPr>
      <w:r>
        <w:rPr>
          <w:rFonts w:hint="eastAsia" w:ascii="宋体" w:hAnsi="宋体"/>
          <w:sz w:val="21"/>
          <w:szCs w:val="21"/>
        </w:rPr>
        <w:t>6、供方进入生产区域应遵守客户安全生产管理规定，车辆应按规定路线行驶，进入不得随意进入与本次生产（送货）无关的区域，进入厂区人员必须按国家有关规定，按规定为施工人员配备劳动防护用具、安全用具等，装卸前应对设备进行检查，按规范进行操作，如因供方人员违规操作或疏忽等原因照成等损失由供方负责赔偿。</w:t>
      </w:r>
    </w:p>
    <w:p>
      <w:pPr>
        <w:spacing w:line="520" w:lineRule="exact"/>
        <w:ind w:firstLine="420" w:firstLineChars="200"/>
        <w:rPr>
          <w:rFonts w:hint="eastAsia" w:asciiTheme="minorEastAsia" w:hAnsiTheme="minorEastAsia"/>
          <w:szCs w:val="21"/>
        </w:rPr>
      </w:pPr>
      <w:r>
        <w:rPr>
          <w:rFonts w:hint="eastAsia" w:ascii="宋体" w:hAnsi="宋体"/>
          <w:sz w:val="21"/>
          <w:szCs w:val="21"/>
        </w:rPr>
        <w:t>请贵司按照危险化学品的相关管理规定，确实履行安全主体责任，确保危险化学品的道路运输安全。</w:t>
      </w:r>
    </w:p>
    <w:p>
      <w:pPr>
        <w:spacing w:line="520" w:lineRule="exact"/>
        <w:ind w:firstLine="420" w:firstLineChars="200"/>
        <w:rPr>
          <w:rFonts w:ascii="宋体" w:hAnsi="宋体"/>
          <w:sz w:val="21"/>
          <w:szCs w:val="21"/>
        </w:rPr>
      </w:pPr>
      <w:r>
        <w:rPr>
          <w:rFonts w:hint="eastAsia" w:ascii="宋体" w:hAnsi="宋体"/>
          <w:sz w:val="21"/>
          <w:szCs w:val="21"/>
        </w:rPr>
        <w:t>十、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宋体" w:hAnsi="宋体"/>
          <w:b w:val="0"/>
          <w:sz w:val="21"/>
          <w:szCs w:val="21"/>
        </w:rPr>
      </w:pPr>
      <w:r>
        <w:rPr>
          <w:rFonts w:hint="eastAsia" w:ascii="宋体" w:hAnsi="宋体"/>
          <w:sz w:val="21"/>
          <w:szCs w:val="21"/>
        </w:rPr>
        <w:t>十一</w:t>
      </w:r>
      <w:r>
        <w:rPr>
          <w:rFonts w:ascii="宋体" w:hAnsi="宋体"/>
          <w:sz w:val="21"/>
          <w:szCs w:val="21"/>
        </w:rPr>
        <w:t>、</w:t>
      </w:r>
      <w:r>
        <w:rPr>
          <w:rFonts w:hint="eastAsia" w:ascii="宋体" w:hAnsi="宋体"/>
          <w:bCs/>
          <w:sz w:val="21"/>
          <w:szCs w:val="21"/>
        </w:rPr>
        <w:t>合同争议的解决方式：</w:t>
      </w:r>
      <w:r>
        <w:rPr>
          <w:rFonts w:hint="eastAsia" w:ascii="宋体" w:hAnsi="宋体"/>
          <w:sz w:val="21"/>
          <w:szCs w:val="21"/>
        </w:rPr>
        <w:t>本合同在履行过程中发生的争议，由双方当事人协商解决，协商、调解不成的，</w:t>
      </w:r>
      <w:r>
        <w:rPr>
          <w:rStyle w:val="29"/>
          <w:rFonts w:hint="eastAsia" w:ascii="宋体" w:hAnsi="宋体"/>
          <w:b w:val="0"/>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十</w:t>
      </w:r>
      <w:r>
        <w:rPr>
          <w:rFonts w:hint="eastAsia" w:asciiTheme="minorEastAsia" w:hAnsiTheme="minorEastAsia"/>
          <w:szCs w:val="21"/>
          <w:lang w:val="en-US" w:eastAsia="zh-CN"/>
        </w:rPr>
        <w:t>二</w:t>
      </w:r>
      <w:r>
        <w:rPr>
          <w:rFonts w:hint="eastAsia" w:asciiTheme="minorEastAsia" w:hAnsiTheme="minorEastAsia"/>
          <w:szCs w:val="21"/>
        </w:rPr>
        <w:t>、</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01</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0</w:t>
      </w:r>
      <w:r>
        <w:rPr>
          <w:rFonts w:hint="eastAsia" w:asciiTheme="minorEastAsia" w:hAnsiTheme="minorEastAsia"/>
          <w:color w:val="FF0000"/>
          <w:szCs w:val="21"/>
        </w:rPr>
        <w:t>1日至</w:t>
      </w:r>
      <w:r>
        <w:rPr>
          <w:rFonts w:asciiTheme="minorEastAsia" w:hAnsiTheme="minorEastAsia"/>
          <w:color w:val="FF0000"/>
          <w:szCs w:val="21"/>
        </w:rPr>
        <w:t>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06</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30</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360" w:lineRule="auto"/>
              <w:rPr>
                <w:rFonts w:asciiTheme="minorEastAsia" w:hAnsiTheme="minorEastAsia"/>
                <w:szCs w:val="21"/>
              </w:rPr>
            </w:pPr>
            <w:r>
              <w:rPr>
                <w:rFonts w:hint="eastAsia" w:asciiTheme="minorEastAsia" w:hAnsiTheme="minorEastAsia"/>
                <w:szCs w:val="21"/>
              </w:rPr>
              <w:t xml:space="preserve">需方：厦门海发环保能源股份有限公司   </w:t>
            </w:r>
          </w:p>
          <w:p>
            <w:pPr>
              <w:spacing w:line="360" w:lineRule="auto"/>
              <w:rPr>
                <w:rFonts w:asciiTheme="minorEastAsia" w:hAnsiTheme="minorEastAsia"/>
                <w:szCs w:val="21"/>
              </w:rPr>
            </w:pPr>
            <w:r>
              <w:rPr>
                <w:rFonts w:hint="eastAsia" w:asciiTheme="minorEastAsia" w:hAnsiTheme="minorEastAsia"/>
                <w:szCs w:val="21"/>
              </w:rPr>
              <w:t>单位地址：厦门市海沧区阳光西路288号</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r>
              <w:rPr>
                <w:rFonts w:asciiTheme="minorEastAsia" w:hAnsiTheme="minorEastAsia"/>
                <w:szCs w:val="21"/>
              </w:rPr>
              <w:t xml:space="preserve"> </w:t>
            </w:r>
          </w:p>
          <w:p>
            <w:pPr>
              <w:spacing w:line="360" w:lineRule="auto"/>
              <w:rPr>
                <w:rFonts w:hint="eastAsia" w:asciiTheme="minorEastAsia" w:hAnsiTheme="minorEastAsia"/>
                <w:szCs w:val="21"/>
                <w:lang w:val="en-US" w:eastAsia="zh-CN"/>
              </w:rPr>
            </w:pPr>
            <w:r>
              <w:rPr>
                <w:rFonts w:hint="eastAsia" w:asciiTheme="minorEastAsia" w:hAnsiTheme="minorEastAsia"/>
                <w:szCs w:val="21"/>
              </w:rPr>
              <w:t>开户银行：</w:t>
            </w:r>
            <w:r>
              <w:rPr>
                <w:rFonts w:hint="eastAsia" w:asciiTheme="minorEastAsia" w:hAnsiTheme="minorEastAsia"/>
                <w:szCs w:val="21"/>
                <w:lang w:val="en-US" w:eastAsia="zh-CN"/>
              </w:rPr>
              <w:t xml:space="preserve"> </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szCs w:val="21"/>
              </w:rPr>
              <w:t>账号</w:t>
            </w:r>
            <w:r>
              <w:rPr>
                <w:rFonts w:hint="eastAsia" w:asciiTheme="minorEastAsia" w:hAnsiTheme="minorEastAsia"/>
                <w:szCs w:val="21"/>
                <w:lang w:val="en-US" w:eastAsia="zh-CN"/>
              </w:rPr>
              <w:t xml:space="preserve"> </w:t>
            </w:r>
          </w:p>
          <w:p>
            <w:pPr>
              <w:spacing w:line="360" w:lineRule="auto"/>
              <w:rPr>
                <w:rFonts w:asciiTheme="minorEastAsia" w:hAnsiTheme="minorEastAsia"/>
                <w:bCs/>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7"/>
        <w:rPr>
          <w:rFonts w:ascii="宋体" w:hAnsi="宋体" w:eastAsia="宋体"/>
          <w:bCs/>
          <w:color w:val="000000"/>
          <w:sz w:val="36"/>
          <w:szCs w:val="36"/>
        </w:rPr>
      </w:pPr>
    </w:p>
    <w:p>
      <w:pPr>
        <w:spacing w:line="500" w:lineRule="exact"/>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盐酸购销合同（同集热电版）</w:t>
      </w:r>
    </w:p>
    <w:p>
      <w:pPr>
        <w:spacing w:line="500" w:lineRule="exact"/>
        <w:rPr>
          <w:rFonts w:asciiTheme="minorEastAsia" w:hAnsiTheme="minorEastAsia"/>
          <w:szCs w:val="21"/>
        </w:rPr>
      </w:pPr>
      <w:r>
        <w:rPr>
          <w:rFonts w:hint="eastAsia" w:asciiTheme="minorEastAsia" w:hAnsiTheme="minorEastAsia"/>
          <w:szCs w:val="21"/>
        </w:rPr>
        <w:t>需方：厦门</w:t>
      </w:r>
      <w:r>
        <w:rPr>
          <w:rFonts w:hint="eastAsia" w:asciiTheme="minorEastAsia" w:hAnsiTheme="minorEastAsia"/>
          <w:szCs w:val="21"/>
          <w:lang w:val="en-US" w:eastAsia="zh-CN"/>
        </w:rPr>
        <w:t>同集热电</w:t>
      </w:r>
      <w:r>
        <w:rPr>
          <w:rFonts w:hint="eastAsia" w:asciiTheme="minorEastAsia" w:hAnsiTheme="minorEastAsia"/>
          <w:szCs w:val="21"/>
        </w:rPr>
        <w:t xml:space="preserve">有限公司       </w:t>
      </w:r>
      <w:r>
        <w:rPr>
          <w:rFonts w:asciiTheme="minorEastAsia" w:hAnsiTheme="minorEastAsia"/>
          <w:szCs w:val="21"/>
        </w:rPr>
        <w:t xml:space="preserve">               </w:t>
      </w:r>
      <w:r>
        <w:rPr>
          <w:rFonts w:hint="eastAsia" w:asciiTheme="minorEastAsia" w:hAnsiTheme="minorEastAsia"/>
          <w:szCs w:val="21"/>
        </w:rPr>
        <w:t>合同编号:</w:t>
      </w:r>
    </w:p>
    <w:p>
      <w:pPr>
        <w:spacing w:line="500" w:lineRule="exact"/>
        <w:rPr>
          <w:rFonts w:asciiTheme="minorEastAsia" w:hAnsiTheme="minorEastAsia"/>
          <w:szCs w:val="21"/>
        </w:rPr>
      </w:pPr>
      <w:r>
        <w:rPr>
          <w:rFonts w:hint="eastAsia" w:asciiTheme="minorEastAsia" w:hAnsiTheme="minorEastAsia"/>
          <w:szCs w:val="21"/>
        </w:rPr>
        <w:t xml:space="preserve">供方：            </w:t>
      </w:r>
      <w:r>
        <w:rPr>
          <w:rFonts w:asciiTheme="minorEastAsia" w:hAnsiTheme="minorEastAsia"/>
          <w:szCs w:val="21"/>
        </w:rPr>
        <w:t xml:space="preserve">                                      </w:t>
      </w:r>
      <w:r>
        <w:rPr>
          <w:rFonts w:hint="eastAsia" w:asciiTheme="minorEastAsia" w:hAnsiTheme="minorEastAsia"/>
          <w:szCs w:val="21"/>
        </w:rPr>
        <w:t>签订时间：  年  月  日</w:t>
      </w:r>
    </w:p>
    <w:p>
      <w:pPr>
        <w:spacing w:line="500" w:lineRule="exact"/>
        <w:rPr>
          <w:rFonts w:hint="eastAsia" w:asciiTheme="minorEastAsia" w:hAnsiTheme="minorEastAsia"/>
          <w:szCs w:val="21"/>
          <w:lang w:val="en-US" w:eastAsia="zh-CN"/>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签订地点：厦门</w:t>
      </w:r>
      <w:r>
        <w:rPr>
          <w:rFonts w:hint="eastAsia" w:asciiTheme="minorEastAsia" w:hAnsiTheme="minorEastAsia"/>
          <w:szCs w:val="21"/>
          <w:lang w:val="en-US" w:eastAsia="zh-CN"/>
        </w:rPr>
        <w:t>同安</w:t>
      </w:r>
    </w:p>
    <w:p>
      <w:pPr>
        <w:spacing w:line="500" w:lineRule="exact"/>
        <w:rPr>
          <w:rFonts w:asciiTheme="minorEastAsia" w:hAnsiTheme="minorEastAsia"/>
          <w:szCs w:val="21"/>
        </w:rPr>
      </w:pPr>
      <w:r>
        <w:rPr>
          <w:rFonts w:hint="eastAsia" w:asciiTheme="minorEastAsia" w:hAnsiTheme="minorEastAsia"/>
          <w:szCs w:val="21"/>
        </w:rPr>
        <w:t>一、产品名称、规格、数量、单价。（表</w:t>
      </w:r>
      <w:r>
        <w:rPr>
          <w:rFonts w:asciiTheme="minorEastAsia" w:hAnsiTheme="minorEastAsia"/>
          <w:szCs w:val="21"/>
        </w:rPr>
        <w:t>一）</w:t>
      </w:r>
      <w:r>
        <w:rPr>
          <w:rFonts w:hint="eastAsia" w:asciiTheme="minorEastAsia" w:hAnsiTheme="minorEastAsia"/>
          <w:szCs w:val="21"/>
        </w:rPr>
        <w:t xml:space="preserve">       </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792"/>
        <w:gridCol w:w="1843"/>
        <w:gridCol w:w="1134"/>
        <w:gridCol w:w="1276"/>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79" w:type="dxa"/>
            <w:vAlign w:val="center"/>
          </w:tcPr>
          <w:p>
            <w:pPr>
              <w:spacing w:line="276" w:lineRule="auto"/>
              <w:rPr>
                <w:rFonts w:asciiTheme="minorEastAsia" w:hAnsiTheme="minorEastAsia"/>
                <w:szCs w:val="21"/>
              </w:rPr>
            </w:pPr>
            <w:r>
              <w:rPr>
                <w:rFonts w:hint="eastAsia" w:asciiTheme="minorEastAsia" w:hAnsiTheme="minorEastAsia"/>
                <w:szCs w:val="21"/>
              </w:rPr>
              <w:t xml:space="preserve"> 序号</w:t>
            </w:r>
          </w:p>
        </w:tc>
        <w:tc>
          <w:tcPr>
            <w:tcW w:w="792" w:type="dxa"/>
            <w:vAlign w:val="center"/>
          </w:tcPr>
          <w:p>
            <w:pPr>
              <w:spacing w:line="276" w:lineRule="auto"/>
              <w:rPr>
                <w:rFonts w:asciiTheme="minorEastAsia" w:hAnsiTheme="minorEastAsia"/>
                <w:szCs w:val="21"/>
              </w:rPr>
            </w:pPr>
            <w:r>
              <w:rPr>
                <w:rFonts w:hint="eastAsia" w:asciiTheme="minorEastAsia" w:hAnsiTheme="minorEastAsia"/>
                <w:szCs w:val="21"/>
              </w:rPr>
              <w:t>产品名称</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规格</w:t>
            </w:r>
          </w:p>
        </w:tc>
        <w:tc>
          <w:tcPr>
            <w:tcW w:w="1134" w:type="dxa"/>
            <w:vAlign w:val="center"/>
          </w:tcPr>
          <w:p>
            <w:pPr>
              <w:spacing w:line="276" w:lineRule="auto"/>
              <w:rPr>
                <w:rFonts w:asciiTheme="minorEastAsia" w:hAnsiTheme="minorEastAsia"/>
                <w:szCs w:val="21"/>
              </w:rPr>
            </w:pPr>
            <w:r>
              <w:rPr>
                <w:rFonts w:hint="eastAsia" w:asciiTheme="minorEastAsia" w:hAnsiTheme="minorEastAsia"/>
                <w:szCs w:val="21"/>
              </w:rPr>
              <w:t>数量（吨）</w:t>
            </w:r>
          </w:p>
        </w:tc>
        <w:tc>
          <w:tcPr>
            <w:tcW w:w="1276" w:type="dxa"/>
            <w:vAlign w:val="center"/>
          </w:tcPr>
          <w:p>
            <w:pPr>
              <w:spacing w:line="276" w:lineRule="auto"/>
              <w:jc w:val="center"/>
              <w:rPr>
                <w:rFonts w:asciiTheme="minorEastAsia" w:hAnsiTheme="minorEastAsia"/>
                <w:szCs w:val="21"/>
              </w:rPr>
            </w:pPr>
            <w:r>
              <w:rPr>
                <w:rFonts w:hint="eastAsia" w:asciiTheme="minorEastAsia" w:hAnsiTheme="minorEastAsia"/>
                <w:szCs w:val="21"/>
              </w:rPr>
              <w:t>单价   （元/吨）</w:t>
            </w:r>
          </w:p>
        </w:tc>
        <w:tc>
          <w:tcPr>
            <w:tcW w:w="1984" w:type="dxa"/>
            <w:vAlign w:val="center"/>
          </w:tcPr>
          <w:p>
            <w:pPr>
              <w:spacing w:line="276" w:lineRule="auto"/>
              <w:jc w:val="center"/>
              <w:rPr>
                <w:rFonts w:asciiTheme="minorEastAsia" w:hAnsiTheme="minorEastAsia"/>
                <w:szCs w:val="21"/>
              </w:rPr>
            </w:pPr>
            <w:r>
              <w:rPr>
                <w:rFonts w:hint="eastAsia" w:asciiTheme="minorEastAsia" w:hAnsiTheme="minorEastAsia"/>
                <w:szCs w:val="21"/>
              </w:rPr>
              <w:t>金额</w:t>
            </w:r>
          </w:p>
        </w:tc>
        <w:tc>
          <w:tcPr>
            <w:tcW w:w="2410" w:type="dxa"/>
            <w:vAlign w:val="center"/>
          </w:tcPr>
          <w:p>
            <w:pPr>
              <w:spacing w:line="276" w:lineRule="auto"/>
              <w:jc w:val="center"/>
              <w:rPr>
                <w:rFonts w:asciiTheme="minorEastAsia" w:hAnsiTheme="minorEastAsia"/>
                <w:szCs w:val="21"/>
              </w:rPr>
            </w:pPr>
            <w:r>
              <w:rPr>
                <w:rFonts w:hint="eastAsia" w:asciiTheme="minorEastAsia" w:hAnsi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479" w:type="dxa"/>
            <w:vAlign w:val="center"/>
          </w:tcPr>
          <w:p>
            <w:pPr>
              <w:spacing w:line="276" w:lineRule="auto"/>
              <w:jc w:val="center"/>
              <w:rPr>
                <w:rFonts w:asciiTheme="minorEastAsia" w:hAnsiTheme="minorEastAsia"/>
                <w:szCs w:val="21"/>
              </w:rPr>
            </w:pPr>
            <w:r>
              <w:rPr>
                <w:rFonts w:hint="eastAsia" w:asciiTheme="minorEastAsia" w:hAnsiTheme="minorEastAsia"/>
                <w:szCs w:val="21"/>
              </w:rPr>
              <w:t>1</w:t>
            </w:r>
          </w:p>
        </w:tc>
        <w:tc>
          <w:tcPr>
            <w:tcW w:w="792" w:type="dxa"/>
            <w:vAlign w:val="center"/>
          </w:tcPr>
          <w:p>
            <w:pPr>
              <w:spacing w:line="276" w:lineRule="auto"/>
              <w:jc w:val="center"/>
              <w:rPr>
                <w:rFonts w:asciiTheme="minorEastAsia" w:hAnsiTheme="minorEastAsia"/>
                <w:szCs w:val="21"/>
              </w:rPr>
            </w:pPr>
            <w:r>
              <w:rPr>
                <w:rFonts w:hint="eastAsia" w:asciiTheme="minorEastAsia" w:hAnsiTheme="minorEastAsia"/>
                <w:szCs w:val="21"/>
              </w:rPr>
              <w:t>盐酸</w:t>
            </w:r>
          </w:p>
        </w:tc>
        <w:tc>
          <w:tcPr>
            <w:tcW w:w="1843" w:type="dxa"/>
            <w:vAlign w:val="center"/>
          </w:tcPr>
          <w:p>
            <w:pPr>
              <w:spacing w:line="276" w:lineRule="auto"/>
              <w:jc w:val="center"/>
              <w:rPr>
                <w:rFonts w:asciiTheme="minorEastAsia" w:hAnsiTheme="minorEastAsia"/>
                <w:szCs w:val="21"/>
              </w:rPr>
            </w:pPr>
            <w:r>
              <w:rPr>
                <w:rFonts w:hint="eastAsia" w:asciiTheme="minorEastAsia" w:hAnsiTheme="minorEastAsia"/>
                <w:szCs w:val="21"/>
              </w:rPr>
              <w:t>高纯酸浓度≥31%</w:t>
            </w:r>
          </w:p>
        </w:tc>
        <w:tc>
          <w:tcPr>
            <w:tcW w:w="1134" w:type="dxa"/>
            <w:vAlign w:val="center"/>
          </w:tcPr>
          <w:p>
            <w:pPr>
              <w:spacing w:line="276"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80</w:t>
            </w:r>
          </w:p>
        </w:tc>
        <w:tc>
          <w:tcPr>
            <w:tcW w:w="1276" w:type="dxa"/>
            <w:vAlign w:val="center"/>
          </w:tcPr>
          <w:p>
            <w:pPr>
              <w:spacing w:line="276" w:lineRule="auto"/>
              <w:jc w:val="center"/>
              <w:rPr>
                <w:rFonts w:asciiTheme="minorEastAsia" w:hAnsiTheme="minorEastAsia"/>
                <w:szCs w:val="21"/>
              </w:rPr>
            </w:pP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jc w:val="left"/>
              <w:rPr>
                <w:rFonts w:asciiTheme="minorEastAsia" w:hAnsiTheme="minorEastAsia"/>
                <w:szCs w:val="21"/>
              </w:rPr>
            </w:pPr>
            <w:r>
              <w:rPr>
                <w:rFonts w:hint="eastAsia" w:asciiTheme="minorEastAsia" w:hAnsiTheme="minorEastAsia"/>
                <w:szCs w:val="21"/>
              </w:rPr>
              <w:t xml:space="preserve">  根据需方通知分批次送货</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r>
              <w:rPr>
                <w:rFonts w:hint="eastAsia" w:asciiTheme="minorEastAsia" w:hAnsiTheme="minorEastAsia"/>
                <w:szCs w:val="21"/>
              </w:rPr>
              <w:t>按批次结算。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524" w:type="dxa"/>
            <w:gridSpan w:val="5"/>
            <w:vAlign w:val="center"/>
          </w:tcPr>
          <w:p>
            <w:pPr>
              <w:spacing w:line="276" w:lineRule="auto"/>
              <w:jc w:val="center"/>
              <w:rPr>
                <w:rFonts w:asciiTheme="minorEastAsia" w:hAnsiTheme="minorEastAsia"/>
                <w:szCs w:val="21"/>
              </w:rPr>
            </w:pPr>
            <w:r>
              <w:rPr>
                <w:rFonts w:hint="eastAsia" w:asciiTheme="minorEastAsia" w:hAnsiTheme="minorEastAsia"/>
                <w:szCs w:val="21"/>
              </w:rPr>
              <w:t>合  计：</w:t>
            </w:r>
            <w:r>
              <w:rPr>
                <w:rFonts w:asciiTheme="minorEastAsia" w:hAnsiTheme="minorEastAsia"/>
                <w:szCs w:val="21"/>
              </w:rPr>
              <w:t xml:space="preserve"> </w:t>
            </w:r>
          </w:p>
        </w:tc>
        <w:tc>
          <w:tcPr>
            <w:tcW w:w="1984" w:type="dxa"/>
            <w:vAlign w:val="center"/>
          </w:tcPr>
          <w:p>
            <w:pPr>
              <w:spacing w:line="276" w:lineRule="auto"/>
              <w:jc w:val="left"/>
              <w:rPr>
                <w:rFonts w:asciiTheme="minorEastAsia" w:hAnsiTheme="minorEastAsia"/>
                <w:szCs w:val="21"/>
              </w:rPr>
            </w:pPr>
          </w:p>
        </w:tc>
        <w:tc>
          <w:tcPr>
            <w:tcW w:w="2410" w:type="dxa"/>
            <w:vAlign w:val="center"/>
          </w:tcPr>
          <w:p>
            <w:pPr>
              <w:spacing w:line="276" w:lineRule="auto"/>
              <w:ind w:firstLine="315" w:firstLineChars="150"/>
              <w:jc w:val="left"/>
              <w:rPr>
                <w:rFonts w:asciiTheme="minorEastAsia" w:hAnsiTheme="minorEastAsia"/>
                <w:szCs w:val="21"/>
              </w:rPr>
            </w:pPr>
            <w:r>
              <w:rPr>
                <w:rFonts w:hint="eastAsia" w:asciiTheme="minorEastAsia" w:hAnsiTheme="minorEastAsia"/>
                <w:szCs w:val="21"/>
              </w:rPr>
              <w:t>含税</w:t>
            </w:r>
            <w:r>
              <w:rPr>
                <w:rFonts w:asciiTheme="minorEastAsia" w:hAnsiTheme="minorEastAsia"/>
                <w:szCs w:val="21"/>
              </w:rPr>
              <w:t>价</w:t>
            </w: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二、</w:t>
      </w:r>
      <w:r>
        <w:rPr>
          <w:rFonts w:hint="eastAsia" w:asciiTheme="minorEastAsia" w:hAnsiTheme="minorEastAsia"/>
          <w:bCs/>
          <w:szCs w:val="21"/>
        </w:rPr>
        <w:t>质量标准、质保的条件和期限</w:t>
      </w:r>
      <w:r>
        <w:rPr>
          <w:rFonts w:hint="eastAsia" w:asciiTheme="minorEastAsia" w:hAnsiTheme="minorEastAsia"/>
          <w:b/>
          <w:bCs/>
          <w:szCs w:val="21"/>
        </w:rPr>
        <w:t>：</w:t>
      </w:r>
      <w:r>
        <w:rPr>
          <w:rFonts w:hint="eastAsia" w:asciiTheme="minorEastAsia" w:hAnsiTheme="minorEastAsia"/>
          <w:color w:val="333333"/>
          <w:szCs w:val="21"/>
          <w:shd w:val="clear" w:color="auto" w:fill="FFFFFF"/>
        </w:rPr>
        <w:t>GB320-2006盐酸国家标准。</w:t>
      </w:r>
    </w:p>
    <w:p>
      <w:pPr>
        <w:spacing w:line="520" w:lineRule="exact"/>
        <w:ind w:firstLine="420" w:firstLineChars="200"/>
        <w:rPr>
          <w:rFonts w:asciiTheme="minorEastAsia" w:hAnsiTheme="minorEastAsia"/>
          <w:szCs w:val="21"/>
        </w:rPr>
      </w:pPr>
      <w:r>
        <w:rPr>
          <w:rFonts w:hint="eastAsia" w:asciiTheme="minorEastAsia" w:hAnsiTheme="minorEastAsia"/>
          <w:szCs w:val="21"/>
        </w:rPr>
        <w:t>三、供方须向需方提供完整的相应证书</w:t>
      </w:r>
      <w:r>
        <w:rPr>
          <w:rFonts w:hint="eastAsia" w:asciiTheme="minorEastAsia" w:hAnsiTheme="minorEastAsia"/>
          <w:szCs w:val="21"/>
          <w:lang w:eastAsia="zh-CN"/>
        </w:rPr>
        <w:t>。</w:t>
      </w:r>
      <w:r>
        <w:rPr>
          <w:rFonts w:hint="eastAsia" w:asciiTheme="minorEastAsia" w:hAnsiTheme="minorEastAsia"/>
          <w:szCs w:val="21"/>
        </w:rPr>
        <w:t>需方需持有当地公安机关办理的第三类易制毒购买（盐酸）备案证明原件，方能买卖，供方须向需方提供危险化学品运营资质、危险化学品运输许可证（或委托运输单位合同）、运输从业人员证书等相应资料。</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四、</w:t>
      </w:r>
      <w:r>
        <w:rPr>
          <w:rFonts w:hint="eastAsia" w:asciiTheme="minorEastAsia" w:hAnsiTheme="minorEastAsia"/>
          <w:bCs/>
          <w:szCs w:val="21"/>
        </w:rPr>
        <w:t>交（提）货方式、地点及费用</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供方负责安全运输到需方厂区内指定地点，运费用由供方承担。</w:t>
      </w:r>
    </w:p>
    <w:p>
      <w:pPr>
        <w:spacing w:line="520" w:lineRule="exact"/>
        <w:ind w:firstLine="420" w:firstLineChars="200"/>
        <w:rPr>
          <w:rFonts w:asciiTheme="minorEastAsia" w:hAnsiTheme="minorEastAsia"/>
          <w:szCs w:val="21"/>
        </w:rPr>
      </w:pPr>
      <w:r>
        <w:rPr>
          <w:rFonts w:hint="eastAsia" w:asciiTheme="minorEastAsia" w:hAnsiTheme="minorEastAsia"/>
          <w:szCs w:val="21"/>
        </w:rPr>
        <w:t>2、交货期：由于盐酸属于公安机关管控产品，供方需在收到需方公安机关签发的购买备案证后做好供货准备，并在需方通知之日起</w:t>
      </w:r>
      <w:r>
        <w:rPr>
          <w:rFonts w:asciiTheme="minorEastAsia" w:hAnsiTheme="minorEastAsia"/>
          <w:szCs w:val="21"/>
        </w:rPr>
        <w:t>5</w:t>
      </w:r>
      <w:r>
        <w:rPr>
          <w:rFonts w:hint="eastAsia" w:asciiTheme="minorEastAsia" w:hAnsiTheme="minorEastAsia"/>
          <w:szCs w:val="21"/>
        </w:rPr>
        <w:t>个日历日内完成交货，如无故推迟供货视同为无法供货。</w:t>
      </w:r>
    </w:p>
    <w:p>
      <w:pPr>
        <w:spacing w:line="540" w:lineRule="exact"/>
        <w:ind w:firstLine="420" w:firstLineChars="200"/>
        <w:rPr>
          <w:rFonts w:asciiTheme="minorEastAsia" w:hAnsiTheme="minorEastAsia"/>
          <w:b/>
          <w:szCs w:val="21"/>
        </w:rPr>
      </w:pPr>
      <w:r>
        <w:rPr>
          <w:rFonts w:hint="eastAsia" w:asciiTheme="minorEastAsia" w:hAnsiTheme="minorEastAsia"/>
          <w:szCs w:val="21"/>
        </w:rPr>
        <w:t>五、数量验收</w:t>
      </w:r>
      <w:r>
        <w:rPr>
          <w:rFonts w:asciiTheme="minorEastAsia" w:hAnsiTheme="minorEastAsia"/>
          <w:szCs w:val="21"/>
        </w:rPr>
        <w:t>、</w:t>
      </w:r>
      <w:r>
        <w:rPr>
          <w:rFonts w:hint="eastAsia" w:asciiTheme="minorEastAsia" w:hAnsiTheme="minorEastAsia"/>
          <w:szCs w:val="21"/>
        </w:rPr>
        <w:t>质量验收</w:t>
      </w:r>
      <w:r>
        <w:rPr>
          <w:rFonts w:hint="eastAsia" w:asciiTheme="minorEastAsia" w:hAnsiTheme="minorEastAsia"/>
          <w:b/>
          <w:szCs w:val="21"/>
        </w:rPr>
        <w:t xml:space="preserve"> </w:t>
      </w:r>
    </w:p>
    <w:p>
      <w:pPr>
        <w:spacing w:line="540" w:lineRule="exact"/>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、数量</w:t>
      </w:r>
      <w:r>
        <w:rPr>
          <w:rFonts w:asciiTheme="minorEastAsia" w:hAnsiTheme="minorEastAsia"/>
          <w:szCs w:val="21"/>
        </w:rPr>
        <w:t>验收：</w:t>
      </w:r>
      <w:r>
        <w:rPr>
          <w:rFonts w:hint="eastAsia" w:asciiTheme="minorEastAsia" w:hAnsiTheme="minorEastAsia"/>
          <w:szCs w:val="21"/>
        </w:rPr>
        <w:t>以需方</w:t>
      </w:r>
      <w:r>
        <w:rPr>
          <w:rFonts w:asciiTheme="minorEastAsia" w:hAnsiTheme="minorEastAsia"/>
          <w:szCs w:val="21"/>
        </w:rPr>
        <w:t>厂内电子汽车衡的计量数量为准，双方共同监</w:t>
      </w:r>
      <w:r>
        <w:rPr>
          <w:rFonts w:hint="eastAsia" w:asciiTheme="minorEastAsia" w:hAnsiTheme="minorEastAsia"/>
          <w:szCs w:val="21"/>
        </w:rPr>
        <w:t>磅</w:t>
      </w:r>
      <w:r>
        <w:rPr>
          <w:rFonts w:asciiTheme="minorEastAsia" w:hAnsiTheme="minorEastAsia"/>
          <w:szCs w:val="21"/>
        </w:rPr>
        <w:t>，并作为结算依据。如</w:t>
      </w:r>
      <w:r>
        <w:rPr>
          <w:rFonts w:hint="eastAsia" w:asciiTheme="minorEastAsia" w:hAnsiTheme="minorEastAsia"/>
          <w:szCs w:val="21"/>
        </w:rPr>
        <w:t>供方</w:t>
      </w:r>
      <w:r>
        <w:rPr>
          <w:rFonts w:asciiTheme="minorEastAsia" w:hAnsiTheme="minorEastAsia"/>
          <w:szCs w:val="21"/>
        </w:rPr>
        <w:t>需要，可以委托第三方进行过磅校验，费用由供方负责</w:t>
      </w:r>
      <w:r>
        <w:rPr>
          <w:rFonts w:hint="eastAsia" w:asciiTheme="minorEastAsia" w:hAnsiTheme="minorEastAsia"/>
          <w:szCs w:val="21"/>
        </w:rPr>
        <w:t>，每次送货需提供该批次产品出厂检验报告。</w:t>
      </w:r>
    </w:p>
    <w:p>
      <w:pPr>
        <w:spacing w:line="5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、质量验收</w:t>
      </w:r>
      <w:r>
        <w:rPr>
          <w:rFonts w:asciiTheme="minorEastAsia" w:hAnsiTheme="minorEastAsia"/>
          <w:szCs w:val="21"/>
        </w:rPr>
        <w:t>：</w:t>
      </w:r>
      <w:r>
        <w:rPr>
          <w:rFonts w:hint="eastAsia" w:asciiTheme="minorEastAsia" w:hAnsiTheme="minorEastAsia"/>
          <w:szCs w:val="21"/>
        </w:rPr>
        <w:t>需方分阶段对产品取样,化验由化验室人员按照现有的设备进行化验，并以化验出来的结果作为结算依据。</w:t>
      </w:r>
    </w:p>
    <w:p>
      <w:pPr>
        <w:spacing w:line="540" w:lineRule="exact"/>
        <w:ind w:firstLine="420" w:firstLineChars="200"/>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二：</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178"/>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2" w:type="dxa"/>
            <w:vAlign w:val="center"/>
          </w:tcPr>
          <w:p>
            <w:pPr>
              <w:spacing w:line="5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检验质量（</w:t>
            </w:r>
            <w:r>
              <w:rPr>
                <w:rFonts w:cs="Times New Roman" w:asciiTheme="minorEastAsia" w:hAnsiTheme="minorEastAsia" w:eastAsiaTheme="minorEastAsia"/>
                <w:kern w:val="0"/>
                <w:sz w:val="21"/>
                <w:szCs w:val="21"/>
              </w:rPr>
              <w:t>溶度）</w:t>
            </w:r>
          </w:p>
        </w:tc>
        <w:tc>
          <w:tcPr>
            <w:tcW w:w="4536" w:type="dxa"/>
            <w:vAlign w:val="center"/>
          </w:tcPr>
          <w:p>
            <w:pPr>
              <w:spacing w:line="540" w:lineRule="exact"/>
              <w:ind w:firstLine="420" w:firstLineChars="200"/>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结算</w:t>
            </w:r>
            <w:r>
              <w:rPr>
                <w:rFonts w:cs="Times New Roman" w:asciiTheme="minorEastAsia" w:hAnsiTheme="minorEastAsia" w:eastAsiaTheme="minorEastAsia"/>
                <w:kern w:val="0"/>
                <w:sz w:val="21"/>
                <w:szCs w:val="21"/>
              </w:rPr>
              <w:t>价</w:t>
            </w:r>
          </w:p>
        </w:tc>
        <w:tc>
          <w:tcPr>
            <w:tcW w:w="1134" w:type="dxa"/>
          </w:tcPr>
          <w:p>
            <w:pPr>
              <w:spacing w:line="540" w:lineRule="exact"/>
              <w:ind w:firstLine="210" w:firstLineChars="100"/>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31%</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w:t>
            </w:r>
            <w:r>
              <w:rPr>
                <w:rFonts w:cs="Times New Roman" w:asciiTheme="minorEastAsia" w:hAnsiTheme="minorEastAsia" w:eastAsiaTheme="minorEastAsia"/>
                <w:kern w:val="0"/>
                <w:sz w:val="21"/>
                <w:szCs w:val="21"/>
              </w:rPr>
              <w:t>合同价</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31%</w:t>
            </w:r>
            <w:r>
              <w:rPr>
                <w:rFonts w:hint="eastAsia" w:cs="Times New Roman" w:asciiTheme="minorEastAsia" w:hAnsiTheme="minorEastAsia" w:eastAsiaTheme="minorEastAsia"/>
                <w:kern w:val="0"/>
                <w:sz w:val="21"/>
                <w:szCs w:val="21"/>
              </w:rPr>
              <w:t>＞溶度≥</w:t>
            </w: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该批次金额的10%</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2</w:t>
            </w:r>
            <w:r>
              <w:rPr>
                <w:rFonts w:hint="eastAsia" w:cs="Times New Roman" w:asciiTheme="minorEastAsia" w:hAnsiTheme="minorEastAsia" w:eastAsiaTheme="minorEastAsia"/>
                <w:kern w:val="0"/>
                <w:sz w:val="21"/>
                <w:szCs w:val="21"/>
              </w:rPr>
              <w:t>9</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溶度</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28%</w:t>
            </w:r>
          </w:p>
        </w:tc>
        <w:tc>
          <w:tcPr>
            <w:tcW w:w="4536"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扣</w:t>
            </w:r>
            <w:r>
              <w:rPr>
                <w:rFonts w:cs="Times New Roman" w:asciiTheme="minorEastAsia" w:hAnsiTheme="minorEastAsia" w:eastAsiaTheme="minorEastAsia"/>
                <w:kern w:val="0"/>
                <w:sz w:val="21"/>
                <w:szCs w:val="21"/>
              </w:rPr>
              <w:t>该批次金额的2</w:t>
            </w: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w:t>
            </w:r>
          </w:p>
        </w:tc>
        <w:tc>
          <w:tcPr>
            <w:tcW w:w="1134" w:type="dxa"/>
          </w:tcPr>
          <w:p>
            <w:pPr>
              <w:spacing w:line="540" w:lineRule="exact"/>
              <w:ind w:firstLine="400" w:firstLineChars="200"/>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spacing w:line="540" w:lineRule="exact"/>
              <w:ind w:firstLine="210" w:firstLineChars="1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c>
          <w:tcPr>
            <w:tcW w:w="2178" w:type="dxa"/>
            <w:vAlign w:val="center"/>
          </w:tcPr>
          <w:p>
            <w:pPr>
              <w:spacing w:line="540" w:lineRule="exact"/>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溶度＜28</w:t>
            </w:r>
            <w:r>
              <w:rPr>
                <w:rFonts w:cs="Times New Roman" w:asciiTheme="minorEastAsia" w:hAnsiTheme="minorEastAsia" w:eastAsiaTheme="minorEastAsia"/>
                <w:kern w:val="0"/>
                <w:sz w:val="21"/>
                <w:szCs w:val="21"/>
              </w:rPr>
              <w:t>%</w:t>
            </w:r>
          </w:p>
        </w:tc>
        <w:tc>
          <w:tcPr>
            <w:tcW w:w="4536" w:type="dxa"/>
            <w:vAlign w:val="center"/>
          </w:tcPr>
          <w:p>
            <w:pPr>
              <w:spacing w:line="276" w:lineRule="auto"/>
              <w:ind w:firstLine="420" w:firstLineChars="200"/>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需方将无偿使用该批次产品或有权要求供方退换该批次全部产品，因此造成的损失由供方负责。</w:t>
            </w:r>
          </w:p>
        </w:tc>
        <w:tc>
          <w:tcPr>
            <w:tcW w:w="1134" w:type="dxa"/>
          </w:tcPr>
          <w:p>
            <w:pPr>
              <w:spacing w:line="276" w:lineRule="auto"/>
              <w:ind w:firstLine="400" w:firstLineChars="200"/>
              <w:rPr>
                <w:rFonts w:eastAsia="宋体" w:cs="Times New Roman" w:asciiTheme="minorEastAsia" w:hAnsiTheme="minorEastAsia"/>
                <w:kern w:val="0"/>
                <w:sz w:val="20"/>
                <w:szCs w:val="21"/>
              </w:rPr>
            </w:pPr>
          </w:p>
        </w:tc>
      </w:tr>
    </w:tbl>
    <w:p>
      <w:pPr>
        <w:spacing w:line="520" w:lineRule="exact"/>
        <w:ind w:firstLine="420" w:firstLineChars="200"/>
        <w:rPr>
          <w:rFonts w:asciiTheme="minorEastAsia" w:hAnsiTheme="minorEastAsia"/>
          <w:szCs w:val="21"/>
        </w:rPr>
      </w:pPr>
      <w:r>
        <w:rPr>
          <w:rFonts w:hint="eastAsia" w:asciiTheme="minorEastAsia" w:hAnsiTheme="minorEastAsia"/>
          <w:szCs w:val="21"/>
        </w:rPr>
        <w:t>六、合同履约金、质保期：</w:t>
      </w:r>
    </w:p>
    <w:p>
      <w:pPr>
        <w:spacing w:line="520" w:lineRule="exact"/>
        <w:ind w:firstLine="420" w:firstLineChars="200"/>
        <w:rPr>
          <w:rFonts w:asciiTheme="minorEastAsia" w:hAnsiTheme="minorEastAsia"/>
          <w:szCs w:val="21"/>
        </w:rPr>
      </w:pPr>
      <w:r>
        <w:rPr>
          <w:rFonts w:hint="eastAsia" w:asciiTheme="minorEastAsia" w:hAnsiTheme="minorEastAsia"/>
          <w:szCs w:val="21"/>
        </w:rPr>
        <w:t>1、经供需双方协商一致，需方将原投标保证金</w:t>
      </w:r>
      <w:r>
        <w:rPr>
          <w:rFonts w:hint="eastAsia" w:asciiTheme="minorEastAsia" w:hAnsiTheme="minorEastAsia"/>
          <w:szCs w:val="21"/>
          <w:lang w:val="en-US" w:eastAsia="zh-CN"/>
        </w:rPr>
        <w:t>壹仟伍佰</w:t>
      </w:r>
      <w:r>
        <w:rPr>
          <w:rFonts w:hint="eastAsia" w:asciiTheme="minorEastAsia" w:hAnsiTheme="minorEastAsia"/>
          <w:szCs w:val="21"/>
        </w:rPr>
        <w:t>元整（</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w:t>
      </w:r>
      <w:r>
        <w:rPr>
          <w:rFonts w:hint="eastAsia" w:asciiTheme="minorEastAsia" w:hAnsiTheme="minorEastAsia"/>
          <w:szCs w:val="21"/>
        </w:rPr>
        <w:t>元）直接转为 合同履约金，质保期至202</w:t>
      </w:r>
      <w:r>
        <w:rPr>
          <w:rFonts w:hint="eastAsia" w:asciiTheme="minorEastAsia" w:hAnsiTheme="minorEastAsia"/>
          <w:szCs w:val="21"/>
          <w:lang w:val="en-US" w:eastAsia="zh-CN"/>
        </w:rPr>
        <w:t>5</w:t>
      </w:r>
      <w:r>
        <w:rPr>
          <w:rFonts w:hint="eastAsia" w:asciiTheme="minorEastAsia" w:hAnsiTheme="minorEastAsia"/>
          <w:szCs w:val="21"/>
        </w:rPr>
        <w:t>年</w:t>
      </w:r>
      <w:r>
        <w:rPr>
          <w:rFonts w:hint="eastAsia" w:asciiTheme="minorEastAsia" w:hAnsiTheme="minorEastAsia"/>
          <w:szCs w:val="21"/>
          <w:lang w:val="en-US" w:eastAsia="zh-CN"/>
        </w:rPr>
        <w:t>07</w:t>
      </w:r>
      <w:r>
        <w:rPr>
          <w:rFonts w:hint="eastAsia" w:asciiTheme="minorEastAsia" w:hAnsiTheme="minorEastAsia"/>
          <w:szCs w:val="21"/>
        </w:rPr>
        <w:t>月10日。</w:t>
      </w:r>
    </w:p>
    <w:p>
      <w:pPr>
        <w:spacing w:line="520" w:lineRule="exact"/>
        <w:ind w:firstLine="420" w:firstLineChars="200"/>
        <w:rPr>
          <w:rFonts w:asciiTheme="minorEastAsia" w:hAnsiTheme="minorEastAsia"/>
          <w:szCs w:val="21"/>
        </w:rPr>
      </w:pPr>
      <w:r>
        <w:rPr>
          <w:rFonts w:hint="eastAsia" w:asciiTheme="minorEastAsia" w:hAnsiTheme="minorEastAsia"/>
          <w:szCs w:val="21"/>
        </w:rPr>
        <w:t>2、质保期满货物没有出现质量问题，需方应在质保期满后的五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520" w:lineRule="exact"/>
        <w:ind w:firstLine="420" w:firstLineChars="200"/>
        <w:rPr>
          <w:rFonts w:asciiTheme="minorEastAsia" w:hAnsiTheme="minorEastAsia"/>
          <w:bCs/>
          <w:szCs w:val="21"/>
        </w:rPr>
      </w:pPr>
      <w:r>
        <w:rPr>
          <w:rFonts w:hint="eastAsia" w:asciiTheme="minorEastAsia" w:hAnsiTheme="minorEastAsia"/>
          <w:bCs/>
          <w:szCs w:val="21"/>
        </w:rPr>
        <w:t>七、结算方式、时间、地点：</w:t>
      </w:r>
    </w:p>
    <w:p>
      <w:pPr>
        <w:spacing w:line="520" w:lineRule="exact"/>
        <w:ind w:firstLine="420" w:firstLineChars="200"/>
        <w:rPr>
          <w:rFonts w:asciiTheme="minorEastAsia" w:hAnsiTheme="minorEastAsia"/>
          <w:szCs w:val="21"/>
        </w:rPr>
      </w:pPr>
      <w:r>
        <w:rPr>
          <w:rFonts w:hint="eastAsia" w:asciiTheme="minorEastAsia" w:hAnsiTheme="minorEastAsia"/>
          <w:szCs w:val="21"/>
        </w:rPr>
        <w:t>1、货到付款，以需方磅单与</w:t>
      </w:r>
      <w:r>
        <w:rPr>
          <w:rFonts w:asciiTheme="minorEastAsia" w:hAnsiTheme="minorEastAsia"/>
          <w:szCs w:val="21"/>
        </w:rPr>
        <w:t>化验报告</w:t>
      </w:r>
      <w:r>
        <w:rPr>
          <w:rFonts w:hint="eastAsia" w:asciiTheme="minorEastAsia" w:hAnsiTheme="minorEastAsia"/>
          <w:szCs w:val="21"/>
        </w:rPr>
        <w:t>为准，供方出具正规合法有效的</w:t>
      </w:r>
      <w:r>
        <w:rPr>
          <w:rFonts w:hint="eastAsia" w:asciiTheme="minorEastAsia" w:hAnsiTheme="minorEastAsia"/>
          <w:szCs w:val="21"/>
          <w:u w:val="single"/>
        </w:rPr>
        <w:t xml:space="preserve">  13%</w:t>
      </w:r>
      <w:r>
        <w:rPr>
          <w:rFonts w:asciiTheme="minorEastAsia" w:hAnsiTheme="minorEastAsia"/>
          <w:szCs w:val="21"/>
          <w:u w:val="single"/>
        </w:rPr>
        <w:t xml:space="preserve"> </w:t>
      </w:r>
      <w:r>
        <w:rPr>
          <w:rFonts w:hint="eastAsia" w:asciiTheme="minorEastAsia" w:hAnsiTheme="minorEastAsia"/>
          <w:szCs w:val="21"/>
        </w:rPr>
        <w:t>增值税全额</w:t>
      </w:r>
      <w:r>
        <w:rPr>
          <w:rFonts w:hint="eastAsia" w:asciiTheme="minorEastAsia" w:hAnsiTheme="minorEastAsia"/>
          <w:szCs w:val="21"/>
          <w:lang w:val="en-US" w:eastAsia="zh-CN"/>
        </w:rPr>
        <w:t>专用</w:t>
      </w:r>
      <w:r>
        <w:rPr>
          <w:rFonts w:hint="eastAsia" w:asciiTheme="minorEastAsia" w:hAnsiTheme="minorEastAsia"/>
          <w:szCs w:val="21"/>
        </w:rPr>
        <w:t>发票给需方，</w:t>
      </w:r>
      <w:r>
        <w:rPr>
          <w:rFonts w:hint="eastAsia" w:asciiTheme="minorEastAsia" w:hAnsiTheme="minorEastAsia"/>
          <w:szCs w:val="21"/>
          <w:lang w:val="en-US" w:eastAsia="zh-CN"/>
        </w:rPr>
        <w:t>供方开具电子发票时，备注栏需备注成交方银行账号、开户行、收款人、复核人，并发送OFD版本和XM L版本电子档给需方存档，</w:t>
      </w:r>
      <w:r>
        <w:rPr>
          <w:rFonts w:hint="eastAsia" w:asciiTheme="minorEastAsia" w:hAnsiTheme="minorEastAsia"/>
          <w:szCs w:val="21"/>
        </w:rPr>
        <w:t>需方在书面核实无误后并在收到发票后15个工作日内支付相应款项。</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2、若在合同期内增值税率发生调整且含税单价也需做相应调整。</w:t>
      </w:r>
    </w:p>
    <w:p>
      <w:pPr>
        <w:spacing w:line="520" w:lineRule="exact"/>
        <w:ind w:firstLine="420" w:firstLineChars="200"/>
        <w:rPr>
          <w:rFonts w:hint="eastAsia" w:asciiTheme="minorEastAsia" w:hAnsiTheme="minorEastAsia"/>
          <w:szCs w:val="21"/>
        </w:rPr>
      </w:pPr>
      <w:r>
        <w:rPr>
          <w:rFonts w:hint="eastAsia" w:ascii="宋体" w:hAnsi="宋体"/>
          <w:sz w:val="21"/>
          <w:szCs w:val="21"/>
        </w:rPr>
        <w:t>3、在合同期内供货数量以实际供应量结算，总数量不得超过合同签订数量</w:t>
      </w:r>
      <w:r>
        <w:rPr>
          <w:rFonts w:hint="eastAsia" w:ascii="宋体" w:hAnsi="宋体"/>
          <w:sz w:val="21"/>
          <w:szCs w:val="21"/>
          <w:lang w:val="en-US" w:eastAsia="zh-CN"/>
        </w:rPr>
        <w:t>80</w:t>
      </w:r>
      <w:r>
        <w:rPr>
          <w:rFonts w:hint="eastAsia" w:ascii="宋体" w:hAnsi="宋体"/>
          <w:sz w:val="21"/>
          <w:szCs w:val="21"/>
        </w:rPr>
        <w:t>吨。</w:t>
      </w:r>
    </w:p>
    <w:p>
      <w:pPr>
        <w:pStyle w:val="7"/>
        <w:ind w:firstLine="420" w:firstLineChars="200"/>
        <w:rPr>
          <w:rFonts w:asciiTheme="minorEastAsia" w:hAnsiTheme="minorEastAsia"/>
          <w:bCs/>
          <w:szCs w:val="21"/>
        </w:rPr>
      </w:pPr>
      <w:r>
        <w:rPr>
          <w:rFonts w:hint="eastAsia" w:asciiTheme="minorEastAsia" w:hAnsiTheme="minorEastAsia"/>
          <w:szCs w:val="21"/>
          <w:lang w:val="en-US" w:eastAsia="zh-CN"/>
        </w:rPr>
        <w:t xml:space="preserve"> </w:t>
      </w:r>
      <w:r>
        <w:rPr>
          <w:rFonts w:hint="eastAsia" w:asciiTheme="minorEastAsia" w:hAnsiTheme="minorEastAsia"/>
          <w:szCs w:val="21"/>
        </w:rPr>
        <w:t>八、</w:t>
      </w:r>
      <w:r>
        <w:rPr>
          <w:rFonts w:hint="eastAsia" w:asciiTheme="minorEastAsia" w:hAnsiTheme="minorEastAsia"/>
          <w:bCs/>
          <w:szCs w:val="21"/>
        </w:rPr>
        <w:t>违约责任：</w:t>
      </w:r>
    </w:p>
    <w:p>
      <w:pPr>
        <w:spacing w:line="520" w:lineRule="exact"/>
        <w:ind w:firstLine="420" w:firstLineChars="200"/>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供方产品质量不符合合同第五条规定的，按照第五条的第二</w:t>
      </w:r>
      <w:r>
        <w:rPr>
          <w:rFonts w:asciiTheme="minorEastAsia" w:hAnsiTheme="minorEastAsia"/>
          <w:szCs w:val="21"/>
        </w:rPr>
        <w:t>款</w:t>
      </w:r>
      <w:r>
        <w:rPr>
          <w:rFonts w:hint="eastAsia" w:asciiTheme="minorEastAsia" w:hAnsiTheme="minorEastAsia"/>
          <w:szCs w:val="21"/>
        </w:rPr>
        <w:t>约定承担违约责任。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2、供方若延迟交货，须承担合同总价款每日</w:t>
      </w:r>
      <w:r>
        <w:rPr>
          <w:rFonts w:hint="eastAsia" w:asciiTheme="minorEastAsia" w:hAnsiTheme="minorEastAsia"/>
          <w:szCs w:val="21"/>
          <w:u w:val="single"/>
        </w:rPr>
        <w:t xml:space="preserve">  千分之五  </w:t>
      </w:r>
      <w:r>
        <w:rPr>
          <w:rFonts w:hint="eastAsia" w:asciiTheme="minorEastAsia" w:hAnsiTheme="minorEastAsia"/>
          <w:szCs w:val="21"/>
        </w:rPr>
        <w:t xml:space="preserve">的违约金。逾期五个工作日，需方有权单方解除合同，供方除应返还需方已支付的款项外，供方并应向需方支付合同总价款 </w:t>
      </w:r>
      <w:r>
        <w:rPr>
          <w:rFonts w:hint="eastAsia" w:asciiTheme="minorEastAsia" w:hAnsiTheme="minorEastAsia"/>
          <w:szCs w:val="21"/>
          <w:u w:val="single"/>
        </w:rPr>
        <w:t xml:space="preserve">  10%  </w:t>
      </w:r>
      <w:r>
        <w:rPr>
          <w:rFonts w:hint="eastAsia" w:asciiTheme="minorEastAsia" w:hAnsiTheme="minorEastAsia"/>
          <w:szCs w:val="21"/>
        </w:rPr>
        <w:t>的违约金，同时</w:t>
      </w:r>
      <w:r>
        <w:rPr>
          <w:rFonts w:asciiTheme="minorEastAsia" w:hAnsiTheme="minorEastAsia"/>
          <w:szCs w:val="21"/>
        </w:rPr>
        <w:t>需方有权</w:t>
      </w:r>
      <w:r>
        <w:rPr>
          <w:rFonts w:hint="eastAsia" w:asciiTheme="minorEastAsia" w:hAnsiTheme="minorEastAsia"/>
          <w:szCs w:val="21"/>
        </w:rPr>
        <w:t>委托第三方另行购买，由此产生的费用和损失由供方承担。以上违约金等费用需方可以直接从供方的货款中扣除 ，但不免除供方违约责任。</w:t>
      </w:r>
    </w:p>
    <w:p>
      <w:pPr>
        <w:spacing w:line="520" w:lineRule="exact"/>
        <w:ind w:firstLine="420" w:firstLineChars="200"/>
        <w:rPr>
          <w:rFonts w:asciiTheme="minorEastAsia" w:hAnsiTheme="minorEastAsia"/>
          <w:szCs w:val="21"/>
        </w:rPr>
      </w:pPr>
      <w:r>
        <w:rPr>
          <w:rFonts w:hint="eastAsia" w:asciiTheme="minorEastAsia" w:hAnsiTheme="minorEastAsia"/>
          <w:szCs w:val="21"/>
        </w:rPr>
        <w:t>3、如因供方原因</w:t>
      </w:r>
      <w:r>
        <w:rPr>
          <w:rFonts w:asciiTheme="minorEastAsia" w:hAnsiTheme="minorEastAsia"/>
          <w:szCs w:val="21"/>
        </w:rPr>
        <w:t>造成货物</w:t>
      </w:r>
      <w:r>
        <w:rPr>
          <w:rFonts w:hint="eastAsia" w:asciiTheme="minorEastAsia" w:hAnsiTheme="minorEastAsia"/>
          <w:szCs w:val="21"/>
        </w:rPr>
        <w:t>断供，严重影响需方正常</w:t>
      </w:r>
      <w:r>
        <w:rPr>
          <w:rFonts w:asciiTheme="minorEastAsia" w:hAnsiTheme="minorEastAsia"/>
          <w:szCs w:val="21"/>
        </w:rPr>
        <w:t>生产</w:t>
      </w:r>
      <w:r>
        <w:rPr>
          <w:rFonts w:hint="eastAsia" w:asciiTheme="minorEastAsia" w:hAnsiTheme="minorEastAsia"/>
          <w:szCs w:val="21"/>
        </w:rPr>
        <w:t>，所</w:t>
      </w:r>
      <w:r>
        <w:rPr>
          <w:rFonts w:asciiTheme="minorEastAsia" w:hAnsiTheme="minorEastAsia"/>
          <w:szCs w:val="21"/>
        </w:rPr>
        <w:t>造成的经济损失及后果</w:t>
      </w:r>
      <w:r>
        <w:rPr>
          <w:rFonts w:hint="eastAsia" w:asciiTheme="minorEastAsia" w:hAnsiTheme="minorEastAsia"/>
          <w:szCs w:val="21"/>
        </w:rPr>
        <w:t>由</w:t>
      </w:r>
      <w:r>
        <w:rPr>
          <w:rFonts w:asciiTheme="minorEastAsia" w:hAnsiTheme="minorEastAsia"/>
          <w:szCs w:val="21"/>
        </w:rPr>
        <w:t>供方负责，并</w:t>
      </w:r>
      <w:r>
        <w:rPr>
          <w:rFonts w:hint="eastAsia" w:asciiTheme="minorEastAsia" w:hAnsiTheme="minorEastAsia"/>
          <w:szCs w:val="21"/>
        </w:rPr>
        <w:t>承担一切</w:t>
      </w:r>
      <w:r>
        <w:rPr>
          <w:rFonts w:asciiTheme="minorEastAsia" w:hAnsiTheme="minorEastAsia"/>
          <w:szCs w:val="21"/>
        </w:rPr>
        <w:t>法律责任。</w:t>
      </w:r>
    </w:p>
    <w:p>
      <w:pPr>
        <w:spacing w:line="520" w:lineRule="exact"/>
        <w:ind w:firstLine="420" w:firstLineChars="200"/>
        <w:rPr>
          <w:rFonts w:hint="eastAsia" w:ascii="宋体" w:hAnsi="宋体"/>
          <w:sz w:val="21"/>
          <w:szCs w:val="21"/>
        </w:rPr>
      </w:pPr>
      <w:r>
        <w:rPr>
          <w:rFonts w:hint="eastAsia" w:ascii="宋体" w:hAnsi="宋体"/>
          <w:sz w:val="21"/>
          <w:szCs w:val="21"/>
        </w:rPr>
        <w:t>九、厂区道路运输及装卸安全</w:t>
      </w:r>
    </w:p>
    <w:p>
      <w:pPr>
        <w:spacing w:line="520" w:lineRule="exact"/>
        <w:ind w:firstLine="420" w:firstLineChars="200"/>
        <w:rPr>
          <w:rFonts w:hint="eastAsia" w:ascii="宋体" w:hAnsi="宋体"/>
          <w:sz w:val="21"/>
          <w:szCs w:val="21"/>
        </w:rPr>
      </w:pPr>
      <w:r>
        <w:rPr>
          <w:rFonts w:hint="eastAsia" w:ascii="宋体" w:hAnsi="宋体"/>
          <w:sz w:val="21"/>
          <w:szCs w:val="21"/>
        </w:rPr>
        <w:t>根据《危险化学品道路运输管理办法》第九、十、十一、十二、十三、十四、十五条的规定：</w:t>
      </w:r>
    </w:p>
    <w:p>
      <w:pPr>
        <w:spacing w:line="520" w:lineRule="exact"/>
        <w:ind w:firstLine="420" w:firstLineChars="200"/>
        <w:rPr>
          <w:rFonts w:hint="eastAsia" w:ascii="宋体" w:hAnsi="宋体"/>
          <w:sz w:val="21"/>
          <w:szCs w:val="21"/>
        </w:rPr>
      </w:pPr>
      <w:r>
        <w:rPr>
          <w:rFonts w:hint="eastAsia" w:ascii="宋体" w:hAnsi="宋体"/>
          <w:sz w:val="21"/>
          <w:szCs w:val="21"/>
        </w:rPr>
        <w:t>1、危险化学品道路运输企业应取得道路运输管理机构颁发的危险货物道路运输许可，并向工商行政管理部门办理登记手续。</w:t>
      </w:r>
    </w:p>
    <w:p>
      <w:pPr>
        <w:spacing w:line="520" w:lineRule="exact"/>
        <w:ind w:firstLine="420" w:firstLineChars="200"/>
        <w:rPr>
          <w:rFonts w:hint="eastAsia" w:ascii="宋体" w:hAnsi="宋体"/>
          <w:sz w:val="21"/>
          <w:szCs w:val="21"/>
        </w:rPr>
      </w:pPr>
      <w:r>
        <w:rPr>
          <w:rFonts w:hint="eastAsia" w:ascii="宋体" w:hAnsi="宋体"/>
          <w:sz w:val="21"/>
          <w:szCs w:val="21"/>
        </w:rPr>
        <w:t>2、危险化学品运输车辆应当依法取得道路运输管理机构颁发的《道路运输证》，并在经营范围内注明危险化学品类别、品名，且运输车辆应满足国家相关规范要求，并定期做好维护、保养工作。</w:t>
      </w:r>
    </w:p>
    <w:p>
      <w:pPr>
        <w:spacing w:line="520" w:lineRule="exact"/>
        <w:ind w:firstLine="420" w:firstLineChars="200"/>
        <w:rPr>
          <w:rFonts w:hint="eastAsia" w:ascii="宋体" w:hAnsi="宋体"/>
          <w:sz w:val="21"/>
          <w:szCs w:val="21"/>
        </w:rPr>
      </w:pPr>
      <w:r>
        <w:rPr>
          <w:rFonts w:hint="eastAsia" w:ascii="宋体" w:hAnsi="宋体"/>
          <w:sz w:val="21"/>
          <w:szCs w:val="21"/>
        </w:rPr>
        <w:t>3、车辆驾驶人员应取得相应车辆驾驶证，并经考试取得从业资格证；押运员也应取得从业资格证；同时驾驶人员、押运人员应熟悉危险化学品的特性及应急处置方法。</w:t>
      </w:r>
    </w:p>
    <w:p>
      <w:pPr>
        <w:spacing w:line="520" w:lineRule="exact"/>
        <w:ind w:firstLine="420" w:firstLineChars="200"/>
        <w:rPr>
          <w:rFonts w:hint="eastAsia" w:ascii="宋体" w:hAnsi="宋体"/>
          <w:sz w:val="21"/>
          <w:szCs w:val="21"/>
        </w:rPr>
      </w:pPr>
      <w:r>
        <w:rPr>
          <w:rFonts w:hint="eastAsia" w:ascii="宋体" w:hAnsi="宋体"/>
          <w:sz w:val="21"/>
          <w:szCs w:val="21"/>
        </w:rPr>
        <w:t>4、危险化学品道路运输时应按规定配备充足、合格的驾驶人员及押运人员。</w:t>
      </w:r>
    </w:p>
    <w:p>
      <w:pPr>
        <w:spacing w:line="520" w:lineRule="exact"/>
        <w:ind w:firstLine="420" w:firstLineChars="200"/>
        <w:rPr>
          <w:rFonts w:hint="eastAsia" w:ascii="宋体" w:hAnsi="宋体"/>
          <w:sz w:val="21"/>
          <w:szCs w:val="21"/>
        </w:rPr>
      </w:pPr>
      <w:r>
        <w:rPr>
          <w:rFonts w:hint="eastAsia" w:ascii="宋体" w:hAnsi="宋体"/>
          <w:sz w:val="21"/>
          <w:szCs w:val="21"/>
        </w:rPr>
        <w:t>5、危险化学品的道路运输企业应落实主体责任，加强运输车辆及设施、设备的维护、管理，及时排查并消除安全隐患。</w:t>
      </w:r>
    </w:p>
    <w:p>
      <w:pPr>
        <w:spacing w:line="520" w:lineRule="exact"/>
        <w:ind w:firstLine="420" w:firstLineChars="200"/>
        <w:rPr>
          <w:rFonts w:hint="eastAsia" w:ascii="宋体" w:hAnsi="宋体"/>
          <w:sz w:val="21"/>
          <w:szCs w:val="21"/>
        </w:rPr>
      </w:pPr>
      <w:r>
        <w:rPr>
          <w:rFonts w:hint="eastAsia" w:ascii="宋体" w:hAnsi="宋体"/>
          <w:sz w:val="21"/>
          <w:szCs w:val="21"/>
        </w:rPr>
        <w:t>6、供方进入生产区域应遵守客户安全生产管理规定，车辆应按规定路线行驶，进入不得随意进入与本次生产（送货）无关的区域，进入厂区人员必须按国家有关规定，按规定为施工人员配备劳动防护用具、安全用具等，装卸前应对设备进行检查，按规范进行操作，如因供方人员违规操作或疏忽等原因照成等损失由供方负责赔偿。</w:t>
      </w:r>
    </w:p>
    <w:p>
      <w:pPr>
        <w:spacing w:line="520" w:lineRule="exact"/>
        <w:ind w:firstLine="420" w:firstLineChars="200"/>
        <w:rPr>
          <w:rFonts w:hint="eastAsia" w:asciiTheme="minorEastAsia" w:hAnsiTheme="minorEastAsia"/>
          <w:szCs w:val="21"/>
        </w:rPr>
      </w:pPr>
      <w:r>
        <w:rPr>
          <w:rFonts w:hint="eastAsia" w:ascii="宋体" w:hAnsi="宋体"/>
          <w:sz w:val="21"/>
          <w:szCs w:val="21"/>
        </w:rPr>
        <w:t>请贵司按照危险化学品的相关管理规定，确实履行安全主体责任，确保危险化学品的道路运输安全。</w:t>
      </w:r>
    </w:p>
    <w:p>
      <w:pPr>
        <w:spacing w:line="520" w:lineRule="exact"/>
        <w:ind w:firstLine="420" w:firstLineChars="200"/>
        <w:rPr>
          <w:rFonts w:ascii="宋体" w:hAnsi="宋体"/>
          <w:sz w:val="21"/>
          <w:szCs w:val="21"/>
        </w:rPr>
      </w:pPr>
      <w:r>
        <w:rPr>
          <w:rFonts w:hint="eastAsia" w:ascii="宋体" w:hAnsi="宋体"/>
          <w:sz w:val="21"/>
          <w:szCs w:val="21"/>
        </w:rPr>
        <w:t>十、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520" w:lineRule="exact"/>
        <w:ind w:firstLine="420" w:firstLineChars="200"/>
        <w:rPr>
          <w:rStyle w:val="29"/>
          <w:rFonts w:asciiTheme="minorEastAsia" w:hAnsiTheme="minorEastAsia"/>
          <w:b w:val="0"/>
          <w:sz w:val="21"/>
          <w:szCs w:val="21"/>
        </w:rPr>
      </w:pPr>
      <w:r>
        <w:rPr>
          <w:rFonts w:hint="eastAsia" w:asciiTheme="minorEastAsia" w:hAnsiTheme="minorEastAsia"/>
          <w:szCs w:val="21"/>
        </w:rPr>
        <w:t>十</w:t>
      </w:r>
      <w:r>
        <w:rPr>
          <w:rFonts w:hint="eastAsia" w:asciiTheme="minorEastAsia" w:hAnsiTheme="minorEastAsia"/>
          <w:szCs w:val="21"/>
          <w:lang w:eastAsia="zh-CN"/>
        </w:rPr>
        <w:t>一</w:t>
      </w:r>
      <w:r>
        <w:rPr>
          <w:rFonts w:asciiTheme="minorEastAsia" w:hAnsiTheme="minorEastAsia"/>
          <w:szCs w:val="21"/>
        </w:rPr>
        <w:t>、</w:t>
      </w:r>
      <w:r>
        <w:rPr>
          <w:rFonts w:hint="eastAsia" w:asciiTheme="minorEastAsia" w:hAnsiTheme="minorEastAsia"/>
          <w:bCs/>
          <w:szCs w:val="21"/>
        </w:rPr>
        <w:t>合同争议的解决方式：</w:t>
      </w:r>
      <w:r>
        <w:rPr>
          <w:rFonts w:hint="eastAsia" w:asciiTheme="minorEastAsia" w:hAnsiTheme="minorEastAsia"/>
          <w:szCs w:val="21"/>
        </w:rPr>
        <w:t>本合同在履行过程中发生的争议，由双方当事人协商解决，协商、调解不成的，</w:t>
      </w:r>
      <w:r>
        <w:rPr>
          <w:rStyle w:val="29"/>
          <w:rFonts w:hint="eastAsia" w:asciiTheme="minorEastAsia" w:hAnsiTheme="minorEastAsia"/>
          <w:sz w:val="21"/>
          <w:szCs w:val="21"/>
        </w:rPr>
        <w:t>可依法向需方所在地有管辖权的人民法院起诉。</w:t>
      </w:r>
    </w:p>
    <w:p>
      <w:pPr>
        <w:spacing w:line="520" w:lineRule="exact"/>
        <w:ind w:firstLine="420" w:firstLineChars="200"/>
        <w:rPr>
          <w:rFonts w:asciiTheme="minorEastAsia" w:hAnsiTheme="minorEastAsia"/>
          <w:bCs/>
          <w:szCs w:val="21"/>
        </w:rPr>
      </w:pPr>
      <w:r>
        <w:rPr>
          <w:rFonts w:hint="eastAsia" w:asciiTheme="minorEastAsia" w:hAnsiTheme="minorEastAsia"/>
          <w:szCs w:val="21"/>
        </w:rPr>
        <w:t>十</w:t>
      </w:r>
      <w:r>
        <w:rPr>
          <w:rFonts w:hint="eastAsia" w:asciiTheme="minorEastAsia" w:hAnsiTheme="minorEastAsia"/>
          <w:szCs w:val="21"/>
          <w:lang w:eastAsia="zh-CN"/>
        </w:rPr>
        <w:t>二</w:t>
      </w:r>
      <w:r>
        <w:rPr>
          <w:rFonts w:hint="eastAsia" w:asciiTheme="minorEastAsia" w:hAnsiTheme="minorEastAsia"/>
          <w:szCs w:val="21"/>
        </w:rPr>
        <w:t>、</w:t>
      </w:r>
      <w:r>
        <w:rPr>
          <w:rFonts w:hint="eastAsia" w:asciiTheme="minorEastAsia" w:hAnsiTheme="minorEastAsia"/>
          <w:bCs/>
          <w:szCs w:val="21"/>
        </w:rPr>
        <w:t>其他：</w:t>
      </w:r>
    </w:p>
    <w:p>
      <w:pPr>
        <w:spacing w:line="520" w:lineRule="exact"/>
        <w:ind w:firstLine="420" w:firstLineChars="200"/>
        <w:rPr>
          <w:rFonts w:asciiTheme="minorEastAsia" w:hAnsiTheme="minorEastAsia"/>
          <w:szCs w:val="21"/>
        </w:rPr>
      </w:pPr>
      <w:r>
        <w:rPr>
          <w:rFonts w:hint="eastAsia" w:asciiTheme="minorEastAsia" w:hAnsiTheme="minorEastAsia"/>
          <w:szCs w:val="21"/>
        </w:rPr>
        <w:t>1、本合同自签字盖章之日起生效。</w:t>
      </w:r>
      <w:r>
        <w:rPr>
          <w:rFonts w:hint="eastAsia" w:asciiTheme="minorEastAsia" w:hAnsiTheme="minorEastAsia"/>
          <w:color w:val="FF0000"/>
          <w:szCs w:val="21"/>
        </w:rPr>
        <w:t>合同期：</w:t>
      </w:r>
      <w:r>
        <w:rPr>
          <w:rFonts w:asciiTheme="minorEastAsia" w:hAnsiTheme="minorEastAsia"/>
          <w:color w:val="FF0000"/>
          <w:szCs w:val="21"/>
        </w:rPr>
        <w:t>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01</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0</w:t>
      </w:r>
      <w:r>
        <w:rPr>
          <w:rFonts w:hint="eastAsia" w:asciiTheme="minorEastAsia" w:hAnsiTheme="minorEastAsia"/>
          <w:color w:val="FF0000"/>
          <w:szCs w:val="21"/>
        </w:rPr>
        <w:t>1日至</w:t>
      </w:r>
      <w:r>
        <w:rPr>
          <w:rFonts w:asciiTheme="minorEastAsia" w:hAnsiTheme="minorEastAsia"/>
          <w:color w:val="FF0000"/>
          <w:szCs w:val="21"/>
        </w:rPr>
        <w:t>202</w:t>
      </w:r>
      <w:r>
        <w:rPr>
          <w:rFonts w:hint="eastAsia" w:asciiTheme="minorEastAsia" w:hAnsiTheme="minorEastAsia"/>
          <w:color w:val="FF0000"/>
          <w:szCs w:val="21"/>
          <w:lang w:val="en-US" w:eastAsia="zh-CN"/>
        </w:rPr>
        <w:t>5</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06</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30</w:t>
      </w:r>
      <w:r>
        <w:rPr>
          <w:rFonts w:hint="eastAsia" w:asciiTheme="minorEastAsia" w:hAnsiTheme="minorEastAsia"/>
          <w:color w:val="FF0000"/>
          <w:szCs w:val="21"/>
        </w:rPr>
        <w:t>日。</w:t>
      </w:r>
    </w:p>
    <w:p>
      <w:pPr>
        <w:spacing w:line="520" w:lineRule="exact"/>
        <w:ind w:firstLine="420" w:firstLineChars="200"/>
        <w:rPr>
          <w:rFonts w:asciiTheme="minorEastAsia" w:hAnsiTheme="minorEastAsia"/>
          <w:szCs w:val="21"/>
        </w:rPr>
      </w:pPr>
      <w:r>
        <w:rPr>
          <w:rFonts w:hint="eastAsia" w:asciiTheme="minorEastAsia" w:hAnsiTheme="minorEastAsia"/>
          <w:szCs w:val="21"/>
        </w:rPr>
        <w:t>2、本合同一式</w:t>
      </w:r>
      <w:r>
        <w:rPr>
          <w:rFonts w:hint="eastAsia" w:asciiTheme="minorEastAsia" w:hAnsiTheme="minorEastAsia"/>
          <w:szCs w:val="21"/>
          <w:lang w:val="en-US" w:eastAsia="zh-CN"/>
        </w:rPr>
        <w:t>五</w:t>
      </w:r>
      <w:r>
        <w:rPr>
          <w:rFonts w:hint="eastAsia" w:asciiTheme="minorEastAsia" w:hAnsiTheme="minorEastAsia"/>
          <w:szCs w:val="21"/>
        </w:rPr>
        <w:t>份，需方</w:t>
      </w:r>
      <w:r>
        <w:rPr>
          <w:rFonts w:hint="eastAsia" w:asciiTheme="minorEastAsia" w:hAnsiTheme="minorEastAsia"/>
          <w:szCs w:val="21"/>
          <w:lang w:val="en-US" w:eastAsia="zh-CN"/>
        </w:rPr>
        <w:t>四</w:t>
      </w:r>
      <w:r>
        <w:rPr>
          <w:rFonts w:hint="eastAsia" w:asciiTheme="minorEastAsia" w:hAnsiTheme="minorEastAsia"/>
          <w:szCs w:val="21"/>
        </w:rPr>
        <w:t>份，供方一份，具有同等法律效力。</w:t>
      </w:r>
    </w:p>
    <w:p>
      <w:pPr>
        <w:spacing w:line="520" w:lineRule="exact"/>
        <w:ind w:firstLine="420" w:firstLineChars="200"/>
        <w:rPr>
          <w:rFonts w:asciiTheme="minorEastAsia" w:hAnsiTheme="minorEastAsia"/>
          <w:szCs w:val="21"/>
        </w:rPr>
      </w:pPr>
      <w:r>
        <w:rPr>
          <w:rFonts w:hint="eastAsia" w:asciiTheme="minorEastAsia" w:hAnsiTheme="minorEastAsia"/>
          <w:szCs w:val="21"/>
        </w:rPr>
        <w:t>3、本合同自双方代表签字，并加盖公章或合同专用章及法定代表人的签章（或持有法定代表人开具的授权委托书或其他有效的授权证明，授权证明为合同附件）即合同生效。</w:t>
      </w:r>
    </w:p>
    <w:p>
      <w:pPr>
        <w:spacing w:line="520" w:lineRule="exact"/>
        <w:ind w:firstLine="420" w:firstLineChars="200"/>
        <w:rPr>
          <w:rFonts w:asciiTheme="minorEastAsia" w:hAnsiTheme="minorEastAsia"/>
          <w:szCs w:val="21"/>
        </w:rPr>
      </w:pPr>
    </w:p>
    <w:p>
      <w:pPr>
        <w:spacing w:line="520" w:lineRule="exact"/>
        <w:ind w:firstLine="420" w:firstLineChars="200"/>
        <w:rPr>
          <w:rFonts w:asciiTheme="minorEastAsia" w:hAnsiTheme="minorEastAsia"/>
          <w:szCs w:val="21"/>
        </w:rPr>
      </w:pPr>
    </w:p>
    <w:tbl>
      <w:tblPr>
        <w:tblStyle w:val="13"/>
        <w:tblpPr w:leftFromText="180" w:rightFromText="180" w:vertAnchor="text" w:horzAnchor="page" w:tblpX="1020" w:tblpY="676"/>
        <w:tblOverlap w:val="never"/>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4004" w:type="dxa"/>
          </w:tcPr>
          <w:p>
            <w:pPr>
              <w:spacing w:line="360" w:lineRule="auto"/>
              <w:rPr>
                <w:rFonts w:asciiTheme="minorEastAsia" w:hAnsiTheme="minorEastAsia"/>
                <w:szCs w:val="21"/>
              </w:rPr>
            </w:pPr>
            <w:r>
              <w:rPr>
                <w:rFonts w:hint="eastAsia" w:asciiTheme="minorEastAsia" w:hAnsiTheme="minorEastAsia"/>
                <w:szCs w:val="21"/>
              </w:rPr>
              <w:t>供方：</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地址：</w:t>
            </w:r>
          </w:p>
          <w:p>
            <w:pPr>
              <w:spacing w:line="360" w:lineRule="auto"/>
              <w:rPr>
                <w:rFonts w:asciiTheme="minorEastAsia" w:hAnsiTheme="minorEastAsia"/>
                <w:szCs w:val="21"/>
              </w:rPr>
            </w:pPr>
            <w:r>
              <w:rPr>
                <w:rFonts w:hint="eastAsia" w:asciiTheme="minorEastAsia" w:hAnsiTheme="minorEastAsia"/>
                <w:szCs w:val="21"/>
              </w:rPr>
              <w:t>法定代表人：</w:t>
            </w:r>
            <w:r>
              <w:rPr>
                <w:rFonts w:asciiTheme="minorEastAsia" w:hAnsiTheme="minorEastAsia"/>
                <w:szCs w:val="21"/>
              </w:rPr>
              <w:t xml:space="preserve"> </w:t>
            </w:r>
          </w:p>
          <w:p>
            <w:pPr>
              <w:spacing w:line="360" w:lineRule="auto"/>
              <w:rPr>
                <w:rFonts w:asciiTheme="minorEastAsia" w:hAnsiTheme="minorEastAsia"/>
                <w:szCs w:val="21"/>
              </w:rPr>
            </w:pPr>
            <w:r>
              <w:rPr>
                <w:rFonts w:hint="eastAsia" w:asciiTheme="minorEastAsia" w:hAnsiTheme="minorEastAsia"/>
                <w:szCs w:val="21"/>
              </w:rPr>
              <w:t>经办人：</w:t>
            </w:r>
          </w:p>
          <w:p>
            <w:pPr>
              <w:spacing w:line="360" w:lineRule="auto"/>
              <w:rPr>
                <w:rFonts w:asciiTheme="minorEastAsia" w:hAnsiTheme="minorEastAsia"/>
                <w:szCs w:val="21"/>
              </w:rPr>
            </w:pPr>
            <w:r>
              <w:rPr>
                <w:rFonts w:hint="eastAsia" w:asciiTheme="minorEastAsia" w:hAnsiTheme="minorEastAsia"/>
                <w:szCs w:val="21"/>
              </w:rPr>
              <w:t>开户银行：</w:t>
            </w:r>
          </w:p>
          <w:p>
            <w:pPr>
              <w:spacing w:line="360" w:lineRule="auto"/>
              <w:rPr>
                <w:rFonts w:asciiTheme="minorEastAsia" w:hAnsiTheme="minorEastAsia"/>
                <w:szCs w:val="21"/>
              </w:rPr>
            </w:pPr>
            <w:r>
              <w:rPr>
                <w:rFonts w:hint="eastAsia" w:asciiTheme="minorEastAsia" w:hAnsiTheme="minorEastAsia"/>
                <w:szCs w:val="21"/>
              </w:rPr>
              <w:t>账号：</w:t>
            </w:r>
          </w:p>
          <w:p>
            <w:pPr>
              <w:spacing w:line="360" w:lineRule="auto"/>
              <w:rPr>
                <w:rFonts w:asciiTheme="minorEastAsia" w:hAnsiTheme="minorEastAsia"/>
                <w:szCs w:val="21"/>
              </w:rPr>
            </w:pPr>
            <w:r>
              <w:rPr>
                <w:rFonts w:hint="eastAsia" w:asciiTheme="minorEastAsia" w:hAnsiTheme="minorEastAsia"/>
                <w:szCs w:val="21"/>
              </w:rPr>
              <w:t>电话：</w:t>
            </w:r>
          </w:p>
          <w:p>
            <w:pPr>
              <w:spacing w:line="360" w:lineRule="auto"/>
              <w:rPr>
                <w:rFonts w:asciiTheme="minorEastAsia" w:hAnsiTheme="minorEastAsia"/>
                <w:szCs w:val="21"/>
              </w:rPr>
            </w:pPr>
            <w:r>
              <w:rPr>
                <w:rFonts w:hint="eastAsia" w:asciiTheme="minorEastAsia" w:hAnsiTheme="minorEastAsia"/>
                <w:szCs w:val="21"/>
              </w:rPr>
              <w:t>传真：</w:t>
            </w:r>
          </w:p>
        </w:tc>
        <w:tc>
          <w:tcPr>
            <w:tcW w:w="4905" w:type="dxa"/>
          </w:tcPr>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 xml:space="preserve">需方：厦门同集热电有限公司    </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单位地址：厦门市同安区美禾三路399号</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法定代表人：</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经办人：</w:t>
            </w:r>
          </w:p>
          <w:p>
            <w:pPr>
              <w:spacing w:line="52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开户银行：</w:t>
            </w:r>
            <w:r>
              <w:rPr>
                <w:rFonts w:hint="eastAsia" w:asciiTheme="minorEastAsia" w:hAnsiTheme="minorEastAsia"/>
                <w:szCs w:val="21"/>
                <w:lang w:val="en-US" w:eastAsia="zh-CN"/>
              </w:rPr>
              <w:t xml:space="preserve"> </w:t>
            </w:r>
          </w:p>
          <w:p>
            <w:pPr>
              <w:spacing w:line="520" w:lineRule="exact"/>
              <w:ind w:firstLine="420" w:firstLineChars="200"/>
              <w:rPr>
                <w:rFonts w:hint="eastAsia" w:asciiTheme="minorEastAsia" w:hAnsiTheme="minorEastAsia"/>
                <w:szCs w:val="21"/>
                <w:lang w:val="en-US" w:eastAsia="zh-CN"/>
              </w:rPr>
            </w:pPr>
            <w:r>
              <w:rPr>
                <w:rFonts w:hint="eastAsia" w:asciiTheme="minorEastAsia" w:hAnsiTheme="minorEastAsia"/>
                <w:szCs w:val="21"/>
              </w:rPr>
              <w:t>账号：</w:t>
            </w:r>
            <w:r>
              <w:rPr>
                <w:rFonts w:hint="eastAsia" w:asciiTheme="minorEastAsia" w:hAnsiTheme="minorEastAsia"/>
                <w:szCs w:val="21"/>
                <w:lang w:val="en-US" w:eastAsia="zh-CN"/>
              </w:rPr>
              <w:t xml:space="preserve"> </w:t>
            </w:r>
          </w:p>
          <w:p>
            <w:pPr>
              <w:spacing w:line="520" w:lineRule="exact"/>
              <w:ind w:firstLine="420" w:firstLineChars="200"/>
              <w:rPr>
                <w:rFonts w:hint="eastAsia" w:asciiTheme="minorEastAsia" w:hAnsiTheme="minorEastAsia"/>
                <w:szCs w:val="21"/>
              </w:rPr>
            </w:pPr>
            <w:r>
              <w:rPr>
                <w:rFonts w:hint="eastAsia" w:asciiTheme="minorEastAsia" w:hAnsiTheme="minorEastAsia"/>
                <w:szCs w:val="21"/>
              </w:rPr>
              <w:t>邮政编码：361022</w:t>
            </w:r>
          </w:p>
          <w:p>
            <w:pPr>
              <w:spacing w:line="520" w:lineRule="exact"/>
              <w:ind w:firstLine="420" w:firstLineChars="200"/>
              <w:rPr>
                <w:rFonts w:hint="default" w:asciiTheme="minorEastAsia" w:hAnsiTheme="minorEastAsia"/>
                <w:szCs w:val="21"/>
                <w:lang w:val="en-US" w:eastAsia="zh-CN"/>
              </w:rPr>
            </w:pPr>
            <w:r>
              <w:rPr>
                <w:rFonts w:hint="eastAsia" w:asciiTheme="minorEastAsia" w:hAnsiTheme="minorEastAsia"/>
                <w:szCs w:val="21"/>
              </w:rPr>
              <w:t>电话：0592-73962</w:t>
            </w:r>
            <w:r>
              <w:rPr>
                <w:rFonts w:hint="eastAsia" w:asciiTheme="minorEastAsia" w:hAnsiTheme="minorEastAsia"/>
                <w:szCs w:val="21"/>
                <w:lang w:val="en-US" w:eastAsia="zh-CN"/>
              </w:rPr>
              <w:t>97</w:t>
            </w:r>
          </w:p>
          <w:p>
            <w:pPr>
              <w:spacing w:line="520" w:lineRule="exact"/>
              <w:ind w:firstLine="420" w:firstLineChars="200"/>
              <w:rPr>
                <w:rFonts w:hint="default" w:asciiTheme="minorEastAsia" w:hAnsiTheme="minorEastAsia" w:eastAsiaTheme="majorEastAsia"/>
                <w:szCs w:val="21"/>
                <w:lang w:val="en-US" w:eastAsia="zh-CN"/>
              </w:rPr>
            </w:pPr>
            <w:r>
              <w:rPr>
                <w:rFonts w:hint="eastAsia" w:asciiTheme="minorEastAsia" w:hAnsiTheme="minorEastAsia"/>
                <w:szCs w:val="21"/>
              </w:rPr>
              <w:t>传真：0592-73962</w:t>
            </w:r>
            <w:r>
              <w:rPr>
                <w:rFonts w:hint="eastAsia" w:asciiTheme="minorEastAsia" w:hAnsiTheme="minorEastAsia"/>
                <w:szCs w:val="21"/>
                <w:lang w:val="en-US" w:eastAsia="zh-CN"/>
              </w:rPr>
              <w:t>97</w:t>
            </w:r>
          </w:p>
        </w:tc>
      </w:tr>
    </w:tbl>
    <w:p>
      <w:pPr>
        <w:spacing w:line="276" w:lineRule="auto"/>
        <w:rPr>
          <w:rFonts w:asciiTheme="minorEastAsia" w:hAnsiTheme="minorEastAsia"/>
          <w:sz w:val="24"/>
        </w:rPr>
      </w:pPr>
    </w:p>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rPr>
          <w:rFonts w:hint="eastAsia" w:ascii="宋体" w:hAnsi="宋体" w:eastAsia="宋体"/>
          <w:bCs/>
          <w:color w:val="000000"/>
          <w:sz w:val="36"/>
          <w:szCs w:val="36"/>
        </w:rPr>
      </w:pPr>
    </w:p>
    <w:p>
      <w:pPr>
        <w:rPr>
          <w:rFonts w:hint="eastAsia" w:ascii="宋体" w:hAnsi="宋体" w:eastAsia="宋体"/>
          <w:bCs/>
          <w:color w:val="000000"/>
          <w:sz w:val="36"/>
          <w:szCs w:val="36"/>
        </w:rPr>
      </w:pPr>
    </w:p>
    <w:p>
      <w:pPr>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hint="eastAsia" w:ascii="宋体" w:hAnsi="宋体" w:eastAsia="宋体"/>
          <w:bCs/>
          <w:color w:val="000000"/>
          <w:sz w:val="36"/>
          <w:szCs w:val="36"/>
        </w:rPr>
      </w:pPr>
    </w:p>
    <w:p>
      <w:pPr>
        <w:pStyle w:val="3"/>
        <w:keepNext w:val="0"/>
        <w:keepLines w:val="0"/>
        <w:kinsoku w:val="0"/>
        <w:overflowPunct w:val="0"/>
        <w:autoSpaceDE w:val="0"/>
        <w:autoSpaceDN w:val="0"/>
        <w:adjustRightInd/>
        <w:spacing w:before="0" w:after="0" w:line="400" w:lineRule="atLeast"/>
        <w:ind w:firstLine="2288" w:firstLineChars="6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28305"/>
      <w:bookmarkStart w:id="49" w:name="_Toc3580"/>
      <w:bookmarkStart w:id="50" w:name="_Toc30894"/>
      <w:r>
        <w:rPr>
          <w:rFonts w:hint="eastAsia" w:ascii="宋体" w:hAnsi="宋体"/>
          <w:b/>
          <w:sz w:val="44"/>
          <w:szCs w:val="44"/>
          <w:lang w:val="en-US" w:eastAsia="zh-CN"/>
        </w:rPr>
        <w:t xml:space="preserve"> </w:t>
      </w:r>
      <w:r>
        <w:rPr>
          <w:rFonts w:hint="eastAsia" w:ascii="宋体" w:hAnsi="宋体"/>
          <w:b/>
          <w:sz w:val="44"/>
          <w:szCs w:val="44"/>
        </w:rPr>
        <w:t>盐酸采购项目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10610"/>
      <w:bookmarkStart w:id="53" w:name="_Toc12676"/>
      <w:bookmarkStart w:id="54" w:name="_Toc31210"/>
      <w:bookmarkStart w:id="55"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110"/>
      <w:bookmarkStart w:id="57" w:name="_Toc26421"/>
      <w:bookmarkStart w:id="58" w:name="_Toc16600"/>
      <w:bookmarkStart w:id="59" w:name="_Toc22504"/>
      <w:bookmarkStart w:id="60" w:name="_Toc28416"/>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24026"/>
      <w:bookmarkStart w:id="62" w:name="_Toc7142"/>
      <w:bookmarkStart w:id="63" w:name="_Toc19182"/>
      <w:bookmarkStart w:id="64" w:name="_Toc7425"/>
      <w:bookmarkStart w:id="65" w:name="_Toc14233"/>
      <w:r>
        <w:rPr>
          <w:rFonts w:hint="eastAsia" w:ascii="宋体" w:hAnsi="宋体"/>
          <w:b/>
          <w:bCs/>
          <w:sz w:val="28"/>
          <w:szCs w:val="28"/>
        </w:rPr>
        <w:t>报价日期：202</w:t>
      </w:r>
      <w:r>
        <w:rPr>
          <w:rFonts w:hint="eastAsia" w:ascii="宋体" w:hAnsi="宋体"/>
          <w:b/>
          <w:bCs/>
          <w:sz w:val="28"/>
          <w:szCs w:val="28"/>
          <w:lang w:val="en-US" w:eastAsia="zh-CN"/>
        </w:rPr>
        <w:t>4</w:t>
      </w: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1"/>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30"/>
        <w:numPr>
          <w:ilvl w:val="0"/>
          <w:numId w:val="11"/>
        </w:numPr>
        <w:ind w:firstLineChars="0"/>
        <w:rPr>
          <w:rFonts w:ascii="宋体" w:hAnsi="宋体"/>
          <w:sz w:val="24"/>
          <w:szCs w:val="24"/>
        </w:rPr>
      </w:pPr>
      <w:r>
        <w:rPr>
          <w:rFonts w:hint="eastAsia" w:ascii="宋体" w:hAnsi="宋体" w:cs="宋体"/>
          <w:kern w:val="0"/>
          <w:sz w:val="24"/>
          <w:szCs w:val="24"/>
        </w:rPr>
        <w:t>危险化学品经营许可证</w:t>
      </w:r>
      <w:r>
        <w:rPr>
          <w:rFonts w:hint="eastAsia" w:ascii="宋体" w:hAnsi="宋体"/>
          <w:kern w:val="0"/>
          <w:sz w:val="24"/>
          <w:szCs w:val="24"/>
        </w:rPr>
        <w:t>复印件</w:t>
      </w:r>
      <w:r>
        <w:rPr>
          <w:rFonts w:hint="eastAsia" w:ascii="宋体" w:hAnsi="宋体"/>
          <w:sz w:val="24"/>
          <w:szCs w:val="24"/>
        </w:rPr>
        <w:t>并</w:t>
      </w:r>
      <w:r>
        <w:rPr>
          <w:rFonts w:hint="eastAsia" w:ascii="宋体" w:hAnsi="宋体"/>
          <w:kern w:val="0"/>
          <w:sz w:val="24"/>
          <w:szCs w:val="24"/>
        </w:rPr>
        <w:t>加盖公章</w:t>
      </w:r>
      <w:r>
        <w:rPr>
          <w:rFonts w:hint="eastAsia" w:ascii="宋体" w:hAnsi="宋体"/>
          <w:sz w:val="24"/>
          <w:szCs w:val="24"/>
        </w:rPr>
        <w:t>（见附件6）；</w:t>
      </w:r>
    </w:p>
    <w:p>
      <w:pPr>
        <w:pStyle w:val="30"/>
        <w:numPr>
          <w:ilvl w:val="0"/>
          <w:numId w:val="11"/>
        </w:numPr>
        <w:ind w:firstLineChars="0"/>
        <w:rPr>
          <w:rFonts w:ascii="宋体" w:hAnsi="宋体"/>
          <w:sz w:val="24"/>
          <w:szCs w:val="24"/>
        </w:rPr>
      </w:pPr>
      <w:r>
        <w:rPr>
          <w:rFonts w:hint="eastAsia" w:ascii="宋体" w:hAnsi="宋体"/>
          <w:color w:val="auto"/>
          <w:sz w:val="24"/>
          <w:szCs w:val="24"/>
          <w:highlight w:val="none"/>
          <w:lang w:val="en-US" w:eastAsia="zh-CN"/>
        </w:rPr>
        <w:t>谈判承诺书（附件7，</w:t>
      </w:r>
      <w:r>
        <w:rPr>
          <w:rFonts w:hint="eastAsia" w:ascii="宋体" w:hAnsi="宋体"/>
          <w:b/>
          <w:bCs/>
          <w:color w:val="auto"/>
          <w:sz w:val="24"/>
          <w:szCs w:val="24"/>
          <w:highlight w:val="none"/>
          <w:lang w:val="en-US" w:eastAsia="zh-CN"/>
        </w:rPr>
        <w:t>如谈判代表未到现场，需提供，否则视为无效报价</w:t>
      </w:r>
      <w:r>
        <w:rPr>
          <w:rFonts w:hint="eastAsia" w:ascii="宋体" w:hAnsi="宋体"/>
          <w:color w:val="auto"/>
          <w:sz w:val="24"/>
          <w:szCs w:val="24"/>
          <w:highlight w:val="none"/>
          <w:lang w:val="en-US" w:eastAsia="zh-CN"/>
        </w:rPr>
        <w:t>）</w:t>
      </w:r>
    </w:p>
    <w:p>
      <w:p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lang w:val="en-US" w:eastAsia="zh-CN"/>
        </w:rPr>
        <w:t>8</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2"/>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2"/>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2"/>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2"/>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lang w:val="en-US" w:eastAsia="zh-CN"/>
        </w:rPr>
        <w:t xml:space="preserve"> </w:t>
      </w:r>
      <w:r>
        <w:rPr>
          <w:rFonts w:hint="eastAsia" w:ascii="宋体" w:hAnsi="宋体" w:cs="宋体"/>
          <w:b/>
          <w:spacing w:val="-4"/>
          <w:sz w:val="24"/>
          <w:szCs w:val="24"/>
          <w:u w:val="single"/>
        </w:rPr>
        <w:t>盐酸</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4</w:t>
      </w:r>
      <w:r>
        <w:rPr>
          <w:rFonts w:hint="eastAsia" w:ascii="宋体" w:hAnsi="宋体" w:cs="宋体"/>
          <w:spacing w:val="-4"/>
          <w:sz w:val="24"/>
          <w:szCs w:val="24"/>
        </w:rPr>
        <w:t>年</w:t>
      </w:r>
      <w:r>
        <w:rPr>
          <w:rFonts w:ascii="宋体" w:hAnsi="宋体" w:cs="宋体"/>
          <w:spacing w:val="-4"/>
          <w:sz w:val="24"/>
          <w:szCs w:val="24"/>
        </w:rPr>
        <w:t xml:space="preserve">  </w:t>
      </w:r>
      <w:r>
        <w:rPr>
          <w:rFonts w:hint="eastAsia" w:ascii="宋体" w:hAnsi="宋体" w:cs="宋体"/>
          <w:spacing w:val="-4"/>
          <w:sz w:val="24"/>
          <w:szCs w:val="24"/>
        </w:rPr>
        <w:t>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谈 判 报 价 书</w:t>
      </w:r>
    </w:p>
    <w:tbl>
      <w:tblPr>
        <w:tblStyle w:val="13"/>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21"/>
        <w:gridCol w:w="1890"/>
        <w:gridCol w:w="1665"/>
        <w:gridCol w:w="514"/>
        <w:gridCol w:w="746"/>
        <w:gridCol w:w="514"/>
        <w:gridCol w:w="110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865" w:hRule="atLeast"/>
          <w:jc w:val="center"/>
        </w:trPr>
        <w:tc>
          <w:tcPr>
            <w:tcW w:w="1700"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2721"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1890" w:type="dxa"/>
            <w:vAlign w:val="center"/>
          </w:tcPr>
          <w:p>
            <w:pPr>
              <w:widowControl/>
              <w:spacing w:line="500" w:lineRule="exact"/>
              <w:jc w:val="both"/>
              <w:rPr>
                <w:rFonts w:hint="default" w:eastAsiaTheme="minorEastAsia"/>
                <w:color w:val="000000"/>
                <w:kern w:val="0"/>
                <w:sz w:val="24"/>
                <w:lang w:val="en-US" w:eastAsia="zh-CN"/>
              </w:rPr>
            </w:pPr>
            <w:r>
              <w:rPr>
                <w:rFonts w:hint="eastAsia"/>
                <w:color w:val="000000"/>
                <w:kern w:val="0"/>
                <w:sz w:val="24"/>
              </w:rPr>
              <w:t>一票含税到厂</w:t>
            </w:r>
            <w:r>
              <w:rPr>
                <w:rFonts w:hint="eastAsia"/>
                <w:color w:val="000000"/>
                <w:kern w:val="0"/>
                <w:sz w:val="24"/>
                <w:lang w:val="en-US" w:eastAsia="zh-CN"/>
              </w:rPr>
              <w:t>总价（元）</w:t>
            </w:r>
          </w:p>
        </w:tc>
        <w:tc>
          <w:tcPr>
            <w:tcW w:w="2179" w:type="dxa"/>
            <w:gridSpan w:val="2"/>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数量（吨）</w:t>
            </w:r>
          </w:p>
        </w:tc>
        <w:tc>
          <w:tcPr>
            <w:tcW w:w="1260" w:type="dxa"/>
            <w:gridSpan w:val="2"/>
            <w:vAlign w:val="center"/>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1797" w:hRule="atLeast"/>
          <w:jc w:val="center"/>
        </w:trPr>
        <w:tc>
          <w:tcPr>
            <w:tcW w:w="1700" w:type="dxa"/>
            <w:vAlign w:val="center"/>
          </w:tcPr>
          <w:p>
            <w:pPr>
              <w:widowControl/>
              <w:spacing w:line="276" w:lineRule="auto"/>
              <w:jc w:val="center"/>
              <w:rPr>
                <w:rFonts w:ascii="宋体" w:hAnsi="宋体"/>
                <w:kern w:val="0"/>
                <w:sz w:val="24"/>
              </w:rPr>
            </w:pPr>
            <w:r>
              <w:rPr>
                <w:rFonts w:hint="eastAsia" w:ascii="宋体" w:hAnsi="宋体"/>
                <w:kern w:val="0"/>
                <w:sz w:val="24"/>
              </w:rPr>
              <w:t xml:space="preserve">盐酸           </w:t>
            </w:r>
          </w:p>
          <w:p>
            <w:pPr>
              <w:pStyle w:val="28"/>
              <w:spacing w:line="276" w:lineRule="auto"/>
              <w:ind w:left="330" w:leftChars="100" w:hanging="120" w:hangingChars="50"/>
              <w:jc w:val="both"/>
              <w:rPr>
                <w:color w:val="000000"/>
              </w:rPr>
            </w:pPr>
            <w:r>
              <w:rPr>
                <w:rFonts w:hint="eastAsia"/>
              </w:rPr>
              <w:t>（</w:t>
            </w:r>
            <w:r>
              <w:t>浓度</w:t>
            </w:r>
            <w:r>
              <w:rPr>
                <w:rFonts w:hint="eastAsia"/>
              </w:rPr>
              <w:t>≥31%、高纯酸）</w:t>
            </w:r>
          </w:p>
        </w:tc>
        <w:tc>
          <w:tcPr>
            <w:tcW w:w="2721" w:type="dxa"/>
            <w:vAlign w:val="center"/>
          </w:tcPr>
          <w:p>
            <w:pPr>
              <w:pStyle w:val="28"/>
              <w:jc w:val="center"/>
              <w:rPr>
                <w:color w:val="000000"/>
              </w:rPr>
            </w:pPr>
          </w:p>
        </w:tc>
        <w:tc>
          <w:tcPr>
            <w:tcW w:w="1890" w:type="dxa"/>
            <w:vAlign w:val="center"/>
          </w:tcPr>
          <w:p>
            <w:pPr>
              <w:pStyle w:val="28"/>
              <w:jc w:val="center"/>
              <w:rPr>
                <w:color w:val="000000"/>
              </w:rPr>
            </w:pPr>
          </w:p>
        </w:tc>
        <w:tc>
          <w:tcPr>
            <w:tcW w:w="2179" w:type="dxa"/>
            <w:gridSpan w:val="2"/>
            <w:vAlign w:val="center"/>
          </w:tcPr>
          <w:p>
            <w:pPr>
              <w:pStyle w:val="28"/>
              <w:jc w:val="center"/>
              <w:rPr>
                <w:rFonts w:hint="default" w:eastAsia="宋体"/>
                <w:color w:val="000000"/>
                <w:lang w:val="en-US" w:eastAsia="zh-CN"/>
              </w:rPr>
            </w:pPr>
            <w:r>
              <w:rPr>
                <w:rFonts w:hint="eastAsia"/>
                <w:color w:val="000000"/>
                <w:lang w:val="en-US" w:eastAsia="zh-CN"/>
              </w:rPr>
              <w:t>330吨（新阳250吨、同集80吨）</w:t>
            </w:r>
          </w:p>
        </w:tc>
        <w:tc>
          <w:tcPr>
            <w:tcW w:w="1260" w:type="dxa"/>
            <w:gridSpan w:val="2"/>
            <w:vAlign w:val="center"/>
          </w:tcPr>
          <w:p>
            <w:pPr>
              <w:pStyle w:val="28"/>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42" w:type="dxa"/>
          <w:trHeight w:val="2224" w:hRule="atLeast"/>
          <w:jc w:val="center"/>
        </w:trPr>
        <w:tc>
          <w:tcPr>
            <w:tcW w:w="9750" w:type="dxa"/>
            <w:gridSpan w:val="7"/>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rPr>
              <w:t>谈判保证金为人民币</w:t>
            </w:r>
            <w:r>
              <w:rPr>
                <w:rFonts w:hint="eastAsia" w:ascii="宋体" w:hAnsi="宋体" w:cs="宋体"/>
                <w:kern w:val="0"/>
                <w:sz w:val="24"/>
                <w:szCs w:val="24"/>
                <w:lang w:val="en-US" w:eastAsia="zh-CN"/>
              </w:rPr>
              <w:t>壹仟伍佰</w:t>
            </w:r>
            <w:r>
              <w:rPr>
                <w:rFonts w:hint="eastAsia" w:ascii="宋体" w:hAnsi="宋体" w:cs="宋体"/>
                <w:kern w:val="0"/>
                <w:sz w:val="24"/>
                <w:szCs w:val="24"/>
              </w:rPr>
              <w:t>元整（¥</w:t>
            </w:r>
            <w:r>
              <w:rPr>
                <w:rFonts w:hint="eastAsia" w:ascii="宋体" w:hAnsi="宋体" w:cs="宋体"/>
                <w:kern w:val="0"/>
                <w:sz w:val="24"/>
                <w:szCs w:val="24"/>
                <w:lang w:val="en-US" w:eastAsia="zh-CN"/>
              </w:rPr>
              <w:t>15</w:t>
            </w:r>
            <w:r>
              <w:rPr>
                <w:rFonts w:hint="eastAsia" w:ascii="宋体" w:hAnsi="宋体" w:cs="宋体"/>
                <w:kern w:val="0"/>
                <w:sz w:val="24"/>
                <w:szCs w:val="24"/>
              </w:rPr>
              <w:t>00.00）</w:t>
            </w:r>
            <w:r>
              <w:rPr>
                <w:rFonts w:hint="eastAsia" w:ascii="宋体" w:hAnsi="宋体" w:cs="宋体"/>
                <w:kern w:val="0"/>
                <w:szCs w:val="21"/>
              </w:rPr>
              <w:t>。</w:t>
            </w:r>
          </w:p>
          <w:p>
            <w:pPr>
              <w:pStyle w:val="28"/>
              <w:rPr>
                <w:color w:val="000000"/>
              </w:rPr>
            </w:pPr>
            <w:r>
              <w:rPr>
                <w:color w:val="000000"/>
              </w:rPr>
              <w:t>2</w:t>
            </w:r>
            <w:r>
              <w:rPr>
                <w:rFonts w:hint="eastAsia"/>
                <w:color w:val="000000"/>
              </w:rPr>
              <w:t>、若国家税率调整，含税价格须作相应调整。</w:t>
            </w:r>
          </w:p>
          <w:p>
            <w:pPr>
              <w:pStyle w:val="28"/>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p>
            <w:pPr>
              <w:pStyle w:val="28"/>
              <w:rPr>
                <w:rFonts w:hint="eastAsia" w:eastAsia="宋体"/>
                <w:color w:val="000000"/>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7976" w:type="dxa"/>
          <w:trHeight w:val="100" w:hRule="atLeast"/>
          <w:jc w:val="center"/>
        </w:trPr>
        <w:tc>
          <w:tcPr>
            <w:tcW w:w="1260" w:type="dxa"/>
            <w:gridSpan w:val="2"/>
          </w:tcPr>
          <w:p>
            <w:pPr>
              <w:widowControl/>
              <w:spacing w:line="500" w:lineRule="exact"/>
              <w:rPr>
                <w:rFonts w:ascii="宋体" w:hAnsi="宋体"/>
                <w:color w:val="000000"/>
                <w:kern w:val="0"/>
                <w:sz w:val="28"/>
                <w:szCs w:val="28"/>
              </w:rPr>
            </w:pPr>
          </w:p>
        </w:tc>
        <w:tc>
          <w:tcPr>
            <w:tcW w:w="1620" w:type="dxa"/>
            <w:gridSpan w:val="2"/>
          </w:tcPr>
          <w:p>
            <w:pPr>
              <w:widowControl/>
              <w:spacing w:line="500" w:lineRule="exact"/>
              <w:rPr>
                <w:rFonts w:ascii="宋体" w:hAnsi="宋体"/>
                <w:color w:val="000000"/>
                <w:kern w:val="0"/>
                <w:sz w:val="28"/>
                <w:szCs w:val="28"/>
              </w:rPr>
            </w:pPr>
          </w:p>
        </w:tc>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4</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 xml:space="preserve">月  </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lang w:val="en-US" w:eastAsia="zh-CN"/>
        </w:rPr>
        <w:t xml:space="preserve"> </w:t>
      </w:r>
      <w:r>
        <w:rPr>
          <w:rFonts w:hint="eastAsia" w:ascii="宋体" w:hAnsi="宋体" w:eastAsia="宋体" w:cs="Times New Roman"/>
          <w:bCs/>
          <w:color w:val="000000"/>
          <w:sz w:val="28"/>
          <w:szCs w:val="28"/>
          <w:u w:val="single"/>
        </w:rPr>
        <w:t>盐酸</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4</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年</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2"/>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3"/>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2"/>
        <w:keepNext w:val="0"/>
        <w:keepLines w:val="0"/>
        <w:kinsoku w:val="0"/>
        <w:overflowPunct w:val="0"/>
        <w:snapToGrid w:val="0"/>
        <w:spacing w:before="0" w:after="0" w:line="240" w:lineRule="auto"/>
        <w:jc w:val="both"/>
        <w:rPr>
          <w:rFonts w:eastAsia="宋体" w:cs="宋体"/>
          <w:b w:val="0"/>
          <w:color w:val="000000"/>
          <w:sz w:val="24"/>
          <w:szCs w:val="24"/>
        </w:rPr>
      </w:pPr>
    </w:p>
    <w:p>
      <w:pPr>
        <w:pStyle w:val="22"/>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2"/>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2"/>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p>
    <w:p>
      <w:pPr>
        <w:rPr>
          <w:rFonts w:ascii="宋体" w:hAnsi="宋体"/>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w:t>
      </w:r>
      <w:r>
        <w:rPr>
          <w:rFonts w:hint="eastAsia" w:ascii="宋体" w:hAnsi="宋体"/>
          <w:sz w:val="28"/>
          <w:szCs w:val="28"/>
        </w:rPr>
        <w:t>并</w:t>
      </w:r>
      <w:r>
        <w:rPr>
          <w:rFonts w:hint="eastAsia" w:ascii="宋体" w:hAnsi="宋体"/>
          <w:kern w:val="0"/>
          <w:sz w:val="28"/>
          <w:szCs w:val="28"/>
        </w:rPr>
        <w:t>加盖公章。</w:t>
      </w:r>
    </w:p>
    <w:p>
      <w:pPr>
        <w:rPr>
          <w:rFonts w:ascii="宋体" w:hAnsi="宋体"/>
          <w:color w:val="FF0000"/>
          <w:sz w:val="28"/>
          <w:szCs w:val="28"/>
        </w:rPr>
      </w:pPr>
    </w:p>
    <w:p>
      <w:pPr>
        <w:rPr>
          <w:rFonts w:hint="default" w:ascii="宋体" w:hAnsi="宋体" w:eastAsiaTheme="minorEastAsia"/>
          <w:color w:val="FF0000"/>
          <w:sz w:val="28"/>
          <w:szCs w:val="28"/>
          <w:lang w:val="en-US" w:eastAsia="zh-CN"/>
        </w:rPr>
      </w:pPr>
      <w:r>
        <w:rPr>
          <w:rFonts w:hint="eastAsia" w:ascii="宋体" w:hAnsi="宋体"/>
          <w:color w:val="FF0000"/>
          <w:sz w:val="28"/>
          <w:szCs w:val="28"/>
          <w:lang w:val="en-US" w:eastAsia="zh-CN"/>
        </w:rPr>
        <w:t>附件7：</w:t>
      </w:r>
    </w:p>
    <w:p>
      <w:pPr>
        <w:numPr>
          <w:ilvl w:val="0"/>
          <w:numId w:val="0"/>
        </w:numPr>
        <w:tabs>
          <w:tab w:val="left" w:pos="0"/>
        </w:tabs>
        <w:kinsoku w:val="0"/>
        <w:overflowPunct w:val="0"/>
        <w:autoSpaceDE/>
        <w:autoSpaceDN/>
        <w:snapToGrid w:val="0"/>
        <w:spacing w:line="440" w:lineRule="atLeast"/>
        <w:ind w:leftChars="0"/>
        <w:jc w:val="center"/>
        <w:textAlignment w:val="auto"/>
        <w:rPr>
          <w:rFonts w:hint="eastAsia" w:ascii="宋体" w:hAnsi="宋体"/>
          <w:b w:val="0"/>
          <w:bCs/>
          <w:sz w:val="24"/>
          <w:szCs w:val="24"/>
        </w:rPr>
      </w:pPr>
      <w:r>
        <w:rPr>
          <w:rFonts w:hint="eastAsia" w:ascii="宋体" w:hAnsi="宋体"/>
          <w:b/>
          <w:bCs w:val="0"/>
          <w:sz w:val="36"/>
          <w:szCs w:val="36"/>
          <w:lang w:val="en-US" w:eastAsia="zh-CN"/>
        </w:rPr>
        <w:t>谈判承诺书</w:t>
      </w:r>
    </w:p>
    <w:p>
      <w:pPr>
        <w:autoSpaceDE/>
        <w:autoSpaceDN/>
        <w:snapToGrid w:val="0"/>
        <w:textAlignment w:val="auto"/>
        <w:rPr>
          <w:rFonts w:hint="default" w:ascii="宋体" w:hAnsi="宋体" w:eastAsia="宋体"/>
          <w:b w:val="0"/>
          <w:bCs/>
          <w:sz w:val="28"/>
          <w:szCs w:val="28"/>
          <w:lang w:val="en-US" w:eastAsia="zh-CN"/>
        </w:rPr>
      </w:pPr>
    </w:p>
    <w:p>
      <w:pPr>
        <w:autoSpaceDE/>
        <w:autoSpaceDN/>
        <w:snapToGrid w:val="0"/>
        <w:textAlignment w:val="auto"/>
        <w:rPr>
          <w:rFonts w:hint="eastAsia" w:ascii="宋体" w:hAnsi="宋体"/>
          <w:b w:val="0"/>
          <w:bCs/>
          <w:sz w:val="28"/>
          <w:szCs w:val="28"/>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我司参与贵司</w:t>
      </w:r>
      <w:r>
        <w:rPr>
          <w:rFonts w:hint="eastAsia"/>
          <w:b w:val="0"/>
          <w:bCs/>
          <w:sz w:val="28"/>
          <w:szCs w:val="28"/>
          <w:u w:val="none"/>
          <w:lang w:val="en-US" w:eastAsia="zh-CN"/>
        </w:rPr>
        <w:t>盐酸采购项目报价，</w:t>
      </w:r>
      <w:r>
        <w:rPr>
          <w:rFonts w:hint="eastAsia" w:ascii="宋体" w:hAnsi="宋体"/>
          <w:b w:val="0"/>
          <w:bCs/>
          <w:sz w:val="28"/>
          <w:szCs w:val="28"/>
          <w:lang w:val="en-US" w:eastAsia="zh-CN"/>
        </w:rPr>
        <w:t>因未安排谈判代表到场， 故在我司递交的响应报价文件的基础上，承诺完全响应谈判文件技术及商务要求，最终报价维持原价不变，如本承诺与递交的响应报价文件有不一致的内容，以本承诺为准。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left"/>
        <w:textAlignment w:val="auto"/>
        <w:rPr>
          <w:rFonts w:hint="eastAsia" w:ascii="宋体" w:hAnsi="宋体"/>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b w:val="0"/>
          <w:bCs/>
          <w:sz w:val="24"/>
          <w:szCs w:val="24"/>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b w:val="0"/>
          <w:bCs/>
          <w:sz w:val="24"/>
          <w:szCs w:val="24"/>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报价单位（公章）：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法定代表人或授权代理人（签字或盖章）：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105" w:rightChars="50" w:firstLine="560" w:firstLineChars="200"/>
        <w:jc w:val="center"/>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日 期：</w:t>
      </w:r>
    </w:p>
    <w:p>
      <w:pPr>
        <w:rPr>
          <w:rFonts w:ascii="宋体" w:hAnsi="宋体"/>
          <w:color w:val="FF0000"/>
          <w:sz w:val="28"/>
          <w:szCs w:val="28"/>
        </w:rPr>
      </w:pP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hint="eastAsia" w:ascii="宋体" w:hAnsi="宋体"/>
          <w:sz w:val="28"/>
          <w:szCs w:val="28"/>
          <w:lang w:val="en-US" w:eastAsia="zh-CN"/>
        </w:rPr>
        <w:t>8</w:t>
      </w:r>
      <w:r>
        <w:rPr>
          <w:rFonts w:hint="eastAsia" w:ascii="宋体" w:hAnsi="宋体"/>
          <w:sz w:val="28"/>
          <w:szCs w:val="28"/>
        </w:rPr>
        <w:t>：报价</w:t>
      </w:r>
      <w:r>
        <w:rPr>
          <w:rFonts w:ascii="宋体" w:hAnsi="宋体"/>
          <w:sz w:val="28"/>
          <w:szCs w:val="28"/>
        </w:rPr>
        <w:t>方认为需要提供的其他资料</w:t>
      </w:r>
      <w:r>
        <w:rPr>
          <w:rFonts w:hint="eastAsia" w:ascii="宋体" w:hAnsi="宋体"/>
          <w:sz w:val="28"/>
          <w:szCs w:val="28"/>
        </w:rPr>
        <w:t>并</w:t>
      </w:r>
      <w:r>
        <w:rPr>
          <w:rFonts w:hint="eastAsia" w:ascii="宋体" w:hAnsi="宋体"/>
          <w:kern w:val="0"/>
          <w:sz w:val="28"/>
          <w:szCs w:val="28"/>
        </w:rPr>
        <w:t>加盖公章。</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8">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9">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0">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1">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0"/>
  </w:num>
  <w:num w:numId="4">
    <w:abstractNumId w:val="3"/>
  </w:num>
  <w:num w:numId="5">
    <w:abstractNumId w:val="6"/>
  </w:num>
  <w:num w:numId="6">
    <w:abstractNumId w:val="8"/>
  </w:num>
  <w:num w:numId="7">
    <w:abstractNumId w:val="1"/>
  </w:num>
  <w:num w:numId="8">
    <w:abstractNumId w:val="7"/>
  </w:num>
  <w:num w:numId="9">
    <w:abstractNumId w:val="11"/>
  </w:num>
  <w:num w:numId="10">
    <w:abstractNumId w:val="9"/>
  </w:num>
  <w:num w:numId="11">
    <w:abstractNumId w:val="2"/>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02373760-6a40-4ede-9c27-451391b946b9"/>
  </w:docVars>
  <w:rsids>
    <w:rsidRoot w:val="003E3D3F"/>
    <w:rsid w:val="00015014"/>
    <w:rsid w:val="00033360"/>
    <w:rsid w:val="000357D4"/>
    <w:rsid w:val="00044BCD"/>
    <w:rsid w:val="00044FED"/>
    <w:rsid w:val="00050D8D"/>
    <w:rsid w:val="00052CF8"/>
    <w:rsid w:val="00053E6F"/>
    <w:rsid w:val="000830ED"/>
    <w:rsid w:val="00092A65"/>
    <w:rsid w:val="000A243A"/>
    <w:rsid w:val="000C132A"/>
    <w:rsid w:val="000D23B2"/>
    <w:rsid w:val="000E04D9"/>
    <w:rsid w:val="000E0533"/>
    <w:rsid w:val="000F6A8B"/>
    <w:rsid w:val="00112B27"/>
    <w:rsid w:val="00117477"/>
    <w:rsid w:val="00133D0C"/>
    <w:rsid w:val="00160687"/>
    <w:rsid w:val="00164CF9"/>
    <w:rsid w:val="00180261"/>
    <w:rsid w:val="00186D1E"/>
    <w:rsid w:val="0019046A"/>
    <w:rsid w:val="00190E48"/>
    <w:rsid w:val="001A4EC1"/>
    <w:rsid w:val="001B143F"/>
    <w:rsid w:val="001C4C0F"/>
    <w:rsid w:val="001D5161"/>
    <w:rsid w:val="001E6631"/>
    <w:rsid w:val="001E6B63"/>
    <w:rsid w:val="001E6CAF"/>
    <w:rsid w:val="001E6CBB"/>
    <w:rsid w:val="001E7F48"/>
    <w:rsid w:val="002036D8"/>
    <w:rsid w:val="00214DF9"/>
    <w:rsid w:val="00230A4C"/>
    <w:rsid w:val="002371B1"/>
    <w:rsid w:val="0024527F"/>
    <w:rsid w:val="00262D0E"/>
    <w:rsid w:val="00296EC2"/>
    <w:rsid w:val="002B0321"/>
    <w:rsid w:val="002B4070"/>
    <w:rsid w:val="002B5CD3"/>
    <w:rsid w:val="002C3BD0"/>
    <w:rsid w:val="002D25DE"/>
    <w:rsid w:val="002D5C62"/>
    <w:rsid w:val="002E1B76"/>
    <w:rsid w:val="002E4F77"/>
    <w:rsid w:val="002F1FB4"/>
    <w:rsid w:val="002F7762"/>
    <w:rsid w:val="00302A94"/>
    <w:rsid w:val="003056D6"/>
    <w:rsid w:val="00317485"/>
    <w:rsid w:val="00317B2D"/>
    <w:rsid w:val="0033640D"/>
    <w:rsid w:val="00341923"/>
    <w:rsid w:val="00346A14"/>
    <w:rsid w:val="00350970"/>
    <w:rsid w:val="00353232"/>
    <w:rsid w:val="00356F59"/>
    <w:rsid w:val="00371FD4"/>
    <w:rsid w:val="0038677E"/>
    <w:rsid w:val="00392646"/>
    <w:rsid w:val="003A705C"/>
    <w:rsid w:val="003C1CD2"/>
    <w:rsid w:val="003E3D3F"/>
    <w:rsid w:val="003E410F"/>
    <w:rsid w:val="003E7664"/>
    <w:rsid w:val="00402DF4"/>
    <w:rsid w:val="00403E53"/>
    <w:rsid w:val="00411D01"/>
    <w:rsid w:val="00416BF4"/>
    <w:rsid w:val="00427268"/>
    <w:rsid w:val="00440A98"/>
    <w:rsid w:val="00452D89"/>
    <w:rsid w:val="00463794"/>
    <w:rsid w:val="0046621F"/>
    <w:rsid w:val="004C0DEB"/>
    <w:rsid w:val="004C46A1"/>
    <w:rsid w:val="004D6FED"/>
    <w:rsid w:val="004E131F"/>
    <w:rsid w:val="004E6E83"/>
    <w:rsid w:val="004F1D6E"/>
    <w:rsid w:val="004F2391"/>
    <w:rsid w:val="004F2556"/>
    <w:rsid w:val="005136C5"/>
    <w:rsid w:val="0051432F"/>
    <w:rsid w:val="0052402D"/>
    <w:rsid w:val="005530F3"/>
    <w:rsid w:val="0056593C"/>
    <w:rsid w:val="00571FC3"/>
    <w:rsid w:val="005733C1"/>
    <w:rsid w:val="00591996"/>
    <w:rsid w:val="00592DF1"/>
    <w:rsid w:val="005975E6"/>
    <w:rsid w:val="00597CC3"/>
    <w:rsid w:val="005B0098"/>
    <w:rsid w:val="005B766B"/>
    <w:rsid w:val="005E7164"/>
    <w:rsid w:val="00613635"/>
    <w:rsid w:val="00623387"/>
    <w:rsid w:val="00631BDF"/>
    <w:rsid w:val="00641159"/>
    <w:rsid w:val="0064342C"/>
    <w:rsid w:val="006A09AD"/>
    <w:rsid w:val="006C1777"/>
    <w:rsid w:val="00701797"/>
    <w:rsid w:val="007168D6"/>
    <w:rsid w:val="00735CD2"/>
    <w:rsid w:val="00743B22"/>
    <w:rsid w:val="00754E4D"/>
    <w:rsid w:val="00760B20"/>
    <w:rsid w:val="00766589"/>
    <w:rsid w:val="00772A2E"/>
    <w:rsid w:val="00775022"/>
    <w:rsid w:val="00790D46"/>
    <w:rsid w:val="007A1322"/>
    <w:rsid w:val="007A3A4A"/>
    <w:rsid w:val="007C6434"/>
    <w:rsid w:val="007D5EDD"/>
    <w:rsid w:val="00805F52"/>
    <w:rsid w:val="0081617D"/>
    <w:rsid w:val="008506AF"/>
    <w:rsid w:val="00855D03"/>
    <w:rsid w:val="0086424F"/>
    <w:rsid w:val="00864DDC"/>
    <w:rsid w:val="00872396"/>
    <w:rsid w:val="00886013"/>
    <w:rsid w:val="00897F6E"/>
    <w:rsid w:val="008A361A"/>
    <w:rsid w:val="008B0E38"/>
    <w:rsid w:val="008C4558"/>
    <w:rsid w:val="008C4644"/>
    <w:rsid w:val="008C4D54"/>
    <w:rsid w:val="008D11F7"/>
    <w:rsid w:val="008F07D4"/>
    <w:rsid w:val="00910A2C"/>
    <w:rsid w:val="00917815"/>
    <w:rsid w:val="009305FD"/>
    <w:rsid w:val="00933AA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3080"/>
    <w:rsid w:val="00A47714"/>
    <w:rsid w:val="00A5753B"/>
    <w:rsid w:val="00A61868"/>
    <w:rsid w:val="00A63A98"/>
    <w:rsid w:val="00A84E15"/>
    <w:rsid w:val="00AB118A"/>
    <w:rsid w:val="00AB3DE8"/>
    <w:rsid w:val="00AC045E"/>
    <w:rsid w:val="00AC34EF"/>
    <w:rsid w:val="00AE1E67"/>
    <w:rsid w:val="00B007E5"/>
    <w:rsid w:val="00B00A9A"/>
    <w:rsid w:val="00B2308F"/>
    <w:rsid w:val="00B3060E"/>
    <w:rsid w:val="00B35DAC"/>
    <w:rsid w:val="00B837F8"/>
    <w:rsid w:val="00B90072"/>
    <w:rsid w:val="00B91873"/>
    <w:rsid w:val="00B9651A"/>
    <w:rsid w:val="00BA16D3"/>
    <w:rsid w:val="00BB3ED4"/>
    <w:rsid w:val="00BB4208"/>
    <w:rsid w:val="00BB49AF"/>
    <w:rsid w:val="00BB4F50"/>
    <w:rsid w:val="00BC2A52"/>
    <w:rsid w:val="00BD0EB0"/>
    <w:rsid w:val="00BE7BBD"/>
    <w:rsid w:val="00BF2BA4"/>
    <w:rsid w:val="00C00FE4"/>
    <w:rsid w:val="00C02B41"/>
    <w:rsid w:val="00C538B1"/>
    <w:rsid w:val="00C71248"/>
    <w:rsid w:val="00C777D6"/>
    <w:rsid w:val="00C847BF"/>
    <w:rsid w:val="00CB1CF9"/>
    <w:rsid w:val="00CC1D06"/>
    <w:rsid w:val="00CC3C64"/>
    <w:rsid w:val="00CD0194"/>
    <w:rsid w:val="00CE2BE3"/>
    <w:rsid w:val="00CF1813"/>
    <w:rsid w:val="00CF55FB"/>
    <w:rsid w:val="00D04156"/>
    <w:rsid w:val="00D05FE1"/>
    <w:rsid w:val="00D31227"/>
    <w:rsid w:val="00D41A71"/>
    <w:rsid w:val="00D43597"/>
    <w:rsid w:val="00D45459"/>
    <w:rsid w:val="00D513A8"/>
    <w:rsid w:val="00D516F6"/>
    <w:rsid w:val="00D55682"/>
    <w:rsid w:val="00D819C9"/>
    <w:rsid w:val="00D92F5C"/>
    <w:rsid w:val="00D94737"/>
    <w:rsid w:val="00D94F12"/>
    <w:rsid w:val="00D95B63"/>
    <w:rsid w:val="00DA32C2"/>
    <w:rsid w:val="00DA7CC5"/>
    <w:rsid w:val="00DB0E72"/>
    <w:rsid w:val="00DB2DF2"/>
    <w:rsid w:val="00DB5061"/>
    <w:rsid w:val="00DC3302"/>
    <w:rsid w:val="00DD7F78"/>
    <w:rsid w:val="00DE6DDE"/>
    <w:rsid w:val="00E2265D"/>
    <w:rsid w:val="00E2333D"/>
    <w:rsid w:val="00E51A6A"/>
    <w:rsid w:val="00E5372B"/>
    <w:rsid w:val="00E60B2C"/>
    <w:rsid w:val="00E64729"/>
    <w:rsid w:val="00E66AA8"/>
    <w:rsid w:val="00E81F52"/>
    <w:rsid w:val="00E87188"/>
    <w:rsid w:val="00E9368E"/>
    <w:rsid w:val="00EB11B0"/>
    <w:rsid w:val="00EB45C9"/>
    <w:rsid w:val="00ED5996"/>
    <w:rsid w:val="00ED67D9"/>
    <w:rsid w:val="00ED6E3A"/>
    <w:rsid w:val="00EE173F"/>
    <w:rsid w:val="00EF427D"/>
    <w:rsid w:val="00F05622"/>
    <w:rsid w:val="00F07AD4"/>
    <w:rsid w:val="00F105D8"/>
    <w:rsid w:val="00F14845"/>
    <w:rsid w:val="00F16CF2"/>
    <w:rsid w:val="00F16E67"/>
    <w:rsid w:val="00F4257C"/>
    <w:rsid w:val="00F42D8E"/>
    <w:rsid w:val="00F51E70"/>
    <w:rsid w:val="00F57E07"/>
    <w:rsid w:val="00F610E1"/>
    <w:rsid w:val="00F648B3"/>
    <w:rsid w:val="00F672D2"/>
    <w:rsid w:val="00F80D00"/>
    <w:rsid w:val="00F81CB9"/>
    <w:rsid w:val="00F8635A"/>
    <w:rsid w:val="00F90AD2"/>
    <w:rsid w:val="00F97525"/>
    <w:rsid w:val="00FA102D"/>
    <w:rsid w:val="00FC0FEC"/>
    <w:rsid w:val="00FC107A"/>
    <w:rsid w:val="00FC1C9B"/>
    <w:rsid w:val="00FD7307"/>
    <w:rsid w:val="012D3BA2"/>
    <w:rsid w:val="03954232"/>
    <w:rsid w:val="084566C9"/>
    <w:rsid w:val="08DD4532"/>
    <w:rsid w:val="0C0F1C7C"/>
    <w:rsid w:val="12F004C5"/>
    <w:rsid w:val="15BD250B"/>
    <w:rsid w:val="16B40EBF"/>
    <w:rsid w:val="191C04AF"/>
    <w:rsid w:val="1A8753DE"/>
    <w:rsid w:val="1A8D34FA"/>
    <w:rsid w:val="229659DB"/>
    <w:rsid w:val="2804374F"/>
    <w:rsid w:val="29B21C60"/>
    <w:rsid w:val="2B5C615D"/>
    <w:rsid w:val="32885B4D"/>
    <w:rsid w:val="36A87B5F"/>
    <w:rsid w:val="378E7FA1"/>
    <w:rsid w:val="411B2C3C"/>
    <w:rsid w:val="41894C7C"/>
    <w:rsid w:val="480C3CA9"/>
    <w:rsid w:val="4D0749BE"/>
    <w:rsid w:val="50D81749"/>
    <w:rsid w:val="513C2AB1"/>
    <w:rsid w:val="51BB449A"/>
    <w:rsid w:val="55030648"/>
    <w:rsid w:val="5891420B"/>
    <w:rsid w:val="58DF2618"/>
    <w:rsid w:val="5B8A4040"/>
    <w:rsid w:val="5F0432AA"/>
    <w:rsid w:val="74C96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1"/>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4">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6">
    <w:name w:val="annotation text"/>
    <w:basedOn w:val="1"/>
    <w:link w:val="25"/>
    <w:semiHidden/>
    <w:unhideWhenUsed/>
    <w:qFormat/>
    <w:uiPriority w:val="99"/>
    <w:pPr>
      <w:jc w:val="left"/>
    </w:pPr>
  </w:style>
  <w:style w:type="paragraph" w:styleId="7">
    <w:name w:val="Plain Text"/>
    <w:basedOn w:val="1"/>
    <w:qFormat/>
    <w:uiPriority w:val="99"/>
    <w:pPr>
      <w:autoSpaceDE/>
      <w:autoSpaceDN/>
      <w:adjustRightInd/>
      <w:spacing w:line="240" w:lineRule="auto"/>
      <w:textAlignment w:val="auto"/>
    </w:pPr>
    <w:rPr>
      <w:rFonts w:ascii="宋体" w:hAnsi="Courier New"/>
      <w:kern w:val="2"/>
    </w:rPr>
  </w:style>
  <w:style w:type="paragraph" w:styleId="8">
    <w:name w:val="Balloon Text"/>
    <w:basedOn w:val="1"/>
    <w:link w:val="27"/>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3"/>
    <w:qFormat/>
    <w:uiPriority w:val="0"/>
    <w:pPr>
      <w:spacing w:before="240" w:after="60"/>
      <w:jc w:val="center"/>
      <w:outlineLvl w:val="0"/>
    </w:pPr>
    <w:rPr>
      <w:rFonts w:ascii="Cambria" w:hAnsi="Cambria" w:cs="Times New Roman"/>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2 Char"/>
    <w:basedOn w:val="15"/>
    <w:link w:val="3"/>
    <w:qFormat/>
    <w:uiPriority w:val="0"/>
    <w:rPr>
      <w:rFonts w:ascii="Arial" w:hAnsi="Arial" w:eastAsia="黑体" w:cs="Times New Roman"/>
      <w:b/>
      <w:spacing w:val="10"/>
      <w:kern w:val="0"/>
      <w:sz w:val="32"/>
      <w:szCs w:val="20"/>
    </w:rPr>
  </w:style>
  <w:style w:type="paragraph" w:customStyle="1" w:styleId="22">
    <w:name w:val="标题 2 居中"/>
    <w:basedOn w:val="3"/>
    <w:qFormat/>
    <w:uiPriority w:val="0"/>
    <w:pPr>
      <w:jc w:val="center"/>
    </w:pPr>
    <w:rPr>
      <w:rFonts w:ascii="宋体" w:hAnsi="宋体"/>
    </w:rPr>
  </w:style>
  <w:style w:type="character" w:customStyle="1" w:styleId="23">
    <w:name w:val="标题 Char"/>
    <w:link w:val="11"/>
    <w:qFormat/>
    <w:uiPriority w:val="0"/>
    <w:rPr>
      <w:rFonts w:ascii="Cambria" w:hAnsi="Cambria" w:cs="Times New Roman"/>
      <w:b/>
      <w:bCs/>
      <w:sz w:val="32"/>
      <w:szCs w:val="32"/>
    </w:rPr>
  </w:style>
  <w:style w:type="character" w:customStyle="1" w:styleId="24">
    <w:name w:val="标题 Char1"/>
    <w:basedOn w:val="15"/>
    <w:qFormat/>
    <w:uiPriority w:val="10"/>
    <w:rPr>
      <w:rFonts w:eastAsia="宋体" w:asciiTheme="majorHAnsi" w:hAnsiTheme="majorHAnsi" w:cstheme="majorBidi"/>
      <w:b/>
      <w:bCs/>
      <w:sz w:val="32"/>
      <w:szCs w:val="32"/>
    </w:rPr>
  </w:style>
  <w:style w:type="character" w:customStyle="1" w:styleId="25">
    <w:name w:val="批注文字 Char"/>
    <w:basedOn w:val="15"/>
    <w:link w:val="6"/>
    <w:semiHidden/>
    <w:qFormat/>
    <w:uiPriority w:val="99"/>
  </w:style>
  <w:style w:type="character" w:customStyle="1" w:styleId="26">
    <w:name w:val="批注主题 Char"/>
    <w:basedOn w:val="25"/>
    <w:link w:val="12"/>
    <w:semiHidden/>
    <w:qFormat/>
    <w:uiPriority w:val="99"/>
    <w:rPr>
      <w:b/>
      <w:bCs/>
    </w:rPr>
  </w:style>
  <w:style w:type="character" w:customStyle="1" w:styleId="27">
    <w:name w:val="批注框文本 Char"/>
    <w:basedOn w:val="15"/>
    <w:link w:val="8"/>
    <w:semiHidden/>
    <w:qFormat/>
    <w:uiPriority w:val="99"/>
    <w:rPr>
      <w:sz w:val="18"/>
      <w:szCs w:val="18"/>
    </w:rPr>
  </w:style>
  <w:style w:type="paragraph" w:customStyle="1" w:styleId="28">
    <w:name w:val="p0"/>
    <w:basedOn w:val="1"/>
    <w:qFormat/>
    <w:uiPriority w:val="0"/>
    <w:pPr>
      <w:widowControl/>
      <w:jc w:val="left"/>
    </w:pPr>
    <w:rPr>
      <w:rFonts w:ascii="宋体" w:hAnsi="宋体" w:eastAsia="宋体" w:cs="宋体"/>
      <w:kern w:val="0"/>
      <w:sz w:val="24"/>
      <w:szCs w:val="24"/>
    </w:rPr>
  </w:style>
  <w:style w:type="character" w:customStyle="1" w:styleId="29">
    <w:name w:val="标题 3 Char"/>
    <w:basedOn w:val="15"/>
    <w:link w:val="4"/>
    <w:qFormat/>
    <w:uiPriority w:val="0"/>
    <w:rPr>
      <w:rFonts w:ascii="Times New Roman" w:hAnsi="Times New Roman" w:eastAsia="宋体" w:cs="Times New Roman"/>
      <w:b/>
      <w:bCs/>
      <w:sz w:val="32"/>
      <w:szCs w:val="3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7394-456D-4842-A35D-85A91B515EEF}">
  <ds:schemaRefs/>
</ds:datastoreItem>
</file>

<file path=docProps/app.xml><?xml version="1.0" encoding="utf-8"?>
<Properties xmlns="http://schemas.openxmlformats.org/officeDocument/2006/extended-properties" xmlns:vt="http://schemas.openxmlformats.org/officeDocument/2006/docPropsVTypes">
  <Template>Normal</Template>
  <Pages>25</Pages>
  <Words>9973</Words>
  <Characters>10466</Characters>
  <Lines>52</Lines>
  <Paragraphs>14</Paragraphs>
  <TotalTime>49</TotalTime>
  <ScaleCrop>false</ScaleCrop>
  <LinksUpToDate>false</LinksUpToDate>
  <CharactersWithSpaces>10955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2021-12-07T02:09:00Z</dcterms:created>
  <dc:creator>陈焰</dc:creator>
  <cp:lastModifiedBy>dell</cp:lastModifiedBy>
  <cp:lastPrinted>2024-05-31T00:29:00Z</cp:lastPrinted>
  <dcterms:modified xsi:type="dcterms:W3CDTF">2024-11-21T07:31:14Z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245D59AFF9724216B068841E1FAB5715_13</vt:lpwstr>
  </property>
</Properties>
</file>