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b/>
          <w:sz w:val="36"/>
          <w:szCs w:val="36"/>
        </w:rPr>
      </w:pPr>
    </w:p>
    <w:p>
      <w:pPr>
        <w:jc w:val="center"/>
        <w:rPr>
          <w:sz w:val="36"/>
          <w:szCs w:val="36"/>
        </w:rPr>
      </w:pPr>
      <w:r>
        <w:rPr>
          <w:rFonts w:hint="eastAsia"/>
          <w:b/>
          <w:sz w:val="36"/>
          <w:szCs w:val="36"/>
        </w:rPr>
        <w:t>同集热</w:t>
      </w:r>
      <w:r>
        <w:rPr>
          <w:b/>
          <w:sz w:val="36"/>
          <w:szCs w:val="36"/>
        </w:rPr>
        <w:t>电</w:t>
      </w:r>
      <w:r>
        <w:rPr>
          <w:rFonts w:hint="eastAsia"/>
          <w:b/>
          <w:sz w:val="36"/>
          <w:szCs w:val="36"/>
        </w:rPr>
        <w:t>盐酸采购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w:t>
      </w:r>
      <w:r>
        <w:rPr>
          <w:sz w:val="36"/>
          <w:szCs w:val="36"/>
        </w:rPr>
        <w:t>HFHB-W2022-</w:t>
      </w:r>
      <w:r>
        <w:rPr>
          <w:rFonts w:hint="eastAsia"/>
          <w:sz w:val="36"/>
          <w:szCs w:val="36"/>
        </w:rPr>
        <w:t>43</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2022</w:t>
      </w:r>
      <w:r>
        <w:rPr>
          <w:rFonts w:hint="eastAsia"/>
          <w:sz w:val="36"/>
          <w:szCs w:val="36"/>
        </w:rPr>
        <w:t>年12月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w:t>
      </w:r>
      <w:r>
        <w:rPr>
          <w:rFonts w:hint="eastAsia" w:ascii="宋体" w:hAnsi="宋体" w:eastAsia="宋体" w:cs="宋体"/>
          <w:color w:val="3A3A3A"/>
          <w:kern w:val="0"/>
          <w:sz w:val="24"/>
          <w:szCs w:val="24"/>
        </w:rPr>
        <w:t>）生产需求，现进行</w:t>
      </w:r>
      <w:r>
        <w:rPr>
          <w:rFonts w:ascii="宋体" w:hAnsi="宋体" w:eastAsia="宋体" w:cs="宋体"/>
          <w:b/>
          <w:color w:val="3A3A3A"/>
          <w:kern w:val="0"/>
          <w:sz w:val="24"/>
          <w:szCs w:val="24"/>
          <w:u w:val="single"/>
        </w:rPr>
        <w:t>202</w:t>
      </w:r>
      <w:r>
        <w:rPr>
          <w:rFonts w:hint="eastAsia" w:ascii="宋体" w:hAnsi="宋体" w:eastAsia="宋体" w:cs="宋体"/>
          <w:b/>
          <w:color w:val="3A3A3A"/>
          <w:kern w:val="0"/>
          <w:sz w:val="24"/>
          <w:szCs w:val="24"/>
          <w:u w:val="single"/>
        </w:rPr>
        <w:t>3年1月-2023年6月</w:t>
      </w:r>
      <w:r>
        <w:rPr>
          <w:rFonts w:hint="eastAsia" w:ascii="宋体" w:hAnsi="宋体" w:eastAsia="宋体" w:cs="宋体"/>
          <w:color w:val="3A3A3A"/>
          <w:kern w:val="0"/>
          <w:sz w:val="24"/>
          <w:szCs w:val="24"/>
        </w:rPr>
        <w:t>盐酸竞争性谈判采购，希望具备长期供应能力的供应商，按照有关采购规定和我司的要求，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同集</w:t>
      </w:r>
      <w:r>
        <w:rPr>
          <w:rFonts w:ascii="宋体" w:hAnsi="宋体" w:eastAsia="宋体" w:cs="宋体"/>
          <w:color w:val="3A3A3A"/>
          <w:kern w:val="0"/>
          <w:sz w:val="24"/>
          <w:szCs w:val="24"/>
        </w:rPr>
        <w:t>热</w:t>
      </w:r>
      <w:r>
        <w:rPr>
          <w:rFonts w:hint="eastAsia" w:ascii="宋体" w:hAnsi="宋体" w:eastAsia="宋体" w:cs="宋体"/>
          <w:color w:val="3A3A3A"/>
          <w:kern w:val="0"/>
          <w:sz w:val="24"/>
          <w:szCs w:val="24"/>
        </w:rPr>
        <w:t>盐酸</w:t>
      </w:r>
      <w:r>
        <w:rPr>
          <w:rFonts w:ascii="宋体" w:hAnsi="宋体" w:eastAsia="宋体" w:cs="宋体"/>
          <w:color w:val="3A3A3A"/>
          <w:kern w:val="0"/>
          <w:sz w:val="24"/>
          <w:szCs w:val="24"/>
        </w:rPr>
        <w:t>采购</w:t>
      </w:r>
    </w:p>
    <w:p>
      <w:pPr>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Theme="minorEastAsia" w:hAnsiTheme="minorEastAsia"/>
          <w:sz w:val="24"/>
          <w:szCs w:val="24"/>
        </w:rPr>
        <w:t>厦门市同安区美禾三路399号</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*2.2</w:t>
      </w:r>
      <w:r>
        <w:rPr>
          <w:rFonts w:hint="eastAsia" w:ascii="宋体" w:hAnsi="宋体" w:eastAsia="宋体"/>
          <w:bCs/>
          <w:sz w:val="24"/>
          <w:szCs w:val="24"/>
        </w:rPr>
        <w:t>报价方必须提供法定代表人身份证复印件并加盖公章，若非企业法定代表人签字报价需提交法人授权委托书。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w:t>
      </w:r>
      <w:r>
        <w:rPr>
          <w:rFonts w:hint="eastAsia" w:ascii="宋体" w:hAnsi="宋体" w:eastAsia="宋体"/>
          <w:bCs/>
          <w:sz w:val="24"/>
          <w:szCs w:val="24"/>
        </w:rPr>
        <w:t>2.3</w:t>
      </w:r>
      <w:r>
        <w:rPr>
          <w:rFonts w:hint="eastAsia" w:ascii="宋体" w:hAnsi="宋体" w:eastAsia="宋体"/>
          <w:bCs/>
          <w:kern w:val="0"/>
          <w:sz w:val="24"/>
          <w:szCs w:val="24"/>
        </w:rPr>
        <w:t>报价方须提供</w:t>
      </w:r>
      <w:r>
        <w:rPr>
          <w:rFonts w:hint="eastAsia" w:ascii="宋体" w:hAnsi="宋体" w:cs="宋体"/>
          <w:kern w:val="0"/>
          <w:sz w:val="24"/>
          <w:szCs w:val="24"/>
        </w:rPr>
        <w:t>危险化学品经营许可证</w:t>
      </w:r>
      <w:r>
        <w:rPr>
          <w:rFonts w:hint="eastAsia" w:ascii="宋体" w:hAnsi="宋体" w:eastAsia="宋体"/>
          <w:bCs/>
          <w:sz w:val="24"/>
          <w:szCs w:val="24"/>
        </w:rPr>
        <w:t>复印件并加盖公章</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伍仟元整（¥5</w:t>
      </w:r>
      <w:r>
        <w:rPr>
          <w:rFonts w:ascii="宋体" w:hAnsi="宋体" w:eastAsia="宋体" w:cs="宋体"/>
          <w:b/>
          <w:kern w:val="0"/>
          <w:sz w:val="24"/>
          <w:szCs w:val="24"/>
        </w:rPr>
        <w:t>000.00）</w:t>
      </w:r>
      <w:r>
        <w:rPr>
          <w:rFonts w:hint="eastAsia" w:ascii="宋体" w:hAnsi="宋体" w:eastAsia="宋体" w:cs="宋体"/>
          <w:kern w:val="0"/>
          <w:sz w:val="24"/>
          <w:szCs w:val="24"/>
        </w:rPr>
        <w:t>，</w:t>
      </w:r>
      <w:r>
        <w:rPr>
          <w:rFonts w:hint="eastAsia" w:ascii="宋体" w:hAnsi="宋体" w:eastAsia="宋体"/>
          <w:color w:val="000000" w:themeColor="text1"/>
          <w:sz w:val="24"/>
          <w:szCs w:val="24"/>
        </w:rPr>
        <w:t>未按规定提交谈判保证金的报价文件，属无效</w:t>
      </w:r>
      <w:r>
        <w:rPr>
          <w:rFonts w:ascii="宋体" w:hAnsi="宋体" w:eastAsia="宋体"/>
          <w:color w:val="000000" w:themeColor="text1"/>
          <w:sz w:val="24"/>
          <w:szCs w:val="24"/>
        </w:rPr>
        <w:t>报价文件，将不予</w:t>
      </w:r>
      <w:r>
        <w:rPr>
          <w:rFonts w:hint="eastAsia" w:ascii="宋体" w:hAnsi="宋体" w:eastAsia="宋体"/>
          <w:color w:val="000000" w:themeColor="text1"/>
          <w:sz w:val="24"/>
          <w:szCs w:val="24"/>
        </w:rPr>
        <w:t>开标</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2不接受现场缴款，只能到银行以现金或转账方式缴款。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3.3请在银行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“用途”一栏中写明“同集盐酸谈判保证金”字样。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4谈判保证金收款单位：厦门海发环保能源股份有限公司</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 xml:space="preserve">账号：35101561001052501775   </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开户行：中国建设银行厦门市分行厦禾支行</w:t>
      </w:r>
    </w:p>
    <w:p>
      <w:pPr>
        <w:widowControl/>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Cs/>
          <w:sz w:val="24"/>
          <w:szCs w:val="24"/>
        </w:rPr>
      </w:pPr>
      <w:r>
        <w:rPr>
          <w:rFonts w:ascii="宋体" w:hAnsi="宋体" w:eastAsia="宋体" w:cs="Times New Roman"/>
          <w:sz w:val="24"/>
          <w:szCs w:val="24"/>
        </w:rPr>
        <w:t>3.</w:t>
      </w:r>
      <w:r>
        <w:rPr>
          <w:rFonts w:hint="eastAsia" w:ascii="宋体" w:hAnsi="宋体" w:eastAsia="宋体" w:cs="Times New Roman"/>
          <w:sz w:val="24"/>
          <w:szCs w:val="24"/>
        </w:rPr>
        <w:t>5谈判保证金缴交截止时间：202</w:t>
      </w:r>
      <w:r>
        <w:rPr>
          <w:rFonts w:ascii="宋体" w:hAnsi="宋体" w:eastAsia="宋体" w:cs="Times New Roman"/>
          <w:sz w:val="24"/>
          <w:szCs w:val="24"/>
        </w:rPr>
        <w:t>2</w:t>
      </w:r>
      <w:r>
        <w:rPr>
          <w:rFonts w:hint="eastAsia" w:ascii="宋体" w:hAnsi="宋体" w:eastAsia="宋体" w:cs="Times New Roman"/>
          <w:sz w:val="24"/>
          <w:szCs w:val="24"/>
        </w:rPr>
        <w:t>年</w:t>
      </w:r>
      <w:r>
        <w:rPr>
          <w:rFonts w:hint="eastAsia" w:ascii="宋体" w:hAnsi="宋体" w:eastAsia="宋体" w:cs="Times New Roman"/>
          <w:sz w:val="24"/>
          <w:szCs w:val="24"/>
          <w:lang w:val="en-US" w:eastAsia="zh-CN"/>
        </w:rPr>
        <w:t>12</w:t>
      </w:r>
      <w:r>
        <w:rPr>
          <w:rFonts w:ascii="宋体" w:hAnsi="宋体" w:eastAsia="宋体" w:cs="Times New Roman"/>
          <w:sz w:val="24"/>
          <w:szCs w:val="24"/>
        </w:rPr>
        <w:t>月</w:t>
      </w:r>
      <w:r>
        <w:rPr>
          <w:rFonts w:hint="eastAsia" w:ascii="宋体" w:hAnsi="宋体" w:eastAsia="宋体" w:cs="Times New Roman"/>
          <w:sz w:val="24"/>
          <w:szCs w:val="24"/>
          <w:lang w:val="en-US" w:eastAsia="zh-CN"/>
        </w:rPr>
        <w:t>13</w:t>
      </w:r>
      <w:r>
        <w:rPr>
          <w:rFonts w:ascii="宋体" w:hAnsi="宋体" w:eastAsia="宋体" w:cs="Times New Roman"/>
          <w:sz w:val="24"/>
          <w:szCs w:val="24"/>
        </w:rPr>
        <w:t>日</w:t>
      </w:r>
      <w:r>
        <w:rPr>
          <w:rFonts w:hint="eastAsia" w:ascii="宋体" w:hAnsi="宋体" w:eastAsia="宋体" w:cs="Times New Roman"/>
          <w:sz w:val="24"/>
          <w:szCs w:val="24"/>
        </w:rPr>
        <w:t>10:</w:t>
      </w:r>
      <w:r>
        <w:rPr>
          <w:rFonts w:hint="eastAsia" w:ascii="宋体" w:hAnsi="宋体" w:eastAsia="宋体"/>
          <w:bCs/>
          <w:sz w:val="24"/>
          <w:szCs w:val="24"/>
          <w:lang w:val="en-US" w:eastAsia="zh-CN"/>
        </w:rPr>
        <w:t>3</w:t>
      </w:r>
      <w:bookmarkStart w:id="72" w:name="_GoBack"/>
      <w:bookmarkEnd w:id="72"/>
      <w:r>
        <w:rPr>
          <w:rFonts w:hint="eastAsia" w:ascii="宋体" w:hAnsi="宋体" w:eastAsia="宋体"/>
          <w:bCs/>
          <w:sz w:val="24"/>
          <w:szCs w:val="24"/>
        </w:rPr>
        <w:t>0。</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bCs/>
          <w:kern w:val="0"/>
          <w:sz w:val="24"/>
          <w:szCs w:val="24"/>
          <w:lang w:val="en-US" w:eastAsia="zh-CN"/>
        </w:rPr>
        <w:t>306室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cs="Times New Roman"/>
          <w:sz w:val="24"/>
          <w:szCs w:val="24"/>
        </w:rPr>
        <w:t>202</w:t>
      </w:r>
      <w:r>
        <w:rPr>
          <w:rFonts w:ascii="宋体" w:hAnsi="宋体" w:eastAsia="宋体" w:cs="Times New Roman"/>
          <w:sz w:val="24"/>
          <w:szCs w:val="24"/>
        </w:rPr>
        <w:t>2</w:t>
      </w:r>
      <w:r>
        <w:rPr>
          <w:rFonts w:hint="eastAsia" w:ascii="宋体" w:hAnsi="宋体" w:eastAsia="宋体" w:cs="Times New Roman"/>
          <w:sz w:val="24"/>
          <w:szCs w:val="24"/>
        </w:rPr>
        <w:t>年</w:t>
      </w:r>
      <w:r>
        <w:rPr>
          <w:rFonts w:hint="eastAsia" w:ascii="宋体" w:hAnsi="宋体" w:eastAsia="宋体" w:cs="Times New Roman"/>
          <w:sz w:val="24"/>
          <w:szCs w:val="24"/>
          <w:lang w:val="en-US" w:eastAsia="zh-CN"/>
        </w:rPr>
        <w:t>12</w:t>
      </w:r>
      <w:r>
        <w:rPr>
          <w:rFonts w:ascii="宋体" w:hAnsi="宋体" w:eastAsia="宋体" w:cs="Times New Roman"/>
          <w:sz w:val="24"/>
          <w:szCs w:val="24"/>
        </w:rPr>
        <w:t>月</w:t>
      </w:r>
      <w:r>
        <w:rPr>
          <w:rFonts w:hint="eastAsia" w:ascii="宋体" w:hAnsi="宋体" w:eastAsia="宋体" w:cs="Times New Roman"/>
          <w:sz w:val="24"/>
          <w:szCs w:val="24"/>
          <w:lang w:val="en-US" w:eastAsia="zh-CN"/>
        </w:rPr>
        <w:t>13</w:t>
      </w:r>
      <w:r>
        <w:rPr>
          <w:rFonts w:ascii="宋体" w:hAnsi="宋体" w:eastAsia="宋体" w:cs="Times New Roman"/>
          <w:sz w:val="24"/>
          <w:szCs w:val="24"/>
        </w:rPr>
        <w:t>日</w:t>
      </w:r>
      <w:r>
        <w:rPr>
          <w:rFonts w:hint="eastAsia" w:ascii="宋体" w:hAnsi="宋体" w:eastAsia="宋体" w:cs="Times New Roman"/>
          <w:sz w:val="24"/>
          <w:szCs w:val="24"/>
        </w:rPr>
        <w:t>10:</w:t>
      </w:r>
      <w:r>
        <w:rPr>
          <w:rFonts w:hint="eastAsia" w:ascii="宋体" w:hAnsi="宋体" w:eastAsia="宋体"/>
          <w:bCs/>
          <w:sz w:val="24"/>
          <w:szCs w:val="24"/>
          <w:lang w:val="en-US" w:eastAsia="zh-CN"/>
        </w:rPr>
        <w:t>3</w:t>
      </w:r>
      <w:r>
        <w:rPr>
          <w:rFonts w:hint="eastAsia" w:ascii="宋体" w:hAnsi="宋体" w:eastAsia="宋体"/>
          <w:bCs/>
          <w:sz w:val="24"/>
          <w:szCs w:val="24"/>
        </w:rPr>
        <w:t>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cs="Times New Roman"/>
          <w:sz w:val="24"/>
          <w:szCs w:val="24"/>
        </w:rPr>
        <w:t>202</w:t>
      </w:r>
      <w:r>
        <w:rPr>
          <w:rFonts w:ascii="宋体" w:hAnsi="宋体" w:eastAsia="宋体" w:cs="Times New Roman"/>
          <w:sz w:val="24"/>
          <w:szCs w:val="24"/>
        </w:rPr>
        <w:t>2</w:t>
      </w:r>
      <w:r>
        <w:rPr>
          <w:rFonts w:hint="eastAsia" w:ascii="宋体" w:hAnsi="宋体" w:eastAsia="宋体" w:cs="Times New Roman"/>
          <w:sz w:val="24"/>
          <w:szCs w:val="24"/>
        </w:rPr>
        <w:t>年</w:t>
      </w:r>
      <w:r>
        <w:rPr>
          <w:rFonts w:hint="eastAsia" w:ascii="宋体" w:hAnsi="宋体" w:eastAsia="宋体" w:cs="Times New Roman"/>
          <w:sz w:val="24"/>
          <w:szCs w:val="24"/>
          <w:lang w:val="en-US" w:eastAsia="zh-CN"/>
        </w:rPr>
        <w:t>12</w:t>
      </w:r>
      <w:r>
        <w:rPr>
          <w:rFonts w:ascii="宋体" w:hAnsi="宋体" w:eastAsia="宋体" w:cs="Times New Roman"/>
          <w:sz w:val="24"/>
          <w:szCs w:val="24"/>
        </w:rPr>
        <w:t>月</w:t>
      </w:r>
      <w:r>
        <w:rPr>
          <w:rFonts w:hint="eastAsia" w:ascii="宋体" w:hAnsi="宋体" w:eastAsia="宋体" w:cs="Times New Roman"/>
          <w:sz w:val="24"/>
          <w:szCs w:val="24"/>
          <w:lang w:val="en-US" w:eastAsia="zh-CN"/>
        </w:rPr>
        <w:t>13</w:t>
      </w:r>
      <w:r>
        <w:rPr>
          <w:rFonts w:ascii="宋体" w:hAnsi="宋体" w:eastAsia="宋体" w:cs="Times New Roman"/>
          <w:sz w:val="24"/>
          <w:szCs w:val="24"/>
        </w:rPr>
        <w:t>日</w:t>
      </w:r>
      <w:r>
        <w:rPr>
          <w:rFonts w:hint="eastAsia" w:ascii="宋体" w:hAnsi="宋体" w:eastAsia="宋体" w:cs="Times New Roman"/>
          <w:sz w:val="24"/>
          <w:szCs w:val="24"/>
        </w:rPr>
        <w:t>10:</w:t>
      </w:r>
      <w:r>
        <w:rPr>
          <w:rFonts w:hint="eastAsia" w:ascii="宋体" w:hAnsi="宋体" w:eastAsia="宋体"/>
          <w:bCs/>
          <w:sz w:val="24"/>
          <w:szCs w:val="24"/>
          <w:lang w:val="en-US" w:eastAsia="zh-CN"/>
        </w:rPr>
        <w:t>3</w:t>
      </w:r>
      <w:r>
        <w:rPr>
          <w:rFonts w:hint="eastAsia" w:ascii="宋体" w:hAnsi="宋体" w:eastAsia="宋体"/>
          <w:bCs/>
          <w:sz w:val="24"/>
          <w:szCs w:val="24"/>
        </w:rPr>
        <w:t>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曾翼君（</w:t>
      </w:r>
      <w:r>
        <w:rPr>
          <w:rFonts w:ascii="宋体" w:hAnsi="宋体" w:eastAsia="宋体" w:cs="宋体"/>
          <w:kern w:val="0"/>
          <w:sz w:val="24"/>
          <w:szCs w:val="24"/>
        </w:rPr>
        <w:t>联系电话：</w:t>
      </w:r>
      <w:r>
        <w:rPr>
          <w:rFonts w:hint="eastAsia" w:ascii="宋体" w:hAnsi="宋体" w:eastAsia="宋体" w:cs="宋体"/>
          <w:kern w:val="0"/>
          <w:sz w:val="24"/>
          <w:szCs w:val="24"/>
        </w:rPr>
        <w:t>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联系人：陈何英（联系电话：0592-7396211</w:t>
      </w:r>
      <w:r>
        <w:rPr>
          <w:rFonts w:hint="eastAsia" w:ascii="宋体" w:hAnsi="宋体" w:eastAsia="宋体" w:cs="宋体"/>
          <w:kern w:val="0"/>
          <w:sz w:val="24"/>
          <w:szCs w:val="24"/>
          <w:lang w:val="en-US" w:eastAsia="zh-CN"/>
        </w:rPr>
        <w:t xml:space="preserve">  13696935672</w:t>
      </w:r>
      <w:r>
        <w:rPr>
          <w:rFonts w:hint="eastAsia" w:ascii="宋体" w:hAnsi="宋体" w:eastAsia="宋体" w:cs="宋体"/>
          <w:kern w:val="0"/>
          <w:sz w:val="24"/>
          <w:szCs w:val="24"/>
        </w:rPr>
        <w:t>）</w:t>
      </w:r>
    </w:p>
    <w:p>
      <w:pPr>
        <w:widowControl/>
        <w:spacing w:line="276"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2022</w:t>
      </w:r>
      <w:r>
        <w:rPr>
          <w:rFonts w:hint="eastAsia" w:ascii="宋体" w:hAnsi="宋体" w:eastAsia="宋体" w:cs="宋体"/>
          <w:b/>
          <w:kern w:val="0"/>
          <w:sz w:val="24"/>
          <w:szCs w:val="24"/>
        </w:rPr>
        <w:t xml:space="preserve">年 12 月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同集热电事业部</w:t>
      </w:r>
      <w:r>
        <w:rPr>
          <w:rFonts w:hint="eastAsia" w:ascii="宋体" w:hAnsi="宋体" w:eastAsia="宋体" w:cs="宋体"/>
          <w:color w:val="3A3A3A"/>
          <w:sz w:val="24"/>
          <w:szCs w:val="24"/>
        </w:rPr>
        <w:t>盐酸</w:t>
      </w:r>
      <w:r>
        <w:rPr>
          <w:rFonts w:hint="eastAsia" w:ascii="宋体" w:hAnsi="宋体" w:eastAsia="宋体"/>
          <w:b w:val="0"/>
          <w:sz w:val="24"/>
          <w:szCs w:val="24"/>
        </w:rPr>
        <w:t>采购，采购方为厦门</w:t>
      </w:r>
      <w:r>
        <w:rPr>
          <w:rFonts w:hint="eastAsia" w:ascii="宋体" w:hAnsi="宋体" w:eastAsia="宋体"/>
          <w:sz w:val="24"/>
          <w:szCs w:val="24"/>
        </w:rPr>
        <w:t>同集热</w:t>
      </w:r>
      <w:r>
        <w:rPr>
          <w:rFonts w:ascii="宋体" w:hAnsi="宋体" w:eastAsia="宋体"/>
          <w:sz w:val="24"/>
          <w:szCs w:val="24"/>
        </w:rPr>
        <w:t>电</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29281569"/>
      <w:bookmarkStart w:id="2" w:name="_Toc24455231"/>
      <w:bookmarkStart w:id="3" w:name="_Toc32472_WPSOffice_Level2"/>
      <w:bookmarkStart w:id="4" w:name="_Toc260230610"/>
      <w:bookmarkStart w:id="5" w:name="_Toc33340836"/>
      <w:bookmarkStart w:id="6" w:name="_Toc32305_WPSOffice_Level2"/>
      <w:bookmarkStart w:id="7" w:name="_Toc514_WPSOffice_Level2"/>
      <w:bookmarkStart w:id="8" w:name="_Toc23613348"/>
      <w:bookmarkStart w:id="9" w:name="_Toc24083811"/>
      <w:bookmarkStart w:id="10" w:name="_Toc293413478"/>
      <w:bookmarkStart w:id="11" w:name="_Toc260238414"/>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11355_WPSOffice_Level2"/>
      <w:bookmarkStart w:id="13" w:name="_Toc20923_WPSOffice_Level2"/>
      <w:bookmarkStart w:id="14" w:name="_Toc293413479"/>
      <w:bookmarkStart w:id="15" w:name="_Toc32292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hint="eastAsia" w:ascii="宋体" w:hAnsi="宋体" w:eastAsia="宋体"/>
          <w:b w:val="0"/>
          <w:spacing w:val="0"/>
          <w:sz w:val="24"/>
          <w:szCs w:val="24"/>
        </w:rPr>
        <w:t>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采购方有权在报价文件投递截止时间之前的任何时候对公告</w:t>
      </w:r>
      <w:r>
        <w:rPr>
          <w:rFonts w:ascii="宋体" w:hAnsi="宋体" w:eastAsia="宋体"/>
          <w:b w:val="0"/>
          <w:sz w:val="24"/>
          <w:szCs w:val="24"/>
        </w:rPr>
        <w:t>的</w:t>
      </w:r>
      <w:r>
        <w:rPr>
          <w:rFonts w:hint="eastAsia" w:ascii="宋体" w:hAnsi="宋体" w:eastAsia="宋体"/>
          <w:b w:val="0"/>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企业能有效识别二维码的营业执照复印件且加盖报价单位公章；</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w:t>
      </w:r>
      <w:r>
        <w:rPr>
          <w:rFonts w:hint="eastAsia" w:ascii="宋体" w:hAnsi="宋体"/>
          <w:sz w:val="24"/>
          <w:szCs w:val="24"/>
        </w:rPr>
        <w:t>3.6</w:t>
      </w:r>
      <w:r>
        <w:rPr>
          <w:rFonts w:hint="eastAsia" w:ascii="宋体" w:hAnsi="宋体" w:cs="宋体"/>
          <w:kern w:val="0"/>
          <w:sz w:val="24"/>
          <w:szCs w:val="24"/>
        </w:rPr>
        <w:t>危险化学品经营许可证</w:t>
      </w:r>
      <w:r>
        <w:rPr>
          <w:rFonts w:hint="eastAsia" w:ascii="宋体" w:hAnsi="宋体"/>
          <w:kern w:val="0"/>
          <w:sz w:val="24"/>
          <w:szCs w:val="24"/>
        </w:rPr>
        <w:t>复印件加盖公章</w:t>
      </w:r>
      <w:r>
        <w:rPr>
          <w:rFonts w:hint="eastAsia" w:ascii="宋体" w:hAnsi="宋体" w:cs="宋体"/>
          <w:kern w:val="0"/>
          <w:sz w:val="22"/>
        </w:rPr>
        <w:t>。</w:t>
      </w:r>
    </w:p>
    <w:p>
      <w:pPr>
        <w:pStyle w:val="28"/>
        <w:adjustRightInd w:val="0"/>
        <w:snapToGrid w:val="0"/>
        <w:spacing w:line="480" w:lineRule="auto"/>
        <w:ind w:right="105" w:rightChars="50" w:firstLine="0" w:firstLineChars="0"/>
        <w:jc w:val="left"/>
        <w:rPr>
          <w:rFonts w:ascii="宋体" w:hAnsi="宋体"/>
          <w:sz w:val="24"/>
          <w:szCs w:val="24"/>
        </w:rPr>
      </w:pPr>
      <w:r>
        <w:rPr>
          <w:rFonts w:hint="eastAsia" w:ascii="宋体" w:hAnsi="宋体"/>
          <w:sz w:val="24"/>
          <w:szCs w:val="24"/>
        </w:rPr>
        <w:t>3.7报价方认为需要提供的其他资料。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33340838"/>
      <w:bookmarkStart w:id="17" w:name="_Toc1802_WPSOffice_Level2"/>
      <w:bookmarkStart w:id="18" w:name="_Toc12004_WPSOffice_Level2"/>
      <w:bookmarkStart w:id="19" w:name="_Toc229281571"/>
      <w:bookmarkStart w:id="20" w:name="_Toc260230612"/>
      <w:bookmarkStart w:id="21" w:name="_Toc260238416"/>
      <w:bookmarkStart w:id="22" w:name="_Toc17624_WPSOffice_Level2"/>
      <w:bookmarkStart w:id="23" w:name="_Toc24083813"/>
      <w:bookmarkStart w:id="24" w:name="_Toc24455233"/>
      <w:bookmarkStart w:id="25" w:name="_Toc293413480"/>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Cs/>
          <w:sz w:val="24"/>
          <w:szCs w:val="24"/>
        </w:rPr>
      </w:pPr>
      <w:bookmarkStart w:id="26" w:name="_Toc22570_WPSOffice_Level2"/>
      <w:r>
        <w:rPr>
          <w:rFonts w:hint="eastAsia" w:ascii="宋体" w:hAnsi="宋体"/>
          <w:bCs/>
          <w:sz w:val="24"/>
          <w:szCs w:val="24"/>
        </w:rPr>
        <w:t>谈判与评</w:t>
      </w:r>
      <w:bookmarkEnd w:id="26"/>
      <w:r>
        <w:rPr>
          <w:rFonts w:hint="eastAsia" w:ascii="宋体" w:hAnsi="宋体"/>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49373772"/>
      <w:bookmarkStart w:id="28" w:name="_Toc441224335"/>
      <w:bookmarkStart w:id="29" w:name="_Toc441500070"/>
      <w:bookmarkStart w:id="30" w:name="_Toc440899515"/>
      <w:bookmarkStart w:id="31" w:name="_Toc422906617"/>
      <w:bookmarkStart w:id="32" w:name="_Toc425266324"/>
      <w:bookmarkStart w:id="33" w:name="_Toc444614425"/>
      <w:bookmarkStart w:id="34" w:name="_Toc422416153"/>
      <w:bookmarkStart w:id="35" w:name="_Toc439661731"/>
      <w:bookmarkStart w:id="36" w:name="_Toc445748261"/>
      <w:bookmarkStart w:id="37" w:name="_Toc457383223"/>
      <w:bookmarkStart w:id="38" w:name="_Toc445991603"/>
      <w:bookmarkStart w:id="39" w:name="_Toc418522815"/>
      <w:bookmarkStart w:id="40" w:name="_Toc445901129"/>
      <w:bookmarkStart w:id="41" w:name="_Toc420577581"/>
      <w:bookmarkStart w:id="42" w:name="_Toc449635679"/>
      <w:bookmarkStart w:id="43" w:name="_Toc421773672"/>
      <w:bookmarkStart w:id="44" w:name="_Toc462647056"/>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5.2评审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rPr>
        <w:t>5.2.2.4成交原则</w:t>
      </w:r>
      <w:r>
        <w:rPr>
          <w:rFonts w:hint="eastAsia" w:ascii="宋体" w:hAnsi="宋体"/>
          <w:b/>
          <w:bCs/>
          <w:sz w:val="24"/>
        </w:rPr>
        <w:t>：</w:t>
      </w:r>
      <w:r>
        <w:rPr>
          <w:rFonts w:hint="eastAsia" w:ascii="宋体" w:hAnsi="宋体"/>
          <w:sz w:val="24"/>
          <w:szCs w:val="24"/>
        </w:rPr>
        <w:t>评标小组</w:t>
      </w:r>
      <w:r>
        <w:rPr>
          <w:rFonts w:hint="eastAsia" w:ascii="宋体" w:hAnsi="宋体" w:eastAsia="宋体" w:cs="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6.1评标结束后，采购方根据评标结果，采购</w:t>
      </w:r>
      <w:r>
        <w:rPr>
          <w:rFonts w:ascii="宋体" w:hAnsi="宋体" w:eastAsia="宋体"/>
          <w:sz w:val="24"/>
          <w:szCs w:val="24"/>
        </w:rPr>
        <w:t>方</w:t>
      </w:r>
      <w:r>
        <w:rPr>
          <w:rFonts w:hint="eastAsia" w:ascii="宋体" w:hAnsi="宋体" w:eastAsia="宋体"/>
          <w:sz w:val="24"/>
          <w:szCs w:val="24"/>
        </w:rPr>
        <w:t>向成交供应商发出《成交通知书》。成交通知书是合同文件的组成部分。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6.3成交供应商因不可抗力或者自身原因不能履行采购合同的，采购方可以</w:t>
      </w:r>
      <w:r>
        <w:rPr>
          <w:rFonts w:hint="eastAsia" w:ascii="宋体" w:hAnsi="宋体" w:eastAsia="宋体" w:cs="宋体"/>
          <w:color w:val="3A3A3A"/>
          <w:sz w:val="24"/>
          <w:szCs w:val="24"/>
        </w:rPr>
        <w:t>与</w:t>
      </w:r>
      <w:r>
        <w:rPr>
          <w:rFonts w:ascii="宋体" w:hAnsi="宋体" w:eastAsia="宋体" w:cs="宋体"/>
          <w:color w:val="3A3A3A"/>
          <w:sz w:val="24"/>
          <w:szCs w:val="24"/>
        </w:rPr>
        <w:t>顺延第二成交供应商</w:t>
      </w:r>
      <w:r>
        <w:rPr>
          <w:rFonts w:hint="eastAsia" w:ascii="宋体" w:hAnsi="宋体" w:eastAsia="宋体" w:cs="宋体"/>
          <w:color w:val="3A3A3A"/>
          <w:sz w:val="24"/>
          <w:szCs w:val="24"/>
        </w:rPr>
        <w:t>签订</w:t>
      </w:r>
      <w:r>
        <w:rPr>
          <w:rFonts w:ascii="宋体" w:hAnsi="宋体" w:eastAsia="宋体" w:cs="宋体"/>
          <w:color w:val="3A3A3A"/>
          <w:sz w:val="24"/>
          <w:szCs w:val="24"/>
        </w:rPr>
        <w:t>合同</w:t>
      </w:r>
      <w:r>
        <w:rPr>
          <w:rFonts w:hint="eastAsia" w:ascii="宋体" w:hAnsi="宋体" w:eastAsia="宋体"/>
          <w:sz w:val="24"/>
          <w:szCs w:val="24"/>
        </w:rPr>
        <w:t>，以此类推。</w:t>
      </w:r>
    </w:p>
    <w:p>
      <w:pPr>
        <w:rPr>
          <w:b/>
        </w:rPr>
      </w:pPr>
    </w:p>
    <w:p>
      <w:pPr>
        <w:pStyle w:val="4"/>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w:t>
      </w:r>
      <w:r>
        <w:rPr>
          <w:rFonts w:ascii="宋体" w:hAnsi="宋体" w:eastAsia="宋体" w:cs="宋体"/>
          <w:b/>
          <w:color w:val="3A3A3A"/>
          <w:kern w:val="0"/>
          <w:sz w:val="24"/>
          <w:szCs w:val="24"/>
        </w:rPr>
        <w:t>电</w:t>
      </w:r>
      <w:r>
        <w:rPr>
          <w:rFonts w:hint="eastAsia" w:ascii="宋体" w:hAnsi="宋体" w:eastAsia="宋体" w:cs="宋体"/>
          <w:color w:val="3A3A3A"/>
          <w:kern w:val="0"/>
          <w:sz w:val="24"/>
          <w:szCs w:val="24"/>
        </w:rPr>
        <w:t>）生产需求，现进行盐酸采购，各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b/>
          <w:color w:val="3A3A3A"/>
          <w:kern w:val="0"/>
          <w:sz w:val="24"/>
          <w:szCs w:val="24"/>
        </w:rPr>
        <w:t>采购项目及</w:t>
      </w:r>
      <w:r>
        <w:rPr>
          <w:rFonts w:hint="eastAsia" w:ascii="宋体" w:hAnsi="宋体" w:eastAsia="宋体" w:cs="宋体"/>
          <w:b/>
          <w:color w:val="3A3A3A"/>
          <w:kern w:val="0"/>
          <w:sz w:val="24"/>
          <w:szCs w:val="24"/>
        </w:rPr>
        <w:t>各项要求</w:t>
      </w:r>
    </w:p>
    <w:p>
      <w:pPr>
        <w:spacing w:line="480" w:lineRule="auto"/>
        <w:rPr>
          <w:rFonts w:ascii="宋体" w:hAnsi="宋体" w:eastAsia="宋体" w:cs="宋体"/>
          <w:color w:val="000000" w:themeColor="text1"/>
          <w:kern w:val="0"/>
          <w:sz w:val="24"/>
          <w:szCs w:val="24"/>
        </w:rPr>
      </w:pPr>
      <w:r>
        <w:rPr>
          <w:rFonts w:hint="eastAsia" w:ascii="宋体" w:hAnsi="宋体" w:eastAsia="宋体" w:cs="宋体"/>
          <w:b/>
          <w:color w:val="3A3A3A"/>
          <w:kern w:val="0"/>
          <w:sz w:val="24"/>
          <w:szCs w:val="24"/>
        </w:rPr>
        <w:t>2.</w:t>
      </w:r>
      <w:r>
        <w:rPr>
          <w:rFonts w:ascii="宋体" w:hAnsi="宋体" w:eastAsia="宋体" w:cs="宋体"/>
          <w:b/>
          <w:color w:val="3A3A3A"/>
          <w:kern w:val="0"/>
          <w:sz w:val="24"/>
          <w:szCs w:val="24"/>
        </w:rPr>
        <w:t>1</w:t>
      </w:r>
      <w:r>
        <w:rPr>
          <w:rFonts w:hint="eastAsia" w:ascii="宋体" w:hAnsi="宋体" w:eastAsia="宋体" w:cs="宋体"/>
          <w:color w:val="000000" w:themeColor="text1"/>
          <w:kern w:val="0"/>
          <w:sz w:val="24"/>
          <w:szCs w:val="24"/>
        </w:rPr>
        <w:t>项目名称：同集热</w:t>
      </w:r>
      <w:r>
        <w:rPr>
          <w:rFonts w:ascii="宋体" w:hAnsi="宋体" w:eastAsia="宋体" w:cs="宋体"/>
          <w:color w:val="000000" w:themeColor="text1"/>
          <w:kern w:val="0"/>
          <w:sz w:val="24"/>
          <w:szCs w:val="24"/>
        </w:rPr>
        <w:t>电</w:t>
      </w:r>
      <w:r>
        <w:rPr>
          <w:rFonts w:hint="eastAsia" w:ascii="宋体" w:hAnsi="宋体" w:eastAsia="宋体" w:cs="宋体"/>
          <w:color w:val="3A3A3A"/>
          <w:kern w:val="0"/>
          <w:sz w:val="24"/>
          <w:szCs w:val="24"/>
        </w:rPr>
        <w:t>盐酸</w:t>
      </w:r>
      <w:r>
        <w:rPr>
          <w:rFonts w:hint="eastAsia" w:ascii="宋体" w:hAnsi="宋体" w:eastAsia="宋体" w:cs="宋体"/>
          <w:color w:val="000000" w:themeColor="text1"/>
          <w:kern w:val="0"/>
          <w:sz w:val="24"/>
          <w:szCs w:val="24"/>
        </w:rPr>
        <w:t>采购</w:t>
      </w:r>
    </w:p>
    <w:p>
      <w:pPr>
        <w:widowControl/>
        <w:spacing w:line="36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2</w:t>
      </w: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名称及数量：</w:t>
      </w:r>
    </w:p>
    <w:tbl>
      <w:tblPr>
        <w:tblStyle w:val="11"/>
        <w:tblW w:w="85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2142"/>
        <w:gridCol w:w="2693"/>
        <w:gridCol w:w="2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标的</w:t>
            </w:r>
          </w:p>
        </w:tc>
        <w:tc>
          <w:tcPr>
            <w:tcW w:w="2142"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名称</w:t>
            </w:r>
          </w:p>
        </w:tc>
        <w:tc>
          <w:tcPr>
            <w:tcW w:w="2693"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需求数量</w:t>
            </w:r>
          </w:p>
        </w:tc>
        <w:tc>
          <w:tcPr>
            <w:tcW w:w="2882"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2142" w:type="dxa"/>
            <w:vAlign w:val="center"/>
          </w:tcPr>
          <w:p>
            <w:pPr>
              <w:widowControl/>
              <w:spacing w:line="276" w:lineRule="auto"/>
              <w:jc w:val="center"/>
              <w:rPr>
                <w:rFonts w:ascii="宋体" w:hAnsi="宋体" w:eastAsia="宋体" w:cs="Times New Roman"/>
                <w:b/>
                <w:color w:val="000000"/>
                <w:kern w:val="0"/>
                <w:sz w:val="24"/>
                <w:szCs w:val="24"/>
              </w:rPr>
            </w:pPr>
            <w:r>
              <w:rPr>
                <w:rFonts w:hint="eastAsia" w:ascii="宋体" w:hAnsi="宋体" w:cs="宋体"/>
                <w:kern w:val="0"/>
                <w:sz w:val="24"/>
                <w:szCs w:val="24"/>
              </w:rPr>
              <w:t>盐酸</w:t>
            </w:r>
          </w:p>
        </w:tc>
        <w:tc>
          <w:tcPr>
            <w:tcW w:w="2693" w:type="dxa"/>
            <w:vAlign w:val="center"/>
          </w:tcPr>
          <w:p>
            <w:pPr>
              <w:widowControl/>
              <w:spacing w:line="276" w:lineRule="auto"/>
              <w:jc w:val="center"/>
              <w:rPr>
                <w:rFonts w:ascii="宋体" w:hAnsi="宋体" w:eastAsia="宋体" w:cs="宋体"/>
                <w:color w:val="000000"/>
                <w:kern w:val="0"/>
                <w:sz w:val="24"/>
                <w:szCs w:val="24"/>
              </w:rPr>
            </w:pPr>
            <w:r>
              <w:rPr>
                <w:rFonts w:ascii="宋体" w:hAnsi="宋体" w:eastAsia="宋体" w:cs="Times New Roman"/>
                <w:color w:val="000000"/>
                <w:kern w:val="0"/>
                <w:sz w:val="24"/>
                <w:szCs w:val="24"/>
              </w:rPr>
              <w:t>80</w:t>
            </w:r>
            <w:r>
              <w:rPr>
                <w:rFonts w:hint="eastAsia" w:ascii="宋体" w:hAnsi="宋体" w:eastAsia="宋体" w:cs="Times New Roman"/>
                <w:color w:val="000000"/>
                <w:kern w:val="0"/>
                <w:sz w:val="24"/>
                <w:szCs w:val="24"/>
              </w:rPr>
              <w:t>吨</w:t>
            </w:r>
          </w:p>
        </w:tc>
        <w:tc>
          <w:tcPr>
            <w:tcW w:w="2882" w:type="dxa"/>
            <w:vAlign w:val="center"/>
          </w:tcPr>
          <w:p>
            <w:pPr>
              <w:widowControl/>
              <w:spacing w:line="276" w:lineRule="auto"/>
              <w:jc w:val="center"/>
              <w:rPr>
                <w:rFonts w:ascii="宋体" w:hAnsi="宋体" w:eastAsia="宋体" w:cs="Times New Roman"/>
                <w:color w:val="000000"/>
                <w:kern w:val="0"/>
                <w:sz w:val="24"/>
                <w:szCs w:val="24"/>
              </w:rPr>
            </w:pPr>
            <w:r>
              <w:rPr>
                <w:rFonts w:hint="eastAsia" w:ascii="宋体" w:hAnsi="宋体" w:cs="宋体"/>
                <w:kern w:val="0"/>
                <w:sz w:val="24"/>
                <w:szCs w:val="24"/>
              </w:rPr>
              <w:t>浓度≥3</w:t>
            </w:r>
            <w:r>
              <w:rPr>
                <w:rFonts w:ascii="宋体" w:hAnsi="宋体" w:cs="宋体"/>
                <w:kern w:val="0"/>
                <w:sz w:val="24"/>
                <w:szCs w:val="24"/>
              </w:rPr>
              <w:t>1</w:t>
            </w:r>
            <w:r>
              <w:rPr>
                <w:rFonts w:hint="eastAsia" w:ascii="宋体" w:hAnsi="宋体" w:cs="宋体"/>
                <w:kern w:val="0"/>
                <w:sz w:val="24"/>
                <w:szCs w:val="24"/>
              </w:rPr>
              <w:t>%（</w:t>
            </w:r>
            <w:r>
              <w:rPr>
                <w:rFonts w:ascii="宋体" w:hAnsi="宋体" w:cs="宋体"/>
                <w:kern w:val="0"/>
                <w:sz w:val="24"/>
                <w:szCs w:val="24"/>
              </w:rPr>
              <w:t>高纯酸）</w:t>
            </w:r>
          </w:p>
        </w:tc>
      </w:tr>
    </w:tbl>
    <w:p>
      <w:pPr>
        <w:widowControl/>
        <w:spacing w:line="360" w:lineRule="auto"/>
        <w:jc w:val="left"/>
        <w:rPr>
          <w:rFonts w:ascii="宋体" w:hAnsi="宋体" w:cs="宋体"/>
          <w:color w:val="FF0000"/>
          <w:kern w:val="0"/>
          <w:sz w:val="24"/>
          <w:szCs w:val="24"/>
        </w:rPr>
      </w:pPr>
      <w:r>
        <w:rPr>
          <w:rFonts w:ascii="宋体" w:hAnsi="宋体" w:eastAsia="宋体" w:cs="宋体"/>
          <w:kern w:val="0"/>
          <w:sz w:val="24"/>
          <w:szCs w:val="24"/>
        </w:rPr>
        <w:t>2.3</w:t>
      </w:r>
      <w:r>
        <w:rPr>
          <w:rFonts w:hint="eastAsia" w:ascii="宋体" w:hAnsi="宋体" w:eastAsia="宋体" w:cs="宋体"/>
          <w:kern w:val="0"/>
          <w:sz w:val="24"/>
          <w:szCs w:val="24"/>
        </w:rPr>
        <w:t>品</w:t>
      </w:r>
      <w:r>
        <w:rPr>
          <w:rFonts w:ascii="宋体" w:hAnsi="宋体" w:eastAsia="宋体" w:cs="宋体"/>
          <w:kern w:val="0"/>
          <w:sz w:val="24"/>
          <w:szCs w:val="24"/>
        </w:rPr>
        <w:t>质要求</w:t>
      </w:r>
      <w:r>
        <w:rPr>
          <w:rFonts w:hint="eastAsia" w:ascii="宋体" w:hAnsi="宋体" w:eastAsia="宋体" w:cs="宋体"/>
          <w:kern w:val="0"/>
          <w:sz w:val="24"/>
          <w:szCs w:val="24"/>
        </w:rPr>
        <w:t>及</w:t>
      </w:r>
      <w:r>
        <w:rPr>
          <w:rFonts w:ascii="宋体" w:hAnsi="宋体" w:eastAsia="宋体" w:cs="宋体"/>
          <w:kern w:val="0"/>
          <w:sz w:val="24"/>
          <w:szCs w:val="24"/>
        </w:rPr>
        <w:t>考核</w:t>
      </w:r>
      <w:r>
        <w:rPr>
          <w:rFonts w:ascii="宋体" w:hAnsi="宋体" w:eastAsia="宋体" w:cs="宋体"/>
          <w:color w:val="FF0000"/>
          <w:kern w:val="0"/>
          <w:sz w:val="24"/>
          <w:szCs w:val="24"/>
        </w:rPr>
        <w:t>：</w:t>
      </w:r>
    </w:p>
    <w:tbl>
      <w:tblPr>
        <w:tblStyle w:val="1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3"/>
        <w:gridCol w:w="2431"/>
        <w:gridCol w:w="4235"/>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813"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序号</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hint="eastAsia" w:ascii="宋体" w:hAnsi="宋体"/>
                <w:color w:val="000000"/>
                <w:sz w:val="24"/>
                <w:szCs w:val="21"/>
              </w:rPr>
              <w:t>检验质量（</w:t>
            </w:r>
            <w:r>
              <w:rPr>
                <w:rFonts w:ascii="宋体" w:hAnsi="宋体"/>
                <w:color w:val="000000"/>
                <w:sz w:val="24"/>
                <w:szCs w:val="21"/>
              </w:rPr>
              <w:t>溶度）</w:t>
            </w:r>
          </w:p>
        </w:tc>
        <w:tc>
          <w:tcPr>
            <w:tcW w:w="4235" w:type="dxa"/>
            <w:shd w:val="clear" w:color="auto" w:fill="auto"/>
            <w:vAlign w:val="center"/>
          </w:tcPr>
          <w:p>
            <w:pPr>
              <w:spacing w:line="480" w:lineRule="auto"/>
              <w:ind w:firstLine="720" w:firstLineChars="300"/>
              <w:rPr>
                <w:rFonts w:ascii="宋体" w:hAnsi="宋体"/>
                <w:color w:val="000000"/>
                <w:sz w:val="24"/>
                <w:szCs w:val="21"/>
              </w:rPr>
            </w:pPr>
            <w:r>
              <w:rPr>
                <w:rFonts w:hint="eastAsia" w:ascii="宋体" w:hAnsi="宋体"/>
                <w:color w:val="000000"/>
                <w:sz w:val="24"/>
                <w:szCs w:val="21"/>
              </w:rPr>
              <w:t>结算</w:t>
            </w:r>
            <w:r>
              <w:rPr>
                <w:rFonts w:ascii="宋体" w:hAnsi="宋体"/>
                <w:color w:val="000000"/>
                <w:sz w:val="24"/>
                <w:szCs w:val="21"/>
              </w:rPr>
              <w:t>价</w:t>
            </w:r>
          </w:p>
        </w:tc>
        <w:tc>
          <w:tcPr>
            <w:tcW w:w="1701" w:type="dxa"/>
          </w:tcPr>
          <w:p>
            <w:pPr>
              <w:spacing w:line="480" w:lineRule="auto"/>
              <w:ind w:firstLine="480" w:firstLineChars="200"/>
              <w:rPr>
                <w:rFonts w:ascii="宋体" w:hAnsi="宋体"/>
                <w:color w:val="000000"/>
                <w:sz w:val="24"/>
                <w:szCs w:val="21"/>
              </w:rPr>
            </w:pPr>
            <w:r>
              <w:rPr>
                <w:rFonts w:hint="eastAsia" w:ascii="宋体" w:hAnsi="宋体"/>
                <w:color w:val="00000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1</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hint="eastAsia" w:ascii="宋体" w:hAnsi="宋体"/>
                <w:color w:val="000000"/>
                <w:sz w:val="24"/>
                <w:szCs w:val="21"/>
              </w:rPr>
              <w:t>溶度≥</w:t>
            </w:r>
            <w:r>
              <w:rPr>
                <w:rFonts w:ascii="宋体" w:hAnsi="宋体"/>
                <w:color w:val="000000"/>
                <w:sz w:val="24"/>
                <w:szCs w:val="21"/>
              </w:rPr>
              <w:t>31%</w:t>
            </w:r>
          </w:p>
        </w:tc>
        <w:tc>
          <w:tcPr>
            <w:tcW w:w="4235"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按</w:t>
            </w:r>
            <w:r>
              <w:rPr>
                <w:rFonts w:hint="eastAsia" w:ascii="宋体" w:hAnsi="宋体"/>
                <w:color w:val="000000"/>
                <w:sz w:val="24"/>
                <w:szCs w:val="21"/>
                <w:highlight w:val="cyan"/>
              </w:rPr>
              <w:t>成交</w:t>
            </w:r>
            <w:r>
              <w:rPr>
                <w:rFonts w:ascii="宋体" w:hAnsi="宋体"/>
                <w:color w:val="000000"/>
                <w:sz w:val="24"/>
                <w:szCs w:val="21"/>
                <w:highlight w:val="cyan"/>
              </w:rPr>
              <w:t>价</w:t>
            </w:r>
            <w:r>
              <w:rPr>
                <w:rFonts w:hint="eastAsia" w:ascii="宋体" w:hAnsi="宋体"/>
                <w:color w:val="000000"/>
                <w:sz w:val="24"/>
                <w:szCs w:val="21"/>
              </w:rPr>
              <w:t>结算</w:t>
            </w:r>
          </w:p>
        </w:tc>
        <w:tc>
          <w:tcPr>
            <w:tcW w:w="1701" w:type="dxa"/>
          </w:tcPr>
          <w:p>
            <w:pPr>
              <w:spacing w:line="480" w:lineRule="auto"/>
              <w:rPr>
                <w:rFonts w:ascii="宋体" w:hAnsi="宋体"/>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2</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ascii="宋体" w:hAnsi="宋体"/>
                <w:color w:val="000000"/>
                <w:sz w:val="24"/>
                <w:szCs w:val="21"/>
              </w:rPr>
              <w:t>31%</w:t>
            </w:r>
            <w:r>
              <w:rPr>
                <w:rFonts w:hint="eastAsia" w:ascii="宋体" w:hAnsi="宋体"/>
                <w:color w:val="000000"/>
                <w:sz w:val="24"/>
                <w:szCs w:val="21"/>
              </w:rPr>
              <w:t>＞溶度≥</w:t>
            </w:r>
            <w:r>
              <w:rPr>
                <w:rFonts w:ascii="宋体" w:hAnsi="宋体"/>
                <w:color w:val="000000"/>
                <w:sz w:val="24"/>
                <w:szCs w:val="21"/>
              </w:rPr>
              <w:t>29%</w:t>
            </w:r>
          </w:p>
        </w:tc>
        <w:tc>
          <w:tcPr>
            <w:tcW w:w="4235"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扣除该</w:t>
            </w:r>
            <w:r>
              <w:rPr>
                <w:rFonts w:ascii="宋体" w:hAnsi="宋体"/>
                <w:color w:val="000000"/>
                <w:sz w:val="24"/>
                <w:szCs w:val="21"/>
              </w:rPr>
              <w:t xml:space="preserve">批次金额的10% </w:t>
            </w:r>
          </w:p>
        </w:tc>
        <w:tc>
          <w:tcPr>
            <w:tcW w:w="1701" w:type="dxa"/>
          </w:tcPr>
          <w:p>
            <w:pPr>
              <w:spacing w:line="480" w:lineRule="auto"/>
              <w:rPr>
                <w:rFonts w:ascii="宋体" w:hAnsi="宋体"/>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3</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ascii="宋体" w:hAnsi="宋体"/>
                <w:color w:val="000000"/>
                <w:sz w:val="24"/>
                <w:szCs w:val="21"/>
              </w:rPr>
              <w:t>29%</w:t>
            </w:r>
            <w:r>
              <w:rPr>
                <w:rFonts w:hint="eastAsia" w:ascii="宋体" w:hAnsi="宋体"/>
                <w:color w:val="000000"/>
                <w:sz w:val="24"/>
                <w:szCs w:val="21"/>
              </w:rPr>
              <w:t>＞</w:t>
            </w:r>
            <w:r>
              <w:rPr>
                <w:rFonts w:ascii="宋体" w:hAnsi="宋体"/>
                <w:color w:val="000000"/>
                <w:sz w:val="24"/>
                <w:szCs w:val="21"/>
              </w:rPr>
              <w:t>溶度＞28%</w:t>
            </w:r>
          </w:p>
        </w:tc>
        <w:tc>
          <w:tcPr>
            <w:tcW w:w="4235"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扣除该</w:t>
            </w:r>
            <w:r>
              <w:rPr>
                <w:rFonts w:ascii="宋体" w:hAnsi="宋体"/>
                <w:color w:val="000000"/>
                <w:sz w:val="24"/>
                <w:szCs w:val="21"/>
              </w:rPr>
              <w:t>批次金额的2</w:t>
            </w:r>
            <w:r>
              <w:rPr>
                <w:rFonts w:hint="eastAsia" w:ascii="宋体" w:hAnsi="宋体"/>
                <w:color w:val="000000"/>
                <w:sz w:val="24"/>
                <w:szCs w:val="21"/>
              </w:rPr>
              <w:t>0</w:t>
            </w:r>
            <w:r>
              <w:rPr>
                <w:rFonts w:ascii="宋体" w:hAnsi="宋体"/>
                <w:color w:val="000000"/>
                <w:sz w:val="24"/>
                <w:szCs w:val="21"/>
              </w:rPr>
              <w:t>%</w:t>
            </w:r>
          </w:p>
        </w:tc>
        <w:tc>
          <w:tcPr>
            <w:tcW w:w="1701" w:type="dxa"/>
          </w:tcPr>
          <w:p>
            <w:pPr>
              <w:spacing w:line="480" w:lineRule="auto"/>
              <w:rPr>
                <w:rFonts w:ascii="宋体" w:hAnsi="宋体"/>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4</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hint="eastAsia" w:ascii="宋体" w:hAnsi="宋体"/>
                <w:color w:val="000000"/>
                <w:sz w:val="24"/>
                <w:szCs w:val="21"/>
              </w:rPr>
              <w:t>溶度≤</w:t>
            </w:r>
            <w:r>
              <w:rPr>
                <w:rFonts w:ascii="宋体" w:hAnsi="宋体"/>
                <w:color w:val="000000"/>
                <w:sz w:val="24"/>
                <w:szCs w:val="21"/>
              </w:rPr>
              <w:t>28%</w:t>
            </w:r>
          </w:p>
        </w:tc>
        <w:tc>
          <w:tcPr>
            <w:tcW w:w="4235"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需方</w:t>
            </w:r>
            <w:r>
              <w:rPr>
                <w:rFonts w:ascii="宋体" w:hAnsi="宋体"/>
                <w:color w:val="000000"/>
                <w:sz w:val="24"/>
                <w:szCs w:val="21"/>
              </w:rPr>
              <w:t>将无</w:t>
            </w:r>
            <w:r>
              <w:rPr>
                <w:rFonts w:hint="eastAsia" w:ascii="宋体" w:hAnsi="宋体"/>
                <w:color w:val="000000"/>
                <w:sz w:val="24"/>
                <w:szCs w:val="21"/>
              </w:rPr>
              <w:t>偿使用该批次产品或有权要求供方退换该批次全部产品，因此造成的损失由供方负责</w:t>
            </w:r>
            <w:r>
              <w:rPr>
                <w:rFonts w:ascii="宋体" w:hAnsi="宋体"/>
                <w:color w:val="000000"/>
                <w:sz w:val="24"/>
                <w:szCs w:val="21"/>
              </w:rPr>
              <w:t>。</w:t>
            </w:r>
          </w:p>
        </w:tc>
        <w:tc>
          <w:tcPr>
            <w:tcW w:w="1701" w:type="dxa"/>
          </w:tcPr>
          <w:p>
            <w:pPr>
              <w:spacing w:line="480" w:lineRule="auto"/>
              <w:rPr>
                <w:rFonts w:ascii="宋体" w:hAnsi="宋体"/>
                <w:color w:val="000000"/>
                <w:sz w:val="24"/>
                <w:szCs w:val="21"/>
              </w:rPr>
            </w:pPr>
          </w:p>
        </w:tc>
      </w:tr>
    </w:tbl>
    <w:p>
      <w:pPr>
        <w:widowControl/>
        <w:spacing w:line="360" w:lineRule="auto"/>
        <w:jc w:val="left"/>
        <w:rPr>
          <w:rFonts w:ascii="宋体" w:hAnsi="宋体" w:cs="宋体"/>
          <w:color w:val="FF0000"/>
          <w:kern w:val="0"/>
          <w:sz w:val="24"/>
          <w:szCs w:val="24"/>
        </w:rPr>
      </w:pPr>
    </w:p>
    <w:p>
      <w:pPr>
        <w:widowControl/>
        <w:spacing w:line="360" w:lineRule="auto"/>
        <w:jc w:val="left"/>
        <w:rPr>
          <w:rFonts w:ascii="宋体" w:hAnsi="宋体" w:eastAsia="宋体" w:cs="宋体"/>
          <w:color w:val="FF0000"/>
          <w:kern w:val="0"/>
          <w:sz w:val="24"/>
          <w:szCs w:val="24"/>
        </w:rPr>
      </w:pPr>
      <w:r>
        <w:rPr>
          <w:rFonts w:ascii="宋体" w:hAnsi="宋体" w:cs="宋体"/>
          <w:kern w:val="0"/>
          <w:sz w:val="24"/>
          <w:szCs w:val="24"/>
        </w:rPr>
        <w:t>2.4</w:t>
      </w:r>
      <w:r>
        <w:rPr>
          <w:rFonts w:hint="eastAsia" w:ascii="宋体" w:hAnsi="宋体" w:eastAsia="宋体" w:cs="宋体"/>
          <w:color w:val="3A3A3A"/>
          <w:kern w:val="0"/>
          <w:sz w:val="24"/>
          <w:szCs w:val="24"/>
        </w:rPr>
        <w:t>供货时间：</w:t>
      </w:r>
      <w:r>
        <w:rPr>
          <w:rFonts w:hint="eastAsia" w:ascii="宋体" w:hAnsi="宋体" w:eastAsia="宋体" w:cs="宋体"/>
          <w:kern w:val="0"/>
          <w:sz w:val="24"/>
          <w:szCs w:val="24"/>
          <w:highlight w:val="cyan"/>
        </w:rPr>
        <w:t>2023年1月至2023年6月</w:t>
      </w:r>
      <w:r>
        <w:rPr>
          <w:rFonts w:hint="eastAsia" w:ascii="宋体" w:hAnsi="宋体" w:eastAsia="宋体" w:cs="宋体"/>
          <w:kern w:val="0"/>
          <w:sz w:val="24"/>
          <w:szCs w:val="24"/>
        </w:rPr>
        <w:t>，具体以需方通知为准。</w:t>
      </w:r>
    </w:p>
    <w:p>
      <w:pPr>
        <w:widowControl/>
        <w:spacing w:line="36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2.5</w:t>
      </w:r>
      <w:r>
        <w:rPr>
          <w:rFonts w:hint="eastAsia" w:ascii="宋体" w:hAnsi="宋体" w:eastAsia="宋体" w:cs="宋体"/>
          <w:color w:val="3A3A3A"/>
          <w:kern w:val="0"/>
          <w:sz w:val="24"/>
          <w:szCs w:val="24"/>
        </w:rPr>
        <w:t>供货地点：</w:t>
      </w:r>
      <w:r>
        <w:rPr>
          <w:rFonts w:hint="eastAsia" w:ascii="宋体" w:hAnsi="宋体"/>
          <w:sz w:val="24"/>
          <w:szCs w:val="24"/>
        </w:rPr>
        <w:t>厦门市同安区美禾三路399号</w:t>
      </w:r>
      <w:r>
        <w:rPr>
          <w:rFonts w:hint="eastAsia" w:ascii="宋体" w:hAnsi="宋体" w:eastAsia="宋体" w:cs="宋体"/>
          <w:color w:val="3A3A3A"/>
          <w:kern w:val="0"/>
          <w:sz w:val="24"/>
          <w:szCs w:val="24"/>
        </w:rPr>
        <w:t>。</w:t>
      </w:r>
    </w:p>
    <w:p>
      <w:pPr>
        <w:widowControl/>
        <w:shd w:val="clear" w:color="auto" w:fill="FFFFFF"/>
        <w:spacing w:line="480" w:lineRule="atLeast"/>
        <w:jc w:val="left"/>
        <w:rPr>
          <w:rFonts w:cs="宋体" w:asciiTheme="minorEastAsia" w:hAnsiTheme="minorEastAsia"/>
          <w:color w:val="000000" w:themeColor="text1"/>
          <w:kern w:val="0"/>
          <w:sz w:val="24"/>
          <w:szCs w:val="24"/>
        </w:rPr>
      </w:pPr>
      <w:r>
        <w:rPr>
          <w:rFonts w:cs="宋体" w:asciiTheme="minorEastAsia" w:hAnsiTheme="minorEastAsia"/>
          <w:color w:val="000000" w:themeColor="text1"/>
          <w:kern w:val="0"/>
          <w:sz w:val="24"/>
          <w:szCs w:val="24"/>
        </w:rPr>
        <w:t>2.6</w:t>
      </w:r>
      <w:r>
        <w:rPr>
          <w:rFonts w:hint="eastAsia" w:cs="宋体" w:asciiTheme="minorEastAsia" w:hAnsiTheme="minorEastAsia"/>
          <w:color w:val="000000" w:themeColor="text1"/>
          <w:kern w:val="0"/>
          <w:sz w:val="24"/>
          <w:szCs w:val="24"/>
        </w:rPr>
        <w:t>运输方式：专用汽车运输，送达</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rPr>
        <w:t>指定位置，运输费和装卸费由供方承担。</w:t>
      </w:r>
    </w:p>
    <w:p>
      <w:pPr>
        <w:widowControl/>
        <w:shd w:val="clear" w:color="auto" w:fill="FFFFFF"/>
        <w:spacing w:line="480" w:lineRule="atLeast"/>
        <w:jc w:val="left"/>
        <w:rPr>
          <w:rFonts w:cs="宋体" w:asciiTheme="minorEastAsia" w:hAnsiTheme="minorEastAsia"/>
          <w:color w:val="000000" w:themeColor="text1"/>
          <w:kern w:val="0"/>
          <w:sz w:val="24"/>
          <w:szCs w:val="24"/>
        </w:rPr>
      </w:pPr>
      <w:r>
        <w:rPr>
          <w:rFonts w:hint="eastAsia" w:cs="宋体" w:asciiTheme="minorEastAsia" w:hAnsiTheme="minorEastAsia"/>
          <w:color w:val="000000" w:themeColor="text1"/>
          <w:kern w:val="0"/>
          <w:sz w:val="24"/>
          <w:szCs w:val="24"/>
        </w:rPr>
        <w:t>2.7供货</w:t>
      </w:r>
      <w:r>
        <w:rPr>
          <w:rFonts w:cs="宋体" w:asciiTheme="minorEastAsia" w:hAnsiTheme="minorEastAsia"/>
          <w:color w:val="000000" w:themeColor="text1"/>
          <w:kern w:val="0"/>
          <w:sz w:val="24"/>
          <w:szCs w:val="24"/>
        </w:rPr>
        <w:t>要求：</w:t>
      </w:r>
      <w:r>
        <w:rPr>
          <w:rFonts w:hint="eastAsia" w:ascii="宋体" w:hAnsi="宋体" w:cs="宋体"/>
          <w:b/>
          <w:kern w:val="0"/>
          <w:sz w:val="24"/>
        </w:rPr>
        <w:t>分批</w:t>
      </w:r>
      <w:r>
        <w:rPr>
          <w:rFonts w:ascii="宋体" w:hAnsi="宋体" w:cs="宋体"/>
          <w:b/>
          <w:kern w:val="0"/>
          <w:sz w:val="24"/>
        </w:rPr>
        <w:t>次供应</w:t>
      </w:r>
      <w:r>
        <w:rPr>
          <w:rFonts w:hint="eastAsia" w:ascii="宋体" w:hAnsi="宋体" w:cs="宋体"/>
          <w:b/>
          <w:kern w:val="0"/>
          <w:sz w:val="24"/>
        </w:rPr>
        <w:t>、</w:t>
      </w:r>
      <w:r>
        <w:rPr>
          <w:rFonts w:ascii="宋体" w:hAnsi="宋体" w:cs="宋体"/>
          <w:b/>
          <w:kern w:val="0"/>
          <w:sz w:val="24"/>
        </w:rPr>
        <w:t>每次</w:t>
      </w:r>
      <w:r>
        <w:rPr>
          <w:rFonts w:hint="eastAsia" w:ascii="宋体" w:hAnsi="宋体" w:cs="宋体"/>
          <w:b/>
          <w:kern w:val="0"/>
          <w:sz w:val="24"/>
        </w:rPr>
        <w:t>约12吨。</w:t>
      </w:r>
    </w:p>
    <w:p>
      <w:pPr>
        <w:widowControl/>
        <w:shd w:val="clear" w:color="auto" w:fill="FFFFFF"/>
        <w:spacing w:line="480" w:lineRule="auto"/>
        <w:jc w:val="left"/>
        <w:rPr>
          <w:rFonts w:cs="宋体" w:asciiTheme="minorEastAsia" w:hAnsiTheme="minorEastAsia"/>
          <w:color w:val="000000" w:themeColor="text1"/>
          <w:kern w:val="0"/>
          <w:sz w:val="24"/>
          <w:szCs w:val="24"/>
        </w:rPr>
      </w:pPr>
      <w:r>
        <w:rPr>
          <w:rFonts w:hint="eastAsia" w:cs="宋体" w:asciiTheme="minorEastAsia" w:hAnsiTheme="minorEastAsia"/>
          <w:color w:val="000000" w:themeColor="text1"/>
          <w:kern w:val="0"/>
          <w:sz w:val="24"/>
          <w:szCs w:val="24"/>
        </w:rPr>
        <w:t>2.</w:t>
      </w:r>
      <w:r>
        <w:rPr>
          <w:rFonts w:cs="宋体" w:asciiTheme="minorEastAsia" w:hAnsiTheme="minorEastAsia"/>
          <w:color w:val="000000" w:themeColor="text1"/>
          <w:kern w:val="0"/>
          <w:sz w:val="24"/>
          <w:szCs w:val="24"/>
        </w:rPr>
        <w:t>8</w:t>
      </w:r>
      <w:r>
        <w:rPr>
          <w:rFonts w:hint="eastAsia" w:cs="宋体" w:asciiTheme="minorEastAsia" w:hAnsiTheme="minorEastAsia"/>
          <w:color w:val="000000" w:themeColor="text1"/>
          <w:kern w:val="0"/>
          <w:sz w:val="24"/>
          <w:szCs w:val="24"/>
        </w:rPr>
        <w:t>验收方式。</w:t>
      </w:r>
    </w:p>
    <w:p>
      <w:pPr>
        <w:widowControl/>
        <w:shd w:val="clear" w:color="auto" w:fill="FFFFFF"/>
        <w:spacing w:line="480" w:lineRule="auto"/>
        <w:jc w:val="left"/>
        <w:rPr>
          <w:rFonts w:cs="宋体" w:asciiTheme="minorEastAsia" w:hAnsiTheme="minorEastAsia"/>
          <w:color w:val="000000" w:themeColor="text1"/>
          <w:kern w:val="0"/>
          <w:sz w:val="24"/>
          <w:szCs w:val="24"/>
        </w:rPr>
      </w:pPr>
      <w:r>
        <w:rPr>
          <w:rFonts w:cs="宋体" w:asciiTheme="minorEastAsia" w:hAnsiTheme="minorEastAsia"/>
          <w:color w:val="000000" w:themeColor="text1"/>
          <w:kern w:val="0"/>
          <w:sz w:val="24"/>
          <w:szCs w:val="24"/>
        </w:rPr>
        <w:t>2.8.1</w:t>
      </w:r>
      <w:r>
        <w:rPr>
          <w:rFonts w:hint="eastAsia" w:cs="宋体" w:asciiTheme="minorEastAsia" w:hAnsiTheme="minorEastAsia"/>
          <w:color w:val="000000" w:themeColor="text1"/>
          <w:kern w:val="0"/>
          <w:sz w:val="24"/>
          <w:szCs w:val="24"/>
        </w:rPr>
        <w:t>数量验收：以</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rPr>
        <w:t>厂内电子汽车衡的计量数据为准，并作为结算依据。</w:t>
      </w:r>
    </w:p>
    <w:p>
      <w:pPr>
        <w:widowControl/>
        <w:shd w:val="clear" w:color="auto" w:fill="FFFFFF"/>
        <w:spacing w:line="480" w:lineRule="auto"/>
        <w:jc w:val="left"/>
        <w:rPr>
          <w:rFonts w:ascii="宋体" w:hAnsi="宋体" w:cs="宋体"/>
          <w:color w:val="333333"/>
          <w:kern w:val="0"/>
          <w:sz w:val="24"/>
          <w:szCs w:val="24"/>
        </w:rPr>
      </w:pPr>
      <w:r>
        <w:rPr>
          <w:rFonts w:cs="宋体" w:asciiTheme="minorEastAsia" w:hAnsiTheme="minorEastAsia"/>
          <w:color w:val="000000" w:themeColor="text1"/>
          <w:kern w:val="0"/>
          <w:sz w:val="24"/>
          <w:szCs w:val="24"/>
        </w:rPr>
        <w:t>2.8.2</w:t>
      </w:r>
      <w:r>
        <w:rPr>
          <w:rFonts w:hint="eastAsia" w:cs="宋体" w:asciiTheme="minorEastAsia" w:hAnsiTheme="minorEastAsia"/>
          <w:color w:val="000000" w:themeColor="text1"/>
          <w:kern w:val="0"/>
          <w:sz w:val="24"/>
          <w:szCs w:val="24"/>
        </w:rPr>
        <w:t>质量验收：</w:t>
      </w:r>
      <w:r>
        <w:rPr>
          <w:rFonts w:hint="eastAsia" w:ascii="宋体" w:hAnsi="宋体"/>
          <w:sz w:val="24"/>
          <w:szCs w:val="24"/>
        </w:rPr>
        <w:t>由我司按照现有的设备对所取样品进行化验，并以化验结果作为结算依据。</w:t>
      </w:r>
    </w:p>
    <w:p>
      <w:pPr>
        <w:widowControl/>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3结算付款方式：按</w:t>
      </w:r>
      <w:r>
        <w:rPr>
          <w:rFonts w:hint="eastAsia" w:cs="宋体" w:asciiTheme="minorEastAsia" w:hAnsiTheme="minorEastAsia"/>
          <w:kern w:val="0"/>
          <w:sz w:val="24"/>
          <w:szCs w:val="24"/>
        </w:rPr>
        <w:t>月结算</w:t>
      </w:r>
      <w:r>
        <w:rPr>
          <w:rFonts w:cs="宋体" w:asciiTheme="minorEastAsia" w:hAnsiTheme="minorEastAsia"/>
          <w:kern w:val="0"/>
          <w:sz w:val="24"/>
          <w:szCs w:val="24"/>
        </w:rPr>
        <w:t>。</w:t>
      </w:r>
    </w:p>
    <w:p>
      <w:pPr>
        <w:widowControl/>
        <w:spacing w:line="480" w:lineRule="auto"/>
        <w:rPr>
          <w:rFonts w:cs="宋体" w:asciiTheme="minorEastAsia" w:hAnsiTheme="minorEastAsia"/>
          <w:color w:val="FF0000"/>
          <w:kern w:val="0"/>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3940_WPSOffice_Level1"/>
      <w:bookmarkStart w:id="47" w:name="_Toc15618_WPSOffice_Level1"/>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
      <w:pPr>
        <w:spacing w:line="500" w:lineRule="exact"/>
        <w:jc w:val="center"/>
        <w:rPr>
          <w:rFonts w:ascii="宋体" w:hAnsi="宋体"/>
          <w:sz w:val="44"/>
          <w:szCs w:val="44"/>
        </w:rPr>
      </w:pPr>
      <w:r>
        <w:rPr>
          <w:rFonts w:hint="eastAsia" w:ascii="宋体" w:hAnsi="宋体"/>
          <w:b/>
          <w:bCs/>
          <w:sz w:val="44"/>
          <w:szCs w:val="44"/>
        </w:rPr>
        <w:t>盐酸购销合同</w:t>
      </w:r>
    </w:p>
    <w:p>
      <w:pPr>
        <w:spacing w:line="500" w:lineRule="exact"/>
        <w:rPr>
          <w:rFonts w:ascii="仿宋" w:hAnsi="仿宋" w:eastAsia="仿宋"/>
          <w:szCs w:val="28"/>
        </w:rPr>
      </w:pPr>
    </w:p>
    <w:p>
      <w:pPr>
        <w:spacing w:line="276" w:lineRule="auto"/>
        <w:rPr>
          <w:rFonts w:asciiTheme="minorEastAsia" w:hAnsiTheme="minorEastAsia"/>
          <w:sz w:val="24"/>
          <w:szCs w:val="24"/>
        </w:rPr>
      </w:pPr>
      <w:r>
        <w:rPr>
          <w:rFonts w:hint="eastAsia" w:asciiTheme="minorEastAsia" w:hAnsiTheme="minorEastAsia"/>
          <w:sz w:val="24"/>
          <w:szCs w:val="24"/>
        </w:rPr>
        <w:t>一、产品名称、规格、数量、单价、金额</w:t>
      </w:r>
    </w:p>
    <w:tbl>
      <w:tblPr>
        <w:tblStyle w:val="11"/>
        <w:tblW w:w="97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1566"/>
        <w:gridCol w:w="1937"/>
        <w:gridCol w:w="1515"/>
        <w:gridCol w:w="3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03" w:hRule="atLeast"/>
          <w:jc w:val="center"/>
        </w:trPr>
        <w:tc>
          <w:tcPr>
            <w:tcW w:w="1418"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产品名称</w:t>
            </w:r>
          </w:p>
        </w:tc>
        <w:tc>
          <w:tcPr>
            <w:tcW w:w="1566"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规格</w:t>
            </w:r>
          </w:p>
        </w:tc>
        <w:tc>
          <w:tcPr>
            <w:tcW w:w="1937"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单价（元/吨）</w:t>
            </w:r>
          </w:p>
        </w:tc>
        <w:tc>
          <w:tcPr>
            <w:tcW w:w="1515"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数量（吨）</w:t>
            </w:r>
          </w:p>
        </w:tc>
        <w:tc>
          <w:tcPr>
            <w:tcW w:w="3297"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9" w:hRule="atLeast"/>
          <w:jc w:val="center"/>
        </w:trPr>
        <w:tc>
          <w:tcPr>
            <w:tcW w:w="1418"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盐酸</w:t>
            </w:r>
          </w:p>
        </w:tc>
        <w:tc>
          <w:tcPr>
            <w:tcW w:w="1566"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浓度≥31%</w:t>
            </w:r>
          </w:p>
        </w:tc>
        <w:tc>
          <w:tcPr>
            <w:tcW w:w="1937" w:type="dxa"/>
            <w:vAlign w:val="center"/>
          </w:tcPr>
          <w:p>
            <w:pPr>
              <w:spacing w:line="276" w:lineRule="auto"/>
              <w:jc w:val="center"/>
              <w:rPr>
                <w:rFonts w:asciiTheme="minorEastAsia" w:hAnsiTheme="minorEastAsia"/>
                <w:color w:val="FF0000"/>
                <w:sz w:val="24"/>
                <w:szCs w:val="24"/>
              </w:rPr>
            </w:pPr>
          </w:p>
        </w:tc>
        <w:tc>
          <w:tcPr>
            <w:tcW w:w="1515" w:type="dxa"/>
            <w:vAlign w:val="center"/>
          </w:tcPr>
          <w:p>
            <w:pPr>
              <w:spacing w:line="276" w:lineRule="auto"/>
              <w:jc w:val="center"/>
              <w:rPr>
                <w:rFonts w:asciiTheme="minorEastAsia" w:hAnsiTheme="minorEastAsia"/>
                <w:sz w:val="24"/>
                <w:szCs w:val="24"/>
              </w:rPr>
            </w:pPr>
          </w:p>
        </w:tc>
        <w:tc>
          <w:tcPr>
            <w:tcW w:w="3297" w:type="dxa"/>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根据需方通知分批次送货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2984" w:type="dxa"/>
            <w:gridSpan w:val="2"/>
            <w:vAlign w:val="center"/>
          </w:tcPr>
          <w:p>
            <w:pPr>
              <w:spacing w:line="276" w:lineRule="auto"/>
              <w:jc w:val="center"/>
              <w:rPr>
                <w:rFonts w:asciiTheme="minorEastAsia" w:hAnsiTheme="minorEastAsia"/>
                <w:sz w:val="24"/>
                <w:szCs w:val="24"/>
              </w:rPr>
            </w:pPr>
            <w:r>
              <w:rPr>
                <w:rFonts w:hint="eastAsia" w:asciiTheme="minorEastAsia" w:hAnsiTheme="minorEastAsia"/>
                <w:sz w:val="24"/>
                <w:szCs w:val="24"/>
              </w:rPr>
              <w:t>合计人民币金额</w:t>
            </w:r>
          </w:p>
        </w:tc>
        <w:tc>
          <w:tcPr>
            <w:tcW w:w="6749" w:type="dxa"/>
            <w:gridSpan w:val="3"/>
            <w:vAlign w:val="center"/>
          </w:tcPr>
          <w:p>
            <w:pPr>
              <w:spacing w:line="276" w:lineRule="auto"/>
              <w:rPr>
                <w:rFonts w:asciiTheme="minorEastAsia" w:hAnsiTheme="minorEastAsia"/>
                <w:color w:val="FF0000"/>
                <w:sz w:val="24"/>
                <w:szCs w:val="24"/>
              </w:rPr>
            </w:pPr>
          </w:p>
        </w:tc>
      </w:tr>
    </w:tbl>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二、</w:t>
      </w:r>
      <w:r>
        <w:rPr>
          <w:rFonts w:hint="eastAsia" w:asciiTheme="minorEastAsia" w:hAnsiTheme="minorEastAsia"/>
          <w:bCs/>
          <w:sz w:val="24"/>
          <w:szCs w:val="24"/>
        </w:rPr>
        <w:t>质量标准、质保的条件和期限</w:t>
      </w:r>
      <w:r>
        <w:rPr>
          <w:rFonts w:hint="eastAsia" w:asciiTheme="minorEastAsia" w:hAnsiTheme="minorEastAsia"/>
          <w:b/>
          <w:bCs/>
          <w:sz w:val="24"/>
          <w:szCs w:val="24"/>
        </w:rPr>
        <w:t>：</w:t>
      </w:r>
      <w:r>
        <w:rPr>
          <w:rFonts w:hint="eastAsia" w:asciiTheme="minorEastAsia" w:hAnsiTheme="minorEastAsia"/>
          <w:bCs/>
          <w:sz w:val="24"/>
          <w:szCs w:val="24"/>
        </w:rPr>
        <w:t xml:space="preserve">HG/T2778 </w:t>
      </w:r>
      <w:r>
        <w:rPr>
          <w:rFonts w:hint="eastAsia" w:asciiTheme="minorEastAsia" w:hAnsiTheme="minorEastAsia"/>
          <w:color w:val="333333"/>
          <w:sz w:val="24"/>
          <w:szCs w:val="24"/>
          <w:shd w:val="clear" w:color="auto" w:fill="FFFFFF"/>
        </w:rPr>
        <w:t>盐酸行业标准。</w:t>
      </w:r>
    </w:p>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三、</w:t>
      </w:r>
      <w:r>
        <w:rPr>
          <w:rFonts w:hint="eastAsia" w:asciiTheme="minorEastAsia" w:hAnsiTheme="minorEastAsia"/>
          <w:bCs/>
          <w:sz w:val="24"/>
          <w:szCs w:val="24"/>
        </w:rPr>
        <w:t>供方须向需方提供完整的相应证书及供应每一批次产品的出厂检测报告。</w:t>
      </w:r>
      <w:r>
        <w:rPr>
          <w:rFonts w:hint="eastAsia" w:asciiTheme="minorEastAsia" w:hAnsiTheme="minorEastAsia"/>
          <w:sz w:val="24"/>
          <w:szCs w:val="24"/>
        </w:rPr>
        <w:t>需方需持有当地公安机关办理的第三类易制毒购买（盐酸）备案证明原件，方能购买。</w:t>
      </w:r>
    </w:p>
    <w:p>
      <w:pPr>
        <w:spacing w:line="520" w:lineRule="exact"/>
        <w:ind w:firstLine="480" w:firstLineChars="200"/>
        <w:rPr>
          <w:rFonts w:asciiTheme="minorEastAsia" w:hAnsiTheme="minorEastAsia"/>
          <w:bCs/>
          <w:sz w:val="24"/>
          <w:szCs w:val="24"/>
        </w:rPr>
      </w:pPr>
      <w:r>
        <w:rPr>
          <w:rFonts w:hint="eastAsia" w:asciiTheme="minorEastAsia" w:hAnsiTheme="minorEastAsia"/>
          <w:sz w:val="24"/>
          <w:szCs w:val="24"/>
        </w:rPr>
        <w:t>四、</w:t>
      </w:r>
      <w:r>
        <w:rPr>
          <w:rFonts w:hint="eastAsia" w:asciiTheme="minorEastAsia" w:hAnsiTheme="minorEastAsia"/>
          <w:bCs/>
          <w:sz w:val="24"/>
          <w:szCs w:val="24"/>
        </w:rPr>
        <w:t>交（提）货方式、地点及费用：</w:t>
      </w:r>
    </w:p>
    <w:p>
      <w:pPr>
        <w:spacing w:line="520" w:lineRule="exact"/>
        <w:ind w:firstLine="480" w:firstLineChars="200"/>
        <w:rPr>
          <w:rFonts w:asciiTheme="minorEastAsia" w:hAnsiTheme="minorEastAsia"/>
          <w:sz w:val="24"/>
          <w:szCs w:val="24"/>
        </w:rPr>
      </w:pPr>
      <w:r>
        <w:rPr>
          <w:rFonts w:hint="eastAsia" w:asciiTheme="minorEastAsia" w:hAnsiTheme="minorEastAsia"/>
          <w:bCs/>
          <w:sz w:val="24"/>
          <w:szCs w:val="24"/>
        </w:rPr>
        <w:t>1、</w:t>
      </w:r>
      <w:r>
        <w:rPr>
          <w:rFonts w:hint="eastAsia" w:asciiTheme="minorEastAsia" w:hAnsiTheme="minorEastAsia"/>
          <w:sz w:val="24"/>
          <w:szCs w:val="24"/>
        </w:rPr>
        <w:t>供方负责安全运输到需方厂区内指定地点，运费用由供方承担。</w:t>
      </w:r>
    </w:p>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2、交货期：供方在接到需方通知后3天内送达。</w:t>
      </w:r>
    </w:p>
    <w:p>
      <w:pPr>
        <w:spacing w:line="460" w:lineRule="exact"/>
        <w:ind w:firstLine="480" w:firstLineChars="200"/>
        <w:rPr>
          <w:rFonts w:asciiTheme="minorEastAsia" w:hAnsiTheme="minorEastAsia"/>
          <w:sz w:val="24"/>
          <w:szCs w:val="24"/>
        </w:rPr>
      </w:pPr>
      <w:r>
        <w:rPr>
          <w:rFonts w:hint="eastAsia" w:asciiTheme="minorEastAsia" w:hAnsiTheme="minorEastAsia"/>
          <w:sz w:val="24"/>
          <w:szCs w:val="24"/>
        </w:rPr>
        <w:t>五、品质要求</w:t>
      </w:r>
      <w:r>
        <w:rPr>
          <w:rFonts w:hint="eastAsia" w:asciiTheme="minorEastAsia" w:hAnsiTheme="minorEastAsia"/>
          <w:bCs/>
          <w:sz w:val="24"/>
          <w:szCs w:val="24"/>
        </w:rPr>
        <w:t>:</w:t>
      </w:r>
    </w:p>
    <w:p>
      <w:pPr>
        <w:spacing w:line="460" w:lineRule="exact"/>
        <w:ind w:firstLine="360" w:firstLineChars="150"/>
        <w:rPr>
          <w:rFonts w:ascii="宋体" w:hAnsi="宋体"/>
          <w:sz w:val="24"/>
          <w:szCs w:val="24"/>
        </w:rPr>
      </w:pPr>
      <w:r>
        <w:rPr>
          <w:rFonts w:hint="eastAsia" w:ascii="宋体" w:hAnsi="宋体"/>
          <w:sz w:val="24"/>
          <w:szCs w:val="24"/>
        </w:rPr>
        <w:t>1、若供货产品，溶度≥3</w:t>
      </w:r>
      <w:r>
        <w:rPr>
          <w:rFonts w:ascii="宋体" w:hAnsi="宋体"/>
          <w:sz w:val="24"/>
          <w:szCs w:val="24"/>
        </w:rPr>
        <w:t>1</w:t>
      </w:r>
      <w:r>
        <w:rPr>
          <w:rFonts w:hint="eastAsia" w:ascii="宋体" w:hAnsi="宋体"/>
          <w:sz w:val="24"/>
          <w:szCs w:val="24"/>
        </w:rPr>
        <w:t>%，</w:t>
      </w:r>
      <w:r>
        <w:rPr>
          <w:rFonts w:ascii="宋体" w:hAnsi="宋体"/>
          <w:sz w:val="24"/>
          <w:szCs w:val="24"/>
        </w:rPr>
        <w:t>按</w:t>
      </w:r>
      <w:r>
        <w:rPr>
          <w:rFonts w:hint="eastAsia" w:ascii="宋体" w:hAnsi="宋体"/>
          <w:sz w:val="24"/>
          <w:szCs w:val="24"/>
          <w:highlight w:val="cyan"/>
        </w:rPr>
        <w:t>成交</w:t>
      </w:r>
      <w:r>
        <w:rPr>
          <w:rFonts w:ascii="宋体" w:hAnsi="宋体"/>
          <w:sz w:val="24"/>
          <w:szCs w:val="24"/>
          <w:highlight w:val="cyan"/>
        </w:rPr>
        <w:t>价</w:t>
      </w:r>
      <w:r>
        <w:rPr>
          <w:rFonts w:ascii="宋体" w:hAnsi="宋体"/>
          <w:sz w:val="24"/>
          <w:szCs w:val="24"/>
        </w:rPr>
        <w:t>结算</w:t>
      </w:r>
    </w:p>
    <w:p>
      <w:pPr>
        <w:spacing w:line="460" w:lineRule="exact"/>
        <w:ind w:firstLine="360" w:firstLineChars="150"/>
        <w:rPr>
          <w:rFonts w:ascii="宋体" w:hAnsi="宋体"/>
          <w:sz w:val="24"/>
          <w:szCs w:val="24"/>
        </w:rPr>
      </w:pPr>
      <w:r>
        <w:rPr>
          <w:rFonts w:hint="eastAsia" w:ascii="宋体" w:hAnsi="宋体"/>
          <w:sz w:val="24"/>
          <w:szCs w:val="24"/>
        </w:rPr>
        <w:t>2、若供货产品，3</w:t>
      </w:r>
      <w:r>
        <w:rPr>
          <w:rFonts w:ascii="宋体" w:hAnsi="宋体"/>
          <w:sz w:val="24"/>
          <w:szCs w:val="24"/>
        </w:rPr>
        <w:t>1</w:t>
      </w:r>
      <w:r>
        <w:rPr>
          <w:rFonts w:hint="eastAsia" w:ascii="宋体" w:hAnsi="宋体"/>
          <w:sz w:val="24"/>
          <w:szCs w:val="24"/>
        </w:rPr>
        <w:t>%＞溶度≥29%，将扣除该批次金额的10%。</w:t>
      </w:r>
    </w:p>
    <w:p>
      <w:pPr>
        <w:spacing w:line="460" w:lineRule="exact"/>
        <w:ind w:firstLine="360" w:firstLineChars="150"/>
        <w:rPr>
          <w:rFonts w:ascii="宋体" w:hAnsi="宋体"/>
          <w:sz w:val="24"/>
          <w:szCs w:val="24"/>
        </w:rPr>
      </w:pPr>
      <w:r>
        <w:rPr>
          <w:rFonts w:hint="eastAsia" w:ascii="宋体" w:hAnsi="宋体"/>
          <w:sz w:val="24"/>
          <w:szCs w:val="24"/>
        </w:rPr>
        <w:t>3、若供货产品，29%＞溶度＞28%，将扣除该批次金额的20%。</w:t>
      </w:r>
    </w:p>
    <w:p>
      <w:pPr>
        <w:spacing w:line="540" w:lineRule="exact"/>
        <w:ind w:firstLine="360" w:firstLineChars="150"/>
        <w:rPr>
          <w:rFonts w:ascii="仿宋_GB2312" w:hAnsi="仿宋" w:eastAsia="仿宋_GB2312"/>
          <w:sz w:val="24"/>
          <w:szCs w:val="24"/>
        </w:rPr>
      </w:pPr>
      <w:r>
        <w:rPr>
          <w:rFonts w:hint="eastAsia" w:ascii="宋体" w:hAnsi="宋体"/>
          <w:sz w:val="24"/>
          <w:szCs w:val="24"/>
        </w:rPr>
        <w:t>4、若供货产品，溶度≤28%，需方将无偿使用该批次产品或有权要求供方退换该批次全部产品，因此造成的损失由供方负责。</w:t>
      </w:r>
    </w:p>
    <w:p>
      <w:pPr>
        <w:spacing w:line="52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六、质保金、质保期：</w:t>
      </w:r>
    </w:p>
    <w:p>
      <w:pPr>
        <w:spacing w:line="52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1、经供需双方协商一致，供方将原投标保证金伍仟元整（￥5000.00元）直接转为质保金，质保期至202</w:t>
      </w:r>
      <w:r>
        <w:rPr>
          <w:rFonts w:asciiTheme="majorEastAsia" w:hAnsiTheme="majorEastAsia" w:eastAsiaTheme="majorEastAsia"/>
          <w:sz w:val="24"/>
          <w:szCs w:val="24"/>
        </w:rPr>
        <w:t>3</w:t>
      </w:r>
      <w:r>
        <w:rPr>
          <w:rFonts w:hint="eastAsia" w:asciiTheme="majorEastAsia" w:hAnsiTheme="majorEastAsia" w:eastAsiaTheme="majorEastAsia"/>
          <w:sz w:val="24"/>
          <w:szCs w:val="24"/>
        </w:rPr>
        <w:t>年7月10日。</w:t>
      </w:r>
    </w:p>
    <w:p>
      <w:pPr>
        <w:spacing w:line="52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2、质保期满货物没有出现质量问题，需方应在质保期满后的五个工作日内将质保金无息退还给供方。如货物出现质量问题，包括但不限于给需方造成的损失等费用均可从质保金中扣除。如有余额返还给供方，如质保金不足以弥补给需方造成的损失等前述费用，需方有权继续追索。</w:t>
      </w:r>
    </w:p>
    <w:p>
      <w:pPr>
        <w:spacing w:line="520" w:lineRule="exact"/>
        <w:ind w:firstLine="480" w:firstLineChars="200"/>
        <w:rPr>
          <w:rFonts w:asciiTheme="majorEastAsia" w:hAnsiTheme="majorEastAsia" w:eastAsiaTheme="majorEastAsia"/>
          <w:sz w:val="24"/>
          <w:szCs w:val="24"/>
        </w:rPr>
      </w:pPr>
      <w:r>
        <w:rPr>
          <w:rFonts w:hint="eastAsia" w:asciiTheme="majorEastAsia" w:hAnsiTheme="majorEastAsia" w:eastAsiaTheme="majorEastAsia"/>
          <w:bCs/>
          <w:sz w:val="24"/>
          <w:szCs w:val="24"/>
        </w:rPr>
        <w:t>七、结算方式、时间、地点：</w:t>
      </w:r>
      <w:r>
        <w:rPr>
          <w:rFonts w:hint="eastAsia" w:asciiTheme="majorEastAsia" w:hAnsiTheme="majorEastAsia" w:eastAsiaTheme="majorEastAsia"/>
          <w:sz w:val="24"/>
          <w:szCs w:val="24"/>
        </w:rPr>
        <w:t>货到付款，以需方磅单为准，供方出具13%增值税全额发票给需方，需方在收到发票后10个工作日内支付相应款项。若国家税率调整，含税价格须作相应调整。</w:t>
      </w:r>
    </w:p>
    <w:p>
      <w:pPr>
        <w:spacing w:line="520" w:lineRule="exact"/>
        <w:ind w:firstLine="480" w:firstLineChars="200"/>
        <w:rPr>
          <w:rFonts w:asciiTheme="minorEastAsia" w:hAnsiTheme="minorEastAsia"/>
          <w:bCs/>
          <w:sz w:val="24"/>
          <w:szCs w:val="24"/>
        </w:rPr>
      </w:pPr>
      <w:r>
        <w:rPr>
          <w:rFonts w:hint="eastAsia" w:asciiTheme="minorEastAsia" w:hAnsiTheme="minorEastAsia"/>
          <w:sz w:val="24"/>
          <w:szCs w:val="24"/>
        </w:rPr>
        <w:t>八、</w:t>
      </w:r>
      <w:r>
        <w:rPr>
          <w:rFonts w:hint="eastAsia" w:asciiTheme="minorEastAsia" w:hAnsiTheme="minorEastAsia"/>
          <w:bCs/>
          <w:sz w:val="24"/>
          <w:szCs w:val="24"/>
        </w:rPr>
        <w:t>违约责任：</w:t>
      </w:r>
    </w:p>
    <w:p>
      <w:pPr>
        <w:spacing w:line="520" w:lineRule="exact"/>
        <w:ind w:firstLine="480" w:firstLineChars="200"/>
        <w:rPr>
          <w:rFonts w:asciiTheme="minorEastAsia" w:hAnsiTheme="minorEastAsia"/>
          <w:sz w:val="24"/>
          <w:szCs w:val="24"/>
        </w:rPr>
      </w:pPr>
      <w:r>
        <w:rPr>
          <w:rFonts w:hint="eastAsia" w:asciiTheme="minorEastAsia" w:hAnsiTheme="minorEastAsia"/>
          <w:bCs/>
          <w:sz w:val="24"/>
          <w:szCs w:val="24"/>
        </w:rPr>
        <w:t>1、</w:t>
      </w:r>
      <w:r>
        <w:rPr>
          <w:rFonts w:hint="eastAsia" w:asciiTheme="minorEastAsia" w:hAnsiTheme="minorEastAsia"/>
          <w:sz w:val="24"/>
          <w:szCs w:val="24"/>
        </w:rPr>
        <w:t>供方产品质量不符合合同规定的，需方有权向供方提出赔偿；</w:t>
      </w:r>
    </w:p>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2、供方若延迟交货，须承担总价款的日千分之五违约金；逾期五个工作日，需方可单方解除合同，供方仍应承担违约责任。</w:t>
      </w:r>
    </w:p>
    <w:p>
      <w:pPr>
        <w:spacing w:line="520" w:lineRule="exact"/>
        <w:ind w:firstLine="480" w:firstLineChars="200"/>
        <w:rPr>
          <w:rStyle w:val="27"/>
          <w:rFonts w:asciiTheme="minorEastAsia" w:hAnsiTheme="minorEastAsia" w:eastAsiaTheme="minorEastAsia"/>
          <w:b w:val="0"/>
          <w:sz w:val="24"/>
          <w:szCs w:val="24"/>
        </w:rPr>
      </w:pPr>
      <w:r>
        <w:rPr>
          <w:rFonts w:hint="eastAsia" w:asciiTheme="minorEastAsia" w:hAnsiTheme="minorEastAsia"/>
          <w:sz w:val="24"/>
          <w:szCs w:val="24"/>
        </w:rPr>
        <w:t>九、</w:t>
      </w:r>
      <w:r>
        <w:rPr>
          <w:rFonts w:hint="eastAsia" w:asciiTheme="minorEastAsia" w:hAnsiTheme="minorEastAsia"/>
          <w:bCs/>
          <w:sz w:val="24"/>
          <w:szCs w:val="24"/>
        </w:rPr>
        <w:t>合同争议的解决方式：</w:t>
      </w:r>
      <w:r>
        <w:rPr>
          <w:rFonts w:hint="eastAsia" w:asciiTheme="minorEastAsia" w:hAnsiTheme="minorEastAsia"/>
          <w:sz w:val="24"/>
          <w:szCs w:val="24"/>
        </w:rPr>
        <w:t>本合同在履行过程中发生的争议，由双方当事人协商解决，协商、调解不成的，</w:t>
      </w:r>
      <w:r>
        <w:rPr>
          <w:rStyle w:val="27"/>
          <w:rFonts w:hint="eastAsia" w:asciiTheme="minorEastAsia" w:hAnsiTheme="minorEastAsia" w:eastAsiaTheme="minorEastAsia"/>
          <w:sz w:val="24"/>
          <w:szCs w:val="24"/>
        </w:rPr>
        <w:t>可依法向需方所在地有管辖权的人民法院起诉。</w:t>
      </w:r>
    </w:p>
    <w:p>
      <w:pPr>
        <w:spacing w:line="520" w:lineRule="exact"/>
        <w:ind w:firstLine="480" w:firstLineChars="200"/>
        <w:rPr>
          <w:rFonts w:asciiTheme="minorEastAsia" w:hAnsiTheme="minorEastAsia"/>
          <w:bCs/>
          <w:sz w:val="24"/>
          <w:szCs w:val="24"/>
        </w:rPr>
      </w:pPr>
      <w:r>
        <w:rPr>
          <w:rFonts w:hint="eastAsia" w:asciiTheme="minorEastAsia" w:hAnsiTheme="minorEastAsia"/>
          <w:sz w:val="24"/>
          <w:szCs w:val="24"/>
        </w:rPr>
        <w:t>十、</w:t>
      </w:r>
      <w:r>
        <w:rPr>
          <w:rFonts w:hint="eastAsia" w:asciiTheme="minorEastAsia" w:hAnsiTheme="minorEastAsia"/>
          <w:bCs/>
          <w:sz w:val="24"/>
          <w:szCs w:val="24"/>
        </w:rPr>
        <w:t>其他：</w:t>
      </w:r>
    </w:p>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1、本合同自签订之日起生效。合同有效期自</w:t>
      </w:r>
      <w:r>
        <w:rPr>
          <w:rFonts w:asciiTheme="minorEastAsia" w:hAnsiTheme="minorEastAsia"/>
          <w:sz w:val="24"/>
          <w:szCs w:val="24"/>
        </w:rPr>
        <w:t>20</w:t>
      </w:r>
      <w:r>
        <w:rPr>
          <w:rFonts w:hint="eastAsia" w:asciiTheme="minorEastAsia" w:hAnsiTheme="minorEastAsia"/>
          <w:sz w:val="24"/>
          <w:szCs w:val="24"/>
        </w:rPr>
        <w:t>23年1月1日起至</w:t>
      </w:r>
      <w:r>
        <w:rPr>
          <w:rFonts w:asciiTheme="minorEastAsia" w:hAnsiTheme="minorEastAsia"/>
          <w:sz w:val="24"/>
          <w:szCs w:val="24"/>
        </w:rPr>
        <w:t>20</w:t>
      </w:r>
      <w:r>
        <w:rPr>
          <w:rFonts w:hint="eastAsia" w:asciiTheme="minorEastAsia" w:hAnsiTheme="minorEastAsia"/>
          <w:sz w:val="24"/>
          <w:szCs w:val="24"/>
        </w:rPr>
        <w:t>23年6月30日。</w:t>
      </w:r>
    </w:p>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2、本合同一式三份，需方二份，供方一份，具有同等法律效力。</w:t>
      </w:r>
    </w:p>
    <w:p>
      <w:pPr>
        <w:spacing w:line="520" w:lineRule="exact"/>
        <w:ind w:firstLine="480" w:firstLineChars="200"/>
        <w:rPr>
          <w:rFonts w:asciiTheme="minorEastAsia" w:hAnsiTheme="minorEastAsia"/>
          <w:sz w:val="24"/>
          <w:szCs w:val="24"/>
        </w:rPr>
      </w:pPr>
      <w:r>
        <w:rPr>
          <w:rFonts w:hint="eastAsia" w:asciiTheme="minorEastAsia" w:hAnsiTheme="minorEastAsia"/>
          <w:sz w:val="24"/>
          <w:szCs w:val="24"/>
        </w:rPr>
        <w:t>3、本合同自双方代表签字，并加盖公章或合同专用章即生效。</w:t>
      </w:r>
    </w:p>
    <w:tbl>
      <w:tblPr>
        <w:tblStyle w:val="11"/>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3"/>
        <w:gridCol w:w="4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5" w:hRule="atLeast"/>
          <w:jc w:val="center"/>
        </w:trPr>
        <w:tc>
          <w:tcPr>
            <w:tcW w:w="4653" w:type="dxa"/>
          </w:tcPr>
          <w:p>
            <w:pPr>
              <w:rPr>
                <w:rFonts w:ascii="宋体" w:hAnsi="宋体"/>
                <w:sz w:val="24"/>
                <w:szCs w:val="24"/>
                <w:highlight w:val="cyan"/>
              </w:rPr>
            </w:pPr>
            <w:r>
              <w:rPr>
                <w:rFonts w:hint="eastAsia" w:ascii="宋体" w:hAnsi="宋体"/>
                <w:sz w:val="24"/>
                <w:szCs w:val="24"/>
              </w:rPr>
              <w:t>供方：</w:t>
            </w:r>
          </w:p>
          <w:p>
            <w:pPr>
              <w:rPr>
                <w:rFonts w:ascii="宋体" w:hAnsi="宋体"/>
                <w:sz w:val="24"/>
                <w:szCs w:val="24"/>
              </w:rPr>
            </w:pPr>
            <w:r>
              <w:rPr>
                <w:rFonts w:hint="eastAsia" w:ascii="宋体" w:hAnsi="宋体"/>
                <w:sz w:val="24"/>
                <w:szCs w:val="24"/>
              </w:rPr>
              <w:t>地址：</w:t>
            </w:r>
          </w:p>
          <w:p>
            <w:pPr>
              <w:rPr>
                <w:rFonts w:ascii="宋体" w:hAnsi="宋体"/>
                <w:sz w:val="24"/>
                <w:szCs w:val="24"/>
              </w:rPr>
            </w:pPr>
            <w:r>
              <w:rPr>
                <w:rFonts w:hint="eastAsia" w:ascii="宋体" w:hAnsi="宋体"/>
                <w:sz w:val="24"/>
                <w:szCs w:val="24"/>
              </w:rPr>
              <w:t>法定代表人：</w:t>
            </w:r>
          </w:p>
          <w:p>
            <w:pPr>
              <w:rPr>
                <w:rFonts w:ascii="宋体" w:hAnsi="宋体"/>
                <w:sz w:val="24"/>
                <w:szCs w:val="24"/>
              </w:rPr>
            </w:pPr>
            <w:r>
              <w:rPr>
                <w:rFonts w:hint="eastAsia" w:ascii="宋体" w:hAnsi="宋体"/>
                <w:sz w:val="24"/>
                <w:szCs w:val="24"/>
              </w:rPr>
              <w:t xml:space="preserve">经办人： </w:t>
            </w:r>
          </w:p>
          <w:p>
            <w:pPr>
              <w:rPr>
                <w:rFonts w:ascii="宋体" w:hAnsi="宋体"/>
                <w:sz w:val="24"/>
                <w:szCs w:val="24"/>
              </w:rPr>
            </w:pPr>
            <w:r>
              <w:rPr>
                <w:rFonts w:hint="eastAsia" w:ascii="宋体" w:hAnsi="宋体"/>
                <w:sz w:val="24"/>
                <w:szCs w:val="24"/>
              </w:rPr>
              <w:t>开户银行：</w:t>
            </w:r>
          </w:p>
          <w:p>
            <w:pPr>
              <w:rPr>
                <w:rFonts w:ascii="宋体" w:hAnsi="宋体"/>
                <w:sz w:val="24"/>
                <w:szCs w:val="24"/>
                <w:u w:val="single"/>
              </w:rPr>
            </w:pPr>
            <w:r>
              <w:rPr>
                <w:rFonts w:hint="eastAsia" w:ascii="宋体" w:hAnsi="宋体"/>
                <w:sz w:val="24"/>
                <w:szCs w:val="24"/>
              </w:rPr>
              <w:t>账号：</w:t>
            </w:r>
          </w:p>
          <w:p>
            <w:pPr>
              <w:rPr>
                <w:rFonts w:ascii="宋体" w:hAnsi="宋体"/>
                <w:sz w:val="24"/>
                <w:szCs w:val="24"/>
              </w:rPr>
            </w:pPr>
            <w:r>
              <w:rPr>
                <w:rFonts w:hint="eastAsia" w:ascii="宋体" w:hAnsi="宋体"/>
                <w:sz w:val="24"/>
                <w:szCs w:val="24"/>
              </w:rPr>
              <w:t>邮政编码：</w:t>
            </w:r>
          </w:p>
          <w:p>
            <w:pPr>
              <w:rPr>
                <w:rFonts w:ascii="宋体" w:hAnsi="宋体"/>
                <w:bCs/>
                <w:sz w:val="24"/>
                <w:szCs w:val="24"/>
              </w:rPr>
            </w:pPr>
            <w:r>
              <w:rPr>
                <w:rFonts w:hint="eastAsia" w:ascii="宋体" w:hAnsi="宋体"/>
                <w:sz w:val="24"/>
                <w:szCs w:val="24"/>
              </w:rPr>
              <w:t>电话：</w:t>
            </w:r>
          </w:p>
          <w:p>
            <w:pPr>
              <w:rPr>
                <w:rFonts w:asciiTheme="majorEastAsia" w:hAnsiTheme="majorEastAsia" w:eastAsiaTheme="majorEastAsia" w:cstheme="majorEastAsia"/>
                <w:sz w:val="24"/>
                <w:szCs w:val="24"/>
              </w:rPr>
            </w:pPr>
            <w:r>
              <w:rPr>
                <w:rFonts w:hint="eastAsia" w:ascii="宋体" w:hAnsi="宋体"/>
                <w:sz w:val="24"/>
                <w:szCs w:val="24"/>
              </w:rPr>
              <w:t>传真：</w:t>
            </w:r>
          </w:p>
        </w:tc>
        <w:tc>
          <w:tcPr>
            <w:tcW w:w="4347" w:type="dxa"/>
          </w:tcPr>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需方：厦门同集热电有限公司    </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单位地址：厦门市同安区美禾三路399号</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法定代表人：</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经办人：</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开户银行：建设银行厦门分行集美支行</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账号：</w:t>
            </w:r>
            <w:r>
              <w:rPr>
                <w:rFonts w:hint="eastAsia" w:asciiTheme="majorEastAsia" w:hAnsiTheme="majorEastAsia" w:eastAsiaTheme="majorEastAsia"/>
                <w:sz w:val="24"/>
                <w:szCs w:val="24"/>
              </w:rPr>
              <w:t>35101556001050000117</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邮政编码：361022</w:t>
            </w:r>
          </w:p>
          <w:p>
            <w:pPr>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sz w:val="24"/>
                <w:szCs w:val="24"/>
              </w:rPr>
              <w:t>电话：0592-7396211</w:t>
            </w:r>
          </w:p>
          <w:p>
            <w:pPr>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传真：0592-7396211</w:t>
            </w:r>
          </w:p>
        </w:tc>
      </w:tr>
    </w:tbl>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FF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
    <w:p/>
    <w:p/>
    <w:p/>
    <w:p/>
    <w:p/>
    <w:p/>
    <w:p/>
    <w:p/>
    <w:p/>
    <w:p/>
    <w:p/>
    <w:p/>
    <w:p/>
    <w:p/>
    <w:p/>
    <w:p/>
    <w:p/>
    <w:p/>
    <w:p/>
    <w:p/>
    <w:p/>
    <w:p/>
    <w:p/>
    <w:p/>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44"/>
          <w:szCs w:val="44"/>
        </w:rPr>
      </w:pPr>
      <w:bookmarkStart w:id="48" w:name="_Toc3580"/>
      <w:bookmarkStart w:id="49" w:name="_Toc28305"/>
      <w:bookmarkStart w:id="50" w:name="_Toc30894"/>
      <w:r>
        <w:rPr>
          <w:rFonts w:hint="eastAsia" w:ascii="宋体" w:hAnsi="宋体"/>
          <w:b/>
          <w:sz w:val="44"/>
          <w:szCs w:val="44"/>
        </w:rPr>
        <w:t>同集热</w:t>
      </w:r>
      <w:r>
        <w:rPr>
          <w:rFonts w:ascii="宋体" w:hAnsi="宋体"/>
          <w:b/>
          <w:sz w:val="44"/>
          <w:szCs w:val="44"/>
        </w:rPr>
        <w:t>电</w:t>
      </w:r>
      <w:r>
        <w:rPr>
          <w:rFonts w:hint="eastAsia" w:ascii="宋体" w:hAnsi="宋体"/>
          <w:b/>
          <w:sz w:val="44"/>
          <w:szCs w:val="44"/>
        </w:rPr>
        <w:t>盐酸采购项目</w:t>
      </w:r>
    </w:p>
    <w:bookmarkEnd w:id="48"/>
    <w:bookmarkEnd w:id="49"/>
    <w:bookmarkEnd w:id="50"/>
    <w:p>
      <w:pPr>
        <w:spacing w:line="360" w:lineRule="auto"/>
        <w:jc w:val="center"/>
        <w:outlineLvl w:val="0"/>
        <w:rPr>
          <w:rFonts w:ascii="宋体" w:hAnsi="宋体"/>
          <w:b/>
          <w:sz w:val="44"/>
          <w:szCs w:val="44"/>
        </w:rPr>
      </w:pPr>
      <w:r>
        <w:rPr>
          <w:rFonts w:hint="eastAsia" w:ascii="宋体" w:hAnsi="宋体"/>
          <w:b/>
          <w:sz w:val="44"/>
          <w:szCs w:val="44"/>
        </w:rPr>
        <w:t>报价文件</w:t>
      </w:r>
    </w:p>
    <w:p>
      <w:pPr>
        <w:spacing w:line="360" w:lineRule="auto"/>
        <w:rPr>
          <w:rFonts w:ascii="宋体" w:hAnsi="宋体"/>
          <w:b/>
          <w:sz w:val="36"/>
        </w:rPr>
      </w:pPr>
    </w:p>
    <w:p>
      <w:pPr>
        <w:spacing w:beforeLines="50" w:line="400" w:lineRule="atLeast"/>
        <w:ind w:firstLine="602" w:firstLineChars="200"/>
        <w:jc w:val="left"/>
        <w:outlineLvl w:val="0"/>
        <w:rPr>
          <w:rFonts w:ascii="宋体" w:hAnsi="宋体"/>
          <w:b/>
          <w:bCs/>
          <w:sz w:val="30"/>
          <w:szCs w:val="30"/>
          <w:u w:val="single"/>
        </w:rPr>
      </w:pPr>
      <w:bookmarkStart w:id="51" w:name="_Toc10610"/>
      <w:bookmarkStart w:id="52" w:name="_Toc12676"/>
      <w:bookmarkStart w:id="53" w:name="_Toc26010"/>
      <w:bookmarkStart w:id="54" w:name="_Toc31210"/>
      <w:bookmarkStart w:id="55" w:name="_Toc27454"/>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Lines="50" w:line="400" w:lineRule="atLeast"/>
        <w:ind w:firstLine="602" w:firstLineChars="200"/>
        <w:jc w:val="left"/>
        <w:outlineLvl w:val="0"/>
        <w:rPr>
          <w:rFonts w:ascii="宋体" w:hAnsi="宋体"/>
          <w:b/>
          <w:bCs/>
          <w:sz w:val="30"/>
          <w:szCs w:val="30"/>
          <w:u w:val="single"/>
        </w:rPr>
      </w:pPr>
      <w:bookmarkStart w:id="56" w:name="_Toc28416"/>
      <w:bookmarkStart w:id="57" w:name="_Toc16600"/>
      <w:bookmarkStart w:id="58" w:name="_Toc26421"/>
      <w:bookmarkStart w:id="59" w:name="_Toc2110"/>
      <w:bookmarkStart w:id="60" w:name="_Toc22504"/>
      <w:r>
        <w:rPr>
          <w:rFonts w:hint="eastAsia" w:ascii="宋体" w:hAnsi="宋体"/>
          <w:b/>
          <w:bCs/>
          <w:sz w:val="30"/>
          <w:szCs w:val="30"/>
        </w:rPr>
        <w:t>法定代表人或其委托代理人：</w:t>
      </w:r>
      <w:bookmarkEnd w:id="56"/>
      <w:bookmarkEnd w:id="57"/>
      <w:bookmarkEnd w:id="58"/>
      <w:bookmarkEnd w:id="59"/>
      <w:bookmarkEnd w:id="60"/>
    </w:p>
    <w:p>
      <w:pPr>
        <w:spacing w:beforeLines="50" w:line="400" w:lineRule="atLeast"/>
        <w:ind w:firstLine="562" w:firstLineChars="200"/>
        <w:outlineLvl w:val="0"/>
        <w:rPr>
          <w:rFonts w:ascii="宋体" w:hAnsi="宋体"/>
          <w:b/>
          <w:bCs/>
          <w:sz w:val="28"/>
          <w:szCs w:val="28"/>
        </w:rPr>
      </w:pPr>
      <w:bookmarkStart w:id="61" w:name="_Toc14233"/>
      <w:bookmarkStart w:id="62" w:name="_Toc7142"/>
      <w:bookmarkStart w:id="63" w:name="_Toc24026"/>
      <w:bookmarkStart w:id="64" w:name="_Toc19182"/>
      <w:bookmarkStart w:id="65" w:name="_Toc7425"/>
      <w:r>
        <w:rPr>
          <w:rFonts w:hint="eastAsia" w:ascii="宋体" w:hAnsi="宋体"/>
          <w:b/>
          <w:bCs/>
          <w:sz w:val="28"/>
          <w:szCs w:val="28"/>
        </w:rPr>
        <w:t>报价日期：202</w:t>
      </w:r>
      <w:r>
        <w:rPr>
          <w:rFonts w:ascii="宋体" w:hAnsi="宋体"/>
          <w:b/>
          <w:bCs/>
          <w:sz w:val="28"/>
          <w:szCs w:val="28"/>
        </w:rPr>
        <w:t>2</w:t>
      </w:r>
      <w:r>
        <w:rPr>
          <w:rFonts w:hint="eastAsia" w:ascii="宋体" w:hAnsi="宋体"/>
          <w:b/>
          <w:bCs/>
          <w:sz w:val="28"/>
          <w:szCs w:val="28"/>
        </w:rPr>
        <w:t>年12月   日</w:t>
      </w:r>
      <w:bookmarkEnd w:id="61"/>
      <w:bookmarkEnd w:id="62"/>
      <w:bookmarkEnd w:id="63"/>
      <w:bookmarkEnd w:id="64"/>
      <w:bookmarkEnd w:id="65"/>
    </w:p>
    <w:p>
      <w:pPr>
        <w:spacing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法定代表人身份证复印件并加盖报价单位公章（</w:t>
      </w:r>
      <w:r>
        <w:rPr>
          <w:rFonts w:ascii="宋体" w:hAnsi="宋体"/>
          <w:sz w:val="24"/>
          <w:szCs w:val="24"/>
        </w:rPr>
        <w:t>见</w:t>
      </w:r>
      <w:r>
        <w:rPr>
          <w:rFonts w:hint="eastAsia" w:ascii="宋体" w:hAnsi="宋体"/>
          <w:sz w:val="24"/>
          <w:szCs w:val="24"/>
        </w:rPr>
        <w:t>附件3）；</w:t>
      </w:r>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w:t>
      </w:r>
      <w:r>
        <w:rPr>
          <w:rFonts w:ascii="宋体" w:hAnsi="宋体"/>
          <w:sz w:val="24"/>
          <w:szCs w:val="24"/>
        </w:rPr>
        <w:t>4</w:t>
      </w:r>
      <w:r>
        <w:rPr>
          <w:rFonts w:hint="eastAsia" w:ascii="宋体" w:hAnsi="宋体"/>
          <w:sz w:val="24"/>
          <w:szCs w:val="24"/>
        </w:rPr>
        <w:t>，</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企业能有效识别二维码营业执照复印件并加盖报价单位公章（</w:t>
      </w:r>
      <w:r>
        <w:rPr>
          <w:rFonts w:ascii="宋体" w:hAnsi="宋体"/>
          <w:sz w:val="24"/>
          <w:szCs w:val="24"/>
        </w:rPr>
        <w:t>见</w:t>
      </w:r>
      <w:r>
        <w:rPr>
          <w:rFonts w:hint="eastAsia" w:ascii="宋体" w:hAnsi="宋体"/>
          <w:sz w:val="24"/>
          <w:szCs w:val="24"/>
        </w:rPr>
        <w:t>附件5）；</w:t>
      </w:r>
      <w:bookmarkEnd w:id="69"/>
    </w:p>
    <w:p>
      <w:pPr>
        <w:pStyle w:val="28"/>
        <w:numPr>
          <w:ilvl w:val="0"/>
          <w:numId w:val="13"/>
        </w:numPr>
        <w:ind w:firstLineChars="0"/>
        <w:rPr>
          <w:rFonts w:ascii="宋体" w:hAnsi="宋体"/>
          <w:sz w:val="24"/>
          <w:szCs w:val="24"/>
        </w:rPr>
      </w:pPr>
      <w:r>
        <w:rPr>
          <w:rFonts w:hint="eastAsia" w:ascii="宋体" w:hAnsi="宋体" w:cs="宋体"/>
          <w:kern w:val="0"/>
          <w:sz w:val="24"/>
          <w:szCs w:val="24"/>
        </w:rPr>
        <w:t>危险化学品经营许可证</w:t>
      </w:r>
      <w:r>
        <w:rPr>
          <w:rFonts w:hint="eastAsia" w:ascii="宋体" w:hAnsi="宋体"/>
          <w:kern w:val="0"/>
          <w:sz w:val="24"/>
          <w:szCs w:val="24"/>
        </w:rPr>
        <w:t>复印件</w:t>
      </w:r>
      <w:r>
        <w:rPr>
          <w:rFonts w:hint="eastAsia" w:ascii="宋体" w:hAnsi="宋体"/>
          <w:sz w:val="24"/>
          <w:szCs w:val="24"/>
        </w:rPr>
        <w:t>并</w:t>
      </w:r>
      <w:r>
        <w:rPr>
          <w:rFonts w:hint="eastAsia" w:ascii="宋体" w:hAnsi="宋体"/>
          <w:kern w:val="0"/>
          <w:sz w:val="24"/>
          <w:szCs w:val="24"/>
        </w:rPr>
        <w:t>加盖公章</w:t>
      </w:r>
      <w:r>
        <w:rPr>
          <w:rFonts w:hint="eastAsia" w:ascii="宋体" w:hAnsi="宋体"/>
          <w:sz w:val="24"/>
          <w:szCs w:val="24"/>
        </w:rPr>
        <w:t>（见附件6）；</w:t>
      </w:r>
    </w:p>
    <w:p>
      <w:p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7报价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见附件7</w:t>
      </w:r>
      <w:r>
        <w:rPr>
          <w:rFonts w:hint="eastAsia" w:ascii="宋体" w:hAnsi="宋体"/>
          <w:sz w:val="24"/>
          <w:szCs w:val="24"/>
        </w:rPr>
        <w:t>）</w:t>
      </w:r>
      <w:r>
        <w:rPr>
          <w:rFonts w:ascii="宋体" w:hAnsi="宋体"/>
          <w:sz w:val="24"/>
          <w:szCs w:val="24"/>
        </w:rPr>
        <w:t>。</w:t>
      </w:r>
    </w:p>
    <w:p>
      <w:pPr>
        <w:tabs>
          <w:tab w:val="left" w:pos="0"/>
        </w:tabs>
        <w:kinsoku w:val="0"/>
        <w:overflowPunct w:val="0"/>
        <w:snapToGrid w:val="0"/>
        <w:spacing w:line="400" w:lineRule="atLeast"/>
        <w:outlineLvl w:val="0"/>
        <w:rPr>
          <w:rFonts w:ascii="宋体" w:hAnsi="宋体"/>
          <w:sz w:val="24"/>
          <w:szCs w:val="24"/>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Theme="minorEastAsia" w:hAnsiTheme="minorEastAsia"/>
          <w:sz w:val="24"/>
          <w:szCs w:val="24"/>
        </w:rPr>
        <w:t>厦门海发</w:t>
      </w:r>
      <w:r>
        <w:rPr>
          <w:rFonts w:asciiTheme="minorEastAsia" w:hAnsiTheme="minorEastAsia"/>
          <w:sz w:val="24"/>
          <w:szCs w:val="24"/>
        </w:rPr>
        <w:t>环保能源股份有限公司</w:t>
      </w:r>
      <w:r>
        <w:rPr>
          <w:rFonts w:hint="eastAsia" w:ascii="宋体" w:hAnsi="宋体" w:cs="宋体"/>
          <w:spacing w:val="-4"/>
          <w:sz w:val="24"/>
          <w:szCs w:val="24"/>
        </w:rPr>
        <w:t>：</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同集热</w:t>
      </w:r>
      <w:r>
        <w:rPr>
          <w:rFonts w:ascii="宋体" w:hAnsi="宋体" w:cs="宋体"/>
          <w:b/>
          <w:spacing w:val="-4"/>
          <w:sz w:val="24"/>
          <w:szCs w:val="24"/>
          <w:u w:val="single"/>
        </w:rPr>
        <w:t>电</w:t>
      </w:r>
      <w:r>
        <w:rPr>
          <w:rFonts w:hint="eastAsia" w:ascii="宋体" w:hAnsi="宋体" w:cs="宋体"/>
          <w:b/>
          <w:spacing w:val="-4"/>
          <w:sz w:val="24"/>
          <w:szCs w:val="24"/>
          <w:u w:val="single"/>
        </w:rPr>
        <w:t>盐酸</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日期： </w:t>
      </w:r>
      <w:r>
        <w:rPr>
          <w:rFonts w:ascii="宋体" w:hAnsi="宋体" w:cs="宋体"/>
          <w:spacing w:val="-4"/>
          <w:sz w:val="24"/>
          <w:szCs w:val="24"/>
        </w:rPr>
        <w:t>2022</w:t>
      </w:r>
      <w:r>
        <w:rPr>
          <w:rFonts w:hint="eastAsia" w:ascii="宋体" w:hAnsi="宋体" w:cs="宋体"/>
          <w:spacing w:val="-4"/>
          <w:sz w:val="24"/>
          <w:szCs w:val="24"/>
        </w:rPr>
        <w:t>年12月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谈 判 报 价 书（</w:t>
      </w:r>
      <w:r>
        <w:rPr>
          <w:rFonts w:hint="eastAsia" w:ascii="宋体" w:hAnsi="宋体"/>
          <w:b/>
          <w:kern w:val="0"/>
          <w:sz w:val="28"/>
          <w:szCs w:val="28"/>
        </w:rPr>
        <w:t>同集</w:t>
      </w:r>
      <w:r>
        <w:rPr>
          <w:rFonts w:ascii="宋体" w:hAnsi="宋体"/>
          <w:b/>
          <w:kern w:val="0"/>
          <w:sz w:val="28"/>
          <w:szCs w:val="28"/>
        </w:rPr>
        <w:t>热电</w:t>
      </w:r>
      <w:r>
        <w:rPr>
          <w:rFonts w:ascii="宋体" w:hAnsi="宋体"/>
          <w:b/>
          <w:kern w:val="0"/>
          <w:sz w:val="36"/>
          <w:szCs w:val="36"/>
        </w:rPr>
        <w:t>）</w:t>
      </w:r>
    </w:p>
    <w:tbl>
      <w:tblPr>
        <w:tblStyle w:val="11"/>
        <w:tblW w:w="9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2"/>
        <w:gridCol w:w="3119"/>
        <w:gridCol w:w="3069"/>
        <w:gridCol w:w="88"/>
        <w:gridCol w:w="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865" w:hRule="atLeast"/>
          <w:jc w:val="center"/>
        </w:trPr>
        <w:tc>
          <w:tcPr>
            <w:tcW w:w="2742" w:type="dxa"/>
            <w:vAlign w:val="center"/>
          </w:tcPr>
          <w:p>
            <w:pPr>
              <w:widowControl/>
              <w:spacing w:line="500" w:lineRule="exact"/>
              <w:jc w:val="center"/>
              <w:rPr>
                <w:color w:val="000000"/>
                <w:kern w:val="0"/>
                <w:sz w:val="24"/>
              </w:rPr>
            </w:pPr>
            <w:r>
              <w:rPr>
                <w:rFonts w:hint="eastAsia"/>
                <w:color w:val="000000"/>
                <w:kern w:val="0"/>
                <w:sz w:val="24"/>
              </w:rPr>
              <w:t>项目名称</w:t>
            </w:r>
          </w:p>
        </w:tc>
        <w:tc>
          <w:tcPr>
            <w:tcW w:w="3119" w:type="dxa"/>
            <w:vAlign w:val="center"/>
          </w:tcPr>
          <w:p>
            <w:pPr>
              <w:widowControl/>
              <w:spacing w:line="500" w:lineRule="exact"/>
              <w:jc w:val="center"/>
              <w:rPr>
                <w:color w:val="000000"/>
                <w:kern w:val="0"/>
                <w:sz w:val="24"/>
              </w:rPr>
            </w:pPr>
            <w:r>
              <w:rPr>
                <w:rFonts w:hint="eastAsia"/>
                <w:color w:val="000000"/>
                <w:kern w:val="0"/>
                <w:sz w:val="24"/>
              </w:rPr>
              <w:t>一票含税到厂价（元/吨）</w:t>
            </w:r>
          </w:p>
        </w:tc>
        <w:tc>
          <w:tcPr>
            <w:tcW w:w="3069" w:type="dxa"/>
            <w:vAlign w:val="center"/>
          </w:tcPr>
          <w:p>
            <w:pPr>
              <w:widowControl/>
              <w:spacing w:line="500" w:lineRule="exact"/>
              <w:jc w:val="center"/>
              <w:rPr>
                <w:color w:val="000000"/>
                <w:kern w:val="0"/>
                <w:sz w:val="24"/>
              </w:rPr>
            </w:pPr>
            <w:r>
              <w:rPr>
                <w:rFonts w:hint="eastAsi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2742" w:type="dxa"/>
            <w:vAlign w:val="center"/>
          </w:tcPr>
          <w:p>
            <w:pPr>
              <w:widowControl/>
              <w:spacing w:line="276" w:lineRule="auto"/>
              <w:jc w:val="center"/>
              <w:rPr>
                <w:rFonts w:ascii="宋体" w:hAnsi="宋体"/>
                <w:kern w:val="0"/>
                <w:sz w:val="24"/>
              </w:rPr>
            </w:pPr>
            <w:r>
              <w:rPr>
                <w:rFonts w:hint="eastAsia" w:ascii="宋体" w:hAnsi="宋体"/>
                <w:kern w:val="0"/>
                <w:sz w:val="24"/>
              </w:rPr>
              <w:t xml:space="preserve">盐酸           </w:t>
            </w:r>
          </w:p>
          <w:p>
            <w:pPr>
              <w:pStyle w:val="26"/>
              <w:spacing w:line="276" w:lineRule="auto"/>
              <w:ind w:left="330" w:leftChars="100" w:hanging="120" w:hangingChars="50"/>
              <w:jc w:val="both"/>
              <w:rPr>
                <w:color w:val="000000"/>
              </w:rPr>
            </w:pPr>
            <w:r>
              <w:rPr>
                <w:rFonts w:hint="eastAsia"/>
              </w:rPr>
              <w:t>（</w:t>
            </w:r>
            <w:r>
              <w:t>浓度</w:t>
            </w:r>
            <w:r>
              <w:rPr>
                <w:rFonts w:hint="eastAsia"/>
              </w:rPr>
              <w:t>≥31%、高纯酸）</w:t>
            </w:r>
          </w:p>
        </w:tc>
        <w:tc>
          <w:tcPr>
            <w:tcW w:w="3119" w:type="dxa"/>
            <w:vAlign w:val="center"/>
          </w:tcPr>
          <w:p>
            <w:pPr>
              <w:pStyle w:val="26"/>
              <w:jc w:val="center"/>
              <w:rPr>
                <w:color w:val="000000"/>
              </w:rPr>
            </w:pPr>
          </w:p>
        </w:tc>
        <w:tc>
          <w:tcPr>
            <w:tcW w:w="3069" w:type="dxa"/>
            <w:vAlign w:val="center"/>
          </w:tcPr>
          <w:p>
            <w:pPr>
              <w:pStyle w:val="26"/>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8930" w:type="dxa"/>
            <w:gridSpan w:val="3"/>
            <w:vAlign w:val="center"/>
          </w:tcPr>
          <w:p>
            <w:pPr>
              <w:widowControl/>
              <w:jc w:val="left"/>
              <w:rPr>
                <w:rFonts w:ascii="宋体" w:hAnsi="宋体" w:cs="宋体"/>
                <w:color w:val="000000"/>
                <w:kern w:val="0"/>
                <w:szCs w:val="21"/>
              </w:rPr>
            </w:pPr>
            <w:r>
              <w:rPr>
                <w:rFonts w:ascii="宋体" w:hAnsi="宋体" w:cs="宋体"/>
                <w:color w:val="000000"/>
                <w:kern w:val="0"/>
                <w:szCs w:val="21"/>
              </w:rPr>
              <w:t>说明：</w:t>
            </w:r>
          </w:p>
          <w:p>
            <w:pPr>
              <w:widowControl/>
              <w:jc w:val="left"/>
              <w:rPr>
                <w:rFonts w:ascii="宋体" w:hAnsi="宋体" w:cs="宋体"/>
                <w:color w:val="000000"/>
                <w:kern w:val="0"/>
                <w:szCs w:val="21"/>
              </w:rPr>
            </w:pPr>
            <w:r>
              <w:rPr>
                <w:rFonts w:ascii="宋体" w:hAnsi="宋体" w:cs="宋体"/>
                <w:color w:val="000000"/>
                <w:kern w:val="0"/>
                <w:szCs w:val="21"/>
              </w:rPr>
              <w:t>1</w:t>
            </w:r>
            <w:r>
              <w:rPr>
                <w:rFonts w:hint="eastAsia" w:ascii="宋体" w:hAnsi="宋体" w:cs="宋体"/>
                <w:color w:val="000000"/>
                <w:kern w:val="0"/>
                <w:szCs w:val="21"/>
              </w:rPr>
              <w:t>、</w:t>
            </w:r>
            <w:r>
              <w:rPr>
                <w:rFonts w:hint="eastAsia" w:ascii="宋体" w:hAnsi="宋体" w:cs="宋体"/>
                <w:color w:val="000000"/>
                <w:kern w:val="0"/>
                <w:sz w:val="24"/>
                <w:szCs w:val="24"/>
              </w:rPr>
              <w:t>谈判保证金为人民币伍仟元整</w:t>
            </w:r>
            <w:r>
              <w:rPr>
                <w:rFonts w:hint="eastAsia" w:ascii="宋体" w:hAnsi="宋体" w:cs="宋体"/>
                <w:color w:val="000000"/>
                <w:kern w:val="0"/>
                <w:szCs w:val="21"/>
              </w:rPr>
              <w:t>（¥5000.00）。</w:t>
            </w:r>
          </w:p>
          <w:p>
            <w:pPr>
              <w:pStyle w:val="26"/>
              <w:rPr>
                <w:color w:val="000000"/>
              </w:rPr>
            </w:pPr>
            <w:r>
              <w:rPr>
                <w:color w:val="000000"/>
              </w:rPr>
              <w:t>2</w:t>
            </w:r>
            <w:r>
              <w:rPr>
                <w:rFonts w:hint="eastAsia"/>
                <w:color w:val="000000"/>
              </w:rPr>
              <w:t>、若国家税率调整，含税价格须作相应调整。</w:t>
            </w:r>
          </w:p>
          <w:p>
            <w:pPr>
              <w:pStyle w:val="26"/>
              <w:rPr>
                <w:color w:val="000000"/>
              </w:rPr>
            </w:pPr>
            <w:r>
              <w:rPr>
                <w:rFonts w:hint="eastAsia"/>
                <w:color w:val="000000"/>
              </w:rPr>
              <w:t>3、</w:t>
            </w:r>
            <w:r>
              <w:rPr>
                <w:color w:val="000000"/>
              </w:rPr>
              <w:t>报价含</w:t>
            </w:r>
            <w:r>
              <w:rPr>
                <w:rFonts w:hint="eastAsia"/>
                <w:color w:val="000000"/>
              </w:rPr>
              <w:t>卸车</w:t>
            </w:r>
            <w:r>
              <w:rPr>
                <w:color w:val="000000"/>
              </w:rPr>
              <w:t>费</w:t>
            </w:r>
            <w:r>
              <w:rPr>
                <w:rFonts w:hint="eastAsia"/>
                <w:color w:val="000000"/>
              </w:rPr>
              <w:t>（</w:t>
            </w:r>
            <w:r>
              <w:rPr>
                <w:color w:val="000000"/>
              </w:rPr>
              <w:t>指定地点）。</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4"/>
          <w:wBefore w:w="9018" w:type="dxa"/>
          <w:trHeight w:val="100" w:hRule="atLeast"/>
          <w:jc w:val="center"/>
        </w:trPr>
        <w:tc>
          <w:tcPr>
            <w:tcW w:w="236" w:type="dxa"/>
          </w:tcPr>
          <w:p>
            <w:pPr>
              <w:widowControl/>
              <w:spacing w:line="500" w:lineRule="exact"/>
              <w:rPr>
                <w:rFonts w:ascii="宋体" w:hAnsi="宋体"/>
                <w:color w:val="000000"/>
                <w:kern w:val="0"/>
                <w:sz w:val="28"/>
                <w:szCs w:val="28"/>
              </w:rPr>
            </w:pPr>
          </w:p>
        </w:tc>
      </w:tr>
    </w:tbl>
    <w:p>
      <w:pPr>
        <w:widowControl/>
        <w:spacing w:line="500" w:lineRule="exact"/>
        <w:rPr>
          <w:rFonts w:ascii="宋体" w:hAnsi="宋体"/>
          <w:kern w:val="0"/>
          <w:sz w:val="28"/>
          <w:szCs w:val="28"/>
        </w:rPr>
      </w:pPr>
      <w:r>
        <w:rPr>
          <w:rFonts w:hint="eastAsia" w:ascii="宋体" w:hAnsi="宋体"/>
          <w:kern w:val="0"/>
          <w:sz w:val="28"/>
          <w:szCs w:val="28"/>
        </w:rPr>
        <w:t>报价单位：（盖公章）</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rPr>
          <w:rFonts w:eastAsia="宋体" w:cs="宋体"/>
          <w:b/>
          <w:sz w:val="28"/>
          <w:szCs w:val="28"/>
        </w:rPr>
      </w:pPr>
      <w:r>
        <w:rPr>
          <w:rFonts w:hint="eastAsia" w:ascii="宋体" w:hAnsi="宋体" w:eastAsia="宋体" w:cs="宋体"/>
          <w:kern w:val="0"/>
          <w:sz w:val="28"/>
          <w:szCs w:val="28"/>
        </w:rPr>
        <w:t>报价日期：202</w:t>
      </w:r>
      <w:r>
        <w:rPr>
          <w:rFonts w:ascii="宋体" w:hAnsi="宋体" w:eastAsia="宋体" w:cs="宋体"/>
          <w:kern w:val="0"/>
          <w:sz w:val="28"/>
          <w:szCs w:val="28"/>
        </w:rPr>
        <w:t>2</w:t>
      </w:r>
      <w:r>
        <w:rPr>
          <w:rFonts w:hint="eastAsia" w:ascii="宋体" w:hAnsi="宋体"/>
          <w:kern w:val="0"/>
          <w:sz w:val="28"/>
          <w:szCs w:val="28"/>
        </w:rPr>
        <w:t>年12月 日</w:t>
      </w:r>
    </w:p>
    <w:p>
      <w:pPr>
        <w:widowControl/>
        <w:wordWrap w:val="0"/>
        <w:spacing w:line="480" w:lineRule="atLeast"/>
        <w:ind w:right="440"/>
        <w:rPr>
          <w:rFonts w:ascii="微软雅黑" w:hAnsi="微软雅黑" w:eastAsia="微软雅黑" w:cs="宋体"/>
          <w:color w:val="3A3A3A"/>
          <w:kern w:val="0"/>
          <w:sz w:val="24"/>
          <w:szCs w:val="24"/>
        </w:rPr>
      </w:pPr>
    </w:p>
    <w:p>
      <w:pPr>
        <w:widowControl/>
        <w:spacing w:line="500" w:lineRule="exact"/>
        <w:jc w:val="center"/>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spacing w:line="360" w:lineRule="auto"/>
        <w:rPr>
          <w:rFonts w:ascii="宋体" w:hAnsi="宋体"/>
          <w:sz w:val="28"/>
          <w:szCs w:val="28"/>
        </w:rPr>
      </w:pPr>
    </w:p>
    <w:p>
      <w:pPr>
        <w:widowControl/>
        <w:spacing w:line="360" w:lineRule="auto"/>
        <w:rPr>
          <w:rFonts w:ascii="宋体" w:hAnsi="宋体"/>
          <w:b/>
          <w:sz w:val="32"/>
          <w:szCs w:val="32"/>
        </w:rPr>
      </w:pPr>
      <w:r>
        <w:rPr>
          <w:rFonts w:hint="eastAsia" w:ascii="宋体" w:hAnsi="宋体"/>
          <w:b/>
          <w:sz w:val="32"/>
          <w:szCs w:val="32"/>
        </w:rPr>
        <w:t>附件3</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身份证正反</w:t>
            </w:r>
            <w:r>
              <w:rPr>
                <w:rFonts w:ascii="宋体" w:hAnsi="宋体"/>
                <w:sz w:val="24"/>
                <w:szCs w:val="24"/>
              </w:rPr>
              <w:t>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件4</w:t>
      </w:r>
      <w:r>
        <w:rPr>
          <w:rFonts w:ascii="微软雅黑" w:hAnsi="微软雅黑" w:eastAsia="微软雅黑" w:cs="宋体"/>
          <w:color w:val="3A3A3A"/>
          <w:kern w:val="0"/>
          <w:sz w:val="24"/>
          <w:szCs w:val="24"/>
        </w:rPr>
        <w:t>：</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同集热</w:t>
      </w:r>
      <w:r>
        <w:rPr>
          <w:rFonts w:ascii="宋体" w:hAnsi="宋体" w:eastAsia="宋体" w:cs="Times New Roman"/>
          <w:bCs/>
          <w:color w:val="000000"/>
          <w:sz w:val="28"/>
          <w:szCs w:val="28"/>
          <w:u w:val="single"/>
        </w:rPr>
        <w:t>电</w:t>
      </w:r>
      <w:r>
        <w:rPr>
          <w:rFonts w:hint="eastAsia" w:ascii="宋体" w:hAnsi="宋体" w:eastAsia="宋体" w:cs="Times New Roman"/>
          <w:bCs/>
          <w:color w:val="000000"/>
          <w:sz w:val="28"/>
          <w:szCs w:val="28"/>
          <w:u w:val="single"/>
        </w:rPr>
        <w:t>盐酸</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2022</w:t>
      </w:r>
      <w:r>
        <w:rPr>
          <w:rFonts w:hint="eastAsia" w:ascii="宋体" w:hAnsi="宋体" w:eastAsia="宋体" w:cs="Times New Roman"/>
          <w:bCs/>
          <w:color w:val="000000"/>
          <w:sz w:val="28"/>
          <w:szCs w:val="28"/>
        </w:rPr>
        <w:t>年</w:t>
      </w:r>
      <w:r>
        <w:rPr>
          <w:rFonts w:hint="eastAsia" w:ascii="宋体" w:hAnsi="宋体" w:eastAsia="宋体" w:cs="Times New Roman"/>
          <w:bCs/>
          <w:color w:val="000000"/>
          <w:sz w:val="28"/>
          <w:szCs w:val="28"/>
          <w:u w:val="single"/>
        </w:rPr>
        <w:t>12</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0"/>
        <w:keepNext w:val="0"/>
        <w:keepLines w:val="0"/>
        <w:kinsoku w:val="0"/>
        <w:overflowPunct w:val="0"/>
        <w:snapToGrid w:val="0"/>
        <w:spacing w:before="0"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Pr>
        <w:pStyle w:val="20"/>
        <w:keepNext w:val="0"/>
        <w:keepLines w:val="0"/>
        <w:kinsoku w:val="0"/>
        <w:overflowPunct w:val="0"/>
        <w:snapToGrid w:val="0"/>
        <w:spacing w:before="0" w:after="0" w:line="240" w:lineRule="auto"/>
        <w:jc w:val="both"/>
        <w:rPr>
          <w:rFonts w:eastAsia="宋体" w:cs="宋体"/>
          <w:b w:val="0"/>
          <w:color w:val="000000"/>
          <w:sz w:val="24"/>
          <w:szCs w:val="24"/>
        </w:rPr>
      </w:pPr>
    </w:p>
    <w:p>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0"/>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1、报价签字代表为法定代表人或</w:t>
      </w:r>
      <w:r>
        <w:rPr>
          <w:rFonts w:eastAsia="宋体" w:cs="宋体"/>
          <w:b w:val="0"/>
          <w:color w:val="000000"/>
          <w:sz w:val="24"/>
          <w:szCs w:val="24"/>
        </w:rPr>
        <w:t>法定负责人</w:t>
      </w:r>
      <w:r>
        <w:rPr>
          <w:rFonts w:hint="eastAsia" w:eastAsia="宋体" w:cs="宋体"/>
          <w:b w:val="0"/>
          <w:color w:val="000000"/>
          <w:sz w:val="24"/>
          <w:szCs w:val="24"/>
        </w:rPr>
        <w:t>，则本附件不需要提供。</w:t>
      </w:r>
    </w:p>
    <w:p>
      <w:pPr>
        <w:pStyle w:val="20"/>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rPr>
          <w:rFonts w:ascii="宋体" w:hAnsi="宋体" w:eastAsia="宋体"/>
          <w:sz w:val="24"/>
          <w:szCs w:val="24"/>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4"/>
          <w:szCs w:val="24"/>
        </w:rPr>
      </w:pPr>
    </w:p>
    <w:p>
      <w:pPr>
        <w:rPr>
          <w:rFonts w:ascii="宋体" w:hAnsi="宋体"/>
          <w:sz w:val="28"/>
          <w:szCs w:val="28"/>
        </w:rPr>
      </w:pPr>
    </w:p>
    <w:p>
      <w:pPr>
        <w:rPr>
          <w:rFonts w:ascii="宋体" w:hAnsi="宋体"/>
          <w:color w:val="FF0000"/>
          <w:sz w:val="28"/>
          <w:szCs w:val="28"/>
        </w:rPr>
      </w:pPr>
    </w:p>
    <w:p>
      <w:pPr>
        <w:rPr>
          <w:rFonts w:ascii="宋体" w:hAnsi="宋体"/>
          <w:sz w:val="28"/>
          <w:szCs w:val="28"/>
        </w:rPr>
      </w:pPr>
      <w:r>
        <w:rPr>
          <w:rFonts w:hint="eastAsia" w:ascii="宋体" w:hAnsi="宋体"/>
          <w:sz w:val="28"/>
          <w:szCs w:val="28"/>
        </w:rPr>
        <w:t>附件6：</w:t>
      </w:r>
      <w:r>
        <w:rPr>
          <w:rFonts w:hint="eastAsia" w:ascii="宋体" w:hAnsi="宋体" w:cs="宋体"/>
          <w:kern w:val="0"/>
          <w:sz w:val="28"/>
          <w:szCs w:val="28"/>
        </w:rPr>
        <w:t>危险化学品经营许可证</w:t>
      </w:r>
      <w:r>
        <w:rPr>
          <w:rFonts w:hint="eastAsia" w:ascii="宋体" w:hAnsi="宋体"/>
          <w:kern w:val="0"/>
          <w:sz w:val="28"/>
          <w:szCs w:val="28"/>
        </w:rPr>
        <w:t>复印件</w:t>
      </w:r>
      <w:r>
        <w:rPr>
          <w:rFonts w:hint="eastAsia" w:ascii="宋体" w:hAnsi="宋体"/>
          <w:sz w:val="28"/>
          <w:szCs w:val="28"/>
        </w:rPr>
        <w:t>并</w:t>
      </w:r>
      <w:r>
        <w:rPr>
          <w:rFonts w:hint="eastAsia" w:ascii="宋体" w:hAnsi="宋体"/>
          <w:kern w:val="0"/>
          <w:sz w:val="28"/>
          <w:szCs w:val="28"/>
        </w:rPr>
        <w:t>加盖公章。</w:t>
      </w:r>
    </w:p>
    <w:p>
      <w:pPr>
        <w:rPr>
          <w:rFonts w:ascii="宋体" w:hAnsi="宋体"/>
          <w:color w:val="FF0000"/>
          <w:sz w:val="28"/>
          <w:szCs w:val="28"/>
        </w:rPr>
      </w:pPr>
    </w:p>
    <w:p>
      <w:pPr>
        <w:rPr>
          <w:rFonts w:ascii="宋体" w:hAnsi="宋体"/>
          <w:color w:val="FF0000"/>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7</w:t>
      </w:r>
      <w:r>
        <w:rPr>
          <w:rFonts w:hint="eastAsia" w:ascii="宋体" w:hAnsi="宋体"/>
          <w:sz w:val="28"/>
          <w:szCs w:val="28"/>
        </w:rPr>
        <w:t>：报价</w:t>
      </w:r>
      <w:r>
        <w:rPr>
          <w:rFonts w:ascii="宋体" w:hAnsi="宋体"/>
          <w:sz w:val="28"/>
          <w:szCs w:val="28"/>
        </w:rPr>
        <w:t>方认为需要提供的其他资料</w:t>
      </w:r>
      <w:r>
        <w:rPr>
          <w:rFonts w:hint="eastAsia" w:ascii="宋体" w:hAnsi="宋体"/>
          <w:sz w:val="28"/>
          <w:szCs w:val="28"/>
        </w:rPr>
        <w:t>并</w:t>
      </w:r>
      <w:r>
        <w:rPr>
          <w:rFonts w:hint="eastAsia" w:ascii="宋体" w:hAnsi="宋体"/>
          <w:kern w:val="0"/>
          <w:sz w:val="28"/>
          <w:szCs w:val="28"/>
        </w:rPr>
        <w:t>加盖公章。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2"/>
        </w:tabs>
        <w:ind w:left="-2"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color w:val="auto"/>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hmMzliMjFmY2I5YWMxMGFjMzhkNjY4NTY4NjM0NTUifQ=="/>
  </w:docVars>
  <w:rsids>
    <w:rsidRoot w:val="003E3D3F"/>
    <w:rsid w:val="00015014"/>
    <w:rsid w:val="00015D7B"/>
    <w:rsid w:val="00024264"/>
    <w:rsid w:val="0003055F"/>
    <w:rsid w:val="0003166D"/>
    <w:rsid w:val="00033360"/>
    <w:rsid w:val="00033FD1"/>
    <w:rsid w:val="00044BCD"/>
    <w:rsid w:val="00044FED"/>
    <w:rsid w:val="00050D8D"/>
    <w:rsid w:val="00052CF8"/>
    <w:rsid w:val="00053E6F"/>
    <w:rsid w:val="0007139C"/>
    <w:rsid w:val="000830ED"/>
    <w:rsid w:val="00092A65"/>
    <w:rsid w:val="000A243A"/>
    <w:rsid w:val="000C132A"/>
    <w:rsid w:val="000C2898"/>
    <w:rsid w:val="000D23B2"/>
    <w:rsid w:val="000D6120"/>
    <w:rsid w:val="000E04D9"/>
    <w:rsid w:val="000E0533"/>
    <w:rsid w:val="00112B27"/>
    <w:rsid w:val="00117477"/>
    <w:rsid w:val="00133D0C"/>
    <w:rsid w:val="00164CF9"/>
    <w:rsid w:val="00180261"/>
    <w:rsid w:val="00186D1E"/>
    <w:rsid w:val="00190E48"/>
    <w:rsid w:val="001A4EC1"/>
    <w:rsid w:val="001B143F"/>
    <w:rsid w:val="001C4C0F"/>
    <w:rsid w:val="001E6631"/>
    <w:rsid w:val="001E6CBB"/>
    <w:rsid w:val="001E7F48"/>
    <w:rsid w:val="002036D8"/>
    <w:rsid w:val="00214DF9"/>
    <w:rsid w:val="0022320E"/>
    <w:rsid w:val="00230A4C"/>
    <w:rsid w:val="002371B1"/>
    <w:rsid w:val="0024527F"/>
    <w:rsid w:val="00262D0E"/>
    <w:rsid w:val="002714CA"/>
    <w:rsid w:val="00290C0D"/>
    <w:rsid w:val="002B0321"/>
    <w:rsid w:val="002B4070"/>
    <w:rsid w:val="002B5CD3"/>
    <w:rsid w:val="002C3BD0"/>
    <w:rsid w:val="002D25DE"/>
    <w:rsid w:val="002D5C62"/>
    <w:rsid w:val="002E1B76"/>
    <w:rsid w:val="002E4F77"/>
    <w:rsid w:val="002F1FB4"/>
    <w:rsid w:val="002F7762"/>
    <w:rsid w:val="00302A94"/>
    <w:rsid w:val="003056D6"/>
    <w:rsid w:val="00313653"/>
    <w:rsid w:val="00317485"/>
    <w:rsid w:val="00317B2D"/>
    <w:rsid w:val="00335B4A"/>
    <w:rsid w:val="00341923"/>
    <w:rsid w:val="00346A14"/>
    <w:rsid w:val="00350970"/>
    <w:rsid w:val="00371FD4"/>
    <w:rsid w:val="00381E42"/>
    <w:rsid w:val="0038677E"/>
    <w:rsid w:val="00392646"/>
    <w:rsid w:val="0039798F"/>
    <w:rsid w:val="003A705C"/>
    <w:rsid w:val="003C1CD2"/>
    <w:rsid w:val="003E3D3F"/>
    <w:rsid w:val="003E410F"/>
    <w:rsid w:val="003E7664"/>
    <w:rsid w:val="003F02B1"/>
    <w:rsid w:val="00403E53"/>
    <w:rsid w:val="0041093C"/>
    <w:rsid w:val="00411D01"/>
    <w:rsid w:val="00416BF4"/>
    <w:rsid w:val="00427268"/>
    <w:rsid w:val="00440A98"/>
    <w:rsid w:val="00452D89"/>
    <w:rsid w:val="00463794"/>
    <w:rsid w:val="00466115"/>
    <w:rsid w:val="0046621F"/>
    <w:rsid w:val="004C0DEB"/>
    <w:rsid w:val="004C46A1"/>
    <w:rsid w:val="004D6895"/>
    <w:rsid w:val="004D6C67"/>
    <w:rsid w:val="004D6FED"/>
    <w:rsid w:val="004E6E83"/>
    <w:rsid w:val="004F1D6E"/>
    <w:rsid w:val="004F200D"/>
    <w:rsid w:val="004F2391"/>
    <w:rsid w:val="004F2556"/>
    <w:rsid w:val="005136C5"/>
    <w:rsid w:val="0052402D"/>
    <w:rsid w:val="005530F3"/>
    <w:rsid w:val="0056547D"/>
    <w:rsid w:val="0056593C"/>
    <w:rsid w:val="005733C1"/>
    <w:rsid w:val="00591996"/>
    <w:rsid w:val="00592DF1"/>
    <w:rsid w:val="005975E6"/>
    <w:rsid w:val="005B766B"/>
    <w:rsid w:val="005C2D09"/>
    <w:rsid w:val="005E7164"/>
    <w:rsid w:val="00613635"/>
    <w:rsid w:val="00631BDF"/>
    <w:rsid w:val="00641159"/>
    <w:rsid w:val="0067669D"/>
    <w:rsid w:val="0068704D"/>
    <w:rsid w:val="00695BC8"/>
    <w:rsid w:val="006A09AD"/>
    <w:rsid w:val="006C014E"/>
    <w:rsid w:val="006C1777"/>
    <w:rsid w:val="00701797"/>
    <w:rsid w:val="0070232E"/>
    <w:rsid w:val="007168D6"/>
    <w:rsid w:val="00731F59"/>
    <w:rsid w:val="00743B22"/>
    <w:rsid w:val="00754E4D"/>
    <w:rsid w:val="00760B20"/>
    <w:rsid w:val="00772A2E"/>
    <w:rsid w:val="00775022"/>
    <w:rsid w:val="00790D46"/>
    <w:rsid w:val="007A1322"/>
    <w:rsid w:val="007A3A4A"/>
    <w:rsid w:val="007A7E47"/>
    <w:rsid w:val="007C6434"/>
    <w:rsid w:val="00805F52"/>
    <w:rsid w:val="0081617D"/>
    <w:rsid w:val="00855D03"/>
    <w:rsid w:val="00864DDC"/>
    <w:rsid w:val="00870EEC"/>
    <w:rsid w:val="00886013"/>
    <w:rsid w:val="00897F6E"/>
    <w:rsid w:val="008A361A"/>
    <w:rsid w:val="008B0E38"/>
    <w:rsid w:val="008C4558"/>
    <w:rsid w:val="008C4644"/>
    <w:rsid w:val="008C4D54"/>
    <w:rsid w:val="008D11F7"/>
    <w:rsid w:val="008D6542"/>
    <w:rsid w:val="00910A2C"/>
    <w:rsid w:val="00917815"/>
    <w:rsid w:val="009305FD"/>
    <w:rsid w:val="00933AA4"/>
    <w:rsid w:val="009443B5"/>
    <w:rsid w:val="00946CDF"/>
    <w:rsid w:val="0096225E"/>
    <w:rsid w:val="00962321"/>
    <w:rsid w:val="00965D5D"/>
    <w:rsid w:val="009700A6"/>
    <w:rsid w:val="009700E3"/>
    <w:rsid w:val="00970408"/>
    <w:rsid w:val="0097223A"/>
    <w:rsid w:val="00990D26"/>
    <w:rsid w:val="00995034"/>
    <w:rsid w:val="009A2B53"/>
    <w:rsid w:val="009A5BB5"/>
    <w:rsid w:val="009A60F1"/>
    <w:rsid w:val="009D71A8"/>
    <w:rsid w:val="009E27BA"/>
    <w:rsid w:val="00A04DDE"/>
    <w:rsid w:val="00A1352F"/>
    <w:rsid w:val="00A25DB2"/>
    <w:rsid w:val="00A3748E"/>
    <w:rsid w:val="00A43080"/>
    <w:rsid w:val="00A61868"/>
    <w:rsid w:val="00A63A98"/>
    <w:rsid w:val="00A84E15"/>
    <w:rsid w:val="00AB118A"/>
    <w:rsid w:val="00AB50EA"/>
    <w:rsid w:val="00AC045E"/>
    <w:rsid w:val="00AC34EF"/>
    <w:rsid w:val="00AE1E67"/>
    <w:rsid w:val="00B007E5"/>
    <w:rsid w:val="00B00A9A"/>
    <w:rsid w:val="00B2308F"/>
    <w:rsid w:val="00B3060E"/>
    <w:rsid w:val="00B35DAC"/>
    <w:rsid w:val="00B66CE5"/>
    <w:rsid w:val="00B76673"/>
    <w:rsid w:val="00B837F8"/>
    <w:rsid w:val="00B90072"/>
    <w:rsid w:val="00B91873"/>
    <w:rsid w:val="00B9651A"/>
    <w:rsid w:val="00BA16D3"/>
    <w:rsid w:val="00BB3ED4"/>
    <w:rsid w:val="00BB4208"/>
    <w:rsid w:val="00BB49AF"/>
    <w:rsid w:val="00BB4F50"/>
    <w:rsid w:val="00BC2A52"/>
    <w:rsid w:val="00BD0EB0"/>
    <w:rsid w:val="00BD3D28"/>
    <w:rsid w:val="00BD43EA"/>
    <w:rsid w:val="00C00FE4"/>
    <w:rsid w:val="00C02B41"/>
    <w:rsid w:val="00C1076E"/>
    <w:rsid w:val="00C606D9"/>
    <w:rsid w:val="00C71248"/>
    <w:rsid w:val="00C777D6"/>
    <w:rsid w:val="00C847BF"/>
    <w:rsid w:val="00CB1CF9"/>
    <w:rsid w:val="00CC1D06"/>
    <w:rsid w:val="00CC3C64"/>
    <w:rsid w:val="00CD0194"/>
    <w:rsid w:val="00CE2BE3"/>
    <w:rsid w:val="00CF1813"/>
    <w:rsid w:val="00D04156"/>
    <w:rsid w:val="00D31227"/>
    <w:rsid w:val="00D43597"/>
    <w:rsid w:val="00D45459"/>
    <w:rsid w:val="00D513A8"/>
    <w:rsid w:val="00D516F6"/>
    <w:rsid w:val="00D819C9"/>
    <w:rsid w:val="00D92F5C"/>
    <w:rsid w:val="00D94737"/>
    <w:rsid w:val="00D94F12"/>
    <w:rsid w:val="00DA32C2"/>
    <w:rsid w:val="00DA7CC5"/>
    <w:rsid w:val="00DB0E72"/>
    <w:rsid w:val="00DB2C3D"/>
    <w:rsid w:val="00DB2DF2"/>
    <w:rsid w:val="00DB5061"/>
    <w:rsid w:val="00DC3302"/>
    <w:rsid w:val="00DD7F78"/>
    <w:rsid w:val="00DE6DDE"/>
    <w:rsid w:val="00E2265D"/>
    <w:rsid w:val="00E2333D"/>
    <w:rsid w:val="00E44F05"/>
    <w:rsid w:val="00E51A6A"/>
    <w:rsid w:val="00E5372B"/>
    <w:rsid w:val="00E60B2C"/>
    <w:rsid w:val="00E63F43"/>
    <w:rsid w:val="00E64729"/>
    <w:rsid w:val="00E81F52"/>
    <w:rsid w:val="00E87188"/>
    <w:rsid w:val="00E9368E"/>
    <w:rsid w:val="00EB11B0"/>
    <w:rsid w:val="00EB45C9"/>
    <w:rsid w:val="00ED5996"/>
    <w:rsid w:val="00ED67D9"/>
    <w:rsid w:val="00ED6E3A"/>
    <w:rsid w:val="00EE173F"/>
    <w:rsid w:val="00EE1AF5"/>
    <w:rsid w:val="00EF490B"/>
    <w:rsid w:val="00F05622"/>
    <w:rsid w:val="00F07AD4"/>
    <w:rsid w:val="00F105D8"/>
    <w:rsid w:val="00F14845"/>
    <w:rsid w:val="00F16CF2"/>
    <w:rsid w:val="00F16E67"/>
    <w:rsid w:val="00F42D8E"/>
    <w:rsid w:val="00F51E70"/>
    <w:rsid w:val="00F57E07"/>
    <w:rsid w:val="00F610E1"/>
    <w:rsid w:val="00F648B3"/>
    <w:rsid w:val="00F672D2"/>
    <w:rsid w:val="00F80D00"/>
    <w:rsid w:val="00F81CB9"/>
    <w:rsid w:val="00F8635A"/>
    <w:rsid w:val="00F90AD2"/>
    <w:rsid w:val="00FA102D"/>
    <w:rsid w:val="00FC0FEC"/>
    <w:rsid w:val="00FC1C9B"/>
    <w:rsid w:val="00FD7307"/>
    <w:rsid w:val="0AFC67EA"/>
    <w:rsid w:val="1B801C5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9"/>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paragraph" w:styleId="3">
    <w:name w:val="heading 3"/>
    <w:basedOn w:val="1"/>
    <w:next w:val="1"/>
    <w:link w:val="27"/>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5">
    <w:name w:val="annotation text"/>
    <w:basedOn w:val="1"/>
    <w:link w:val="23"/>
    <w:semiHidden/>
    <w:unhideWhenUsed/>
    <w:qFormat/>
    <w:uiPriority w:val="99"/>
    <w:pPr>
      <w:jc w:val="left"/>
    </w:pPr>
  </w:style>
  <w:style w:type="paragraph" w:styleId="6">
    <w:name w:val="Balloon Text"/>
    <w:basedOn w:val="1"/>
    <w:link w:val="25"/>
    <w:semiHidden/>
    <w:unhideWhenUsed/>
    <w:uiPriority w:val="99"/>
    <w:rPr>
      <w:sz w:val="18"/>
      <w:szCs w:val="18"/>
    </w:rPr>
  </w:style>
  <w:style w:type="paragraph" w:styleId="7">
    <w:name w:val="footer"/>
    <w:basedOn w:val="1"/>
    <w:link w:val="18"/>
    <w:unhideWhenUsed/>
    <w:qFormat/>
    <w:uiPriority w:val="99"/>
    <w:pPr>
      <w:tabs>
        <w:tab w:val="center" w:pos="4153"/>
        <w:tab w:val="right" w:pos="8306"/>
      </w:tabs>
      <w:snapToGrid w:val="0"/>
      <w:jc w:val="left"/>
    </w:pPr>
    <w:rPr>
      <w:sz w:val="18"/>
      <w:szCs w:val="18"/>
    </w:rPr>
  </w:style>
  <w:style w:type="paragraph" w:styleId="8">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1"/>
    <w:qFormat/>
    <w:uiPriority w:val="0"/>
    <w:pPr>
      <w:spacing w:before="240" w:after="60"/>
      <w:jc w:val="center"/>
      <w:outlineLvl w:val="0"/>
    </w:pPr>
    <w:rPr>
      <w:rFonts w:ascii="Cambria" w:hAnsi="Cambria" w:cs="Times New Roman"/>
      <w:b/>
      <w:bCs/>
      <w:sz w:val="32"/>
      <w:szCs w:val="32"/>
    </w:rPr>
  </w:style>
  <w:style w:type="paragraph" w:styleId="10">
    <w:name w:val="annotation subject"/>
    <w:basedOn w:val="5"/>
    <w:next w:val="5"/>
    <w:link w:val="24"/>
    <w:semiHidden/>
    <w:unhideWhenUsed/>
    <w:uiPriority w:val="99"/>
    <w:rPr>
      <w:b/>
      <w:bCs/>
    </w:rPr>
  </w:style>
  <w:style w:type="table" w:styleId="12">
    <w:name w:val="Table Grid"/>
    <w:basedOn w:val="11"/>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basedOn w:val="13"/>
    <w:qFormat/>
    <w:uiPriority w:val="22"/>
    <w:rPr>
      <w:b/>
      <w:bCs/>
    </w:rPr>
  </w:style>
  <w:style w:type="character" w:styleId="15">
    <w:name w:val="Hyperlink"/>
    <w:basedOn w:val="13"/>
    <w:unhideWhenUsed/>
    <w:uiPriority w:val="99"/>
    <w:rPr>
      <w:color w:val="0563C1" w:themeColor="hyperlink"/>
      <w:u w:val="single"/>
    </w:rPr>
  </w:style>
  <w:style w:type="character" w:styleId="16">
    <w:name w:val="annotation reference"/>
    <w:basedOn w:val="13"/>
    <w:semiHidden/>
    <w:unhideWhenUsed/>
    <w:qFormat/>
    <w:uiPriority w:val="99"/>
    <w:rPr>
      <w:sz w:val="21"/>
      <w:szCs w:val="21"/>
    </w:rPr>
  </w:style>
  <w:style w:type="character" w:customStyle="1" w:styleId="17">
    <w:name w:val="页眉 Char"/>
    <w:basedOn w:val="13"/>
    <w:link w:val="8"/>
    <w:uiPriority w:val="99"/>
    <w:rPr>
      <w:sz w:val="18"/>
      <w:szCs w:val="18"/>
    </w:rPr>
  </w:style>
  <w:style w:type="character" w:customStyle="1" w:styleId="18">
    <w:name w:val="页脚 Char"/>
    <w:basedOn w:val="13"/>
    <w:link w:val="7"/>
    <w:qFormat/>
    <w:uiPriority w:val="99"/>
    <w:rPr>
      <w:sz w:val="18"/>
      <w:szCs w:val="18"/>
    </w:rPr>
  </w:style>
  <w:style w:type="character" w:customStyle="1" w:styleId="19">
    <w:name w:val="标题 2 Char"/>
    <w:basedOn w:val="13"/>
    <w:link w:val="2"/>
    <w:uiPriority w:val="0"/>
    <w:rPr>
      <w:rFonts w:ascii="Arial" w:hAnsi="Arial" w:eastAsia="黑体" w:cs="Times New Roman"/>
      <w:b/>
      <w:spacing w:val="10"/>
      <w:kern w:val="0"/>
      <w:sz w:val="32"/>
      <w:szCs w:val="20"/>
    </w:rPr>
  </w:style>
  <w:style w:type="paragraph" w:customStyle="1" w:styleId="20">
    <w:name w:val="标题 2 居中"/>
    <w:basedOn w:val="2"/>
    <w:qFormat/>
    <w:uiPriority w:val="0"/>
    <w:pPr>
      <w:jc w:val="center"/>
    </w:pPr>
    <w:rPr>
      <w:rFonts w:ascii="宋体" w:hAnsi="宋体"/>
    </w:rPr>
  </w:style>
  <w:style w:type="character" w:customStyle="1" w:styleId="21">
    <w:name w:val="标题 Char"/>
    <w:link w:val="9"/>
    <w:qFormat/>
    <w:uiPriority w:val="0"/>
    <w:rPr>
      <w:rFonts w:ascii="Cambria" w:hAnsi="Cambria" w:cs="Times New Roman"/>
      <w:b/>
      <w:bCs/>
      <w:sz w:val="32"/>
      <w:szCs w:val="32"/>
    </w:rPr>
  </w:style>
  <w:style w:type="character" w:customStyle="1" w:styleId="22">
    <w:name w:val="标题 Char1"/>
    <w:basedOn w:val="13"/>
    <w:uiPriority w:val="10"/>
    <w:rPr>
      <w:rFonts w:eastAsia="宋体" w:asciiTheme="majorHAnsi" w:hAnsiTheme="majorHAnsi" w:cstheme="majorBidi"/>
      <w:b/>
      <w:bCs/>
      <w:sz w:val="32"/>
      <w:szCs w:val="32"/>
    </w:rPr>
  </w:style>
  <w:style w:type="character" w:customStyle="1" w:styleId="23">
    <w:name w:val="批注文字 Char"/>
    <w:basedOn w:val="13"/>
    <w:link w:val="5"/>
    <w:semiHidden/>
    <w:qFormat/>
    <w:uiPriority w:val="99"/>
  </w:style>
  <w:style w:type="character" w:customStyle="1" w:styleId="24">
    <w:name w:val="批注主题 Char"/>
    <w:basedOn w:val="23"/>
    <w:link w:val="10"/>
    <w:semiHidden/>
    <w:uiPriority w:val="99"/>
    <w:rPr>
      <w:b/>
      <w:bCs/>
    </w:rPr>
  </w:style>
  <w:style w:type="character" w:customStyle="1" w:styleId="25">
    <w:name w:val="批注框文本 Char"/>
    <w:basedOn w:val="13"/>
    <w:link w:val="6"/>
    <w:semiHidden/>
    <w:qFormat/>
    <w:uiPriority w:val="99"/>
    <w:rPr>
      <w:sz w:val="18"/>
      <w:szCs w:val="18"/>
    </w:rPr>
  </w:style>
  <w:style w:type="paragraph" w:customStyle="1" w:styleId="26">
    <w:name w:val="p0"/>
    <w:basedOn w:val="1"/>
    <w:uiPriority w:val="0"/>
    <w:pPr>
      <w:widowControl/>
      <w:jc w:val="left"/>
    </w:pPr>
    <w:rPr>
      <w:rFonts w:ascii="宋体" w:hAnsi="宋体" w:eastAsia="宋体" w:cs="宋体"/>
      <w:kern w:val="0"/>
      <w:sz w:val="24"/>
      <w:szCs w:val="24"/>
    </w:rPr>
  </w:style>
  <w:style w:type="character" w:customStyle="1" w:styleId="27">
    <w:name w:val="标题 3 Char"/>
    <w:basedOn w:val="13"/>
    <w:link w:val="3"/>
    <w:qFormat/>
    <w:uiPriority w:val="0"/>
    <w:rPr>
      <w:rFonts w:ascii="Times New Roman" w:hAnsi="Times New Roman" w:eastAsia="宋体" w:cs="Times New Roman"/>
      <w:b/>
      <w:bCs/>
      <w:sz w:val="32"/>
      <w:szCs w:val="32"/>
    </w:rPr>
  </w:style>
  <w:style w:type="paragraph" w:styleId="2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54F054-76C3-4047-8D7A-844BECE99769}">
  <ds:schemaRefs/>
</ds:datastoreItem>
</file>

<file path=docProps/app.xml><?xml version="1.0" encoding="utf-8"?>
<Properties xmlns="http://schemas.openxmlformats.org/officeDocument/2006/extended-properties" xmlns:vt="http://schemas.openxmlformats.org/officeDocument/2006/docPropsVTypes">
  <Template>Normal</Template>
  <Pages>18</Pages>
  <Words>5468</Words>
  <Characters>5877</Characters>
  <Lines>46</Lines>
  <Paragraphs>12</Paragraphs>
  <TotalTime>437</TotalTime>
  <ScaleCrop>false</ScaleCrop>
  <LinksUpToDate>false</LinksUpToDate>
  <CharactersWithSpaces>5956</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2021-08-19T02:04:00Z</dcterms:created>
  <dc:creator>陈焰</dc:creator>
  <cp:lastModifiedBy>Happy</cp:lastModifiedBy>
  <dcterms:modified xsi:type="dcterms:W3CDTF">2022-12-02T08:25:12Z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4862C9CBBB564AB4A18ECDE452B0749D</vt:lpwstr>
  </property>
</Properties>
</file>