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color w:val="auto"/>
          <w:sz w:val="52"/>
          <w:szCs w:val="52"/>
          <w:highlight w:val="none"/>
        </w:rPr>
      </w:pPr>
      <w:bookmarkStart w:id="72" w:name="_GoBack"/>
      <w:bookmarkEnd w:id="72"/>
    </w:p>
    <w:p>
      <w:pPr>
        <w:jc w:val="center"/>
        <w:rPr>
          <w:color w:val="auto"/>
          <w:sz w:val="52"/>
          <w:szCs w:val="52"/>
          <w:highlight w:val="none"/>
        </w:rPr>
      </w:pPr>
      <w:r>
        <w:rPr>
          <w:rFonts w:hint="eastAsia"/>
          <w:color w:val="auto"/>
          <w:sz w:val="52"/>
          <w:szCs w:val="52"/>
          <w:highlight w:val="none"/>
        </w:rPr>
        <w:t>厦门</w:t>
      </w:r>
      <w:r>
        <w:rPr>
          <w:color w:val="auto"/>
          <w:sz w:val="52"/>
          <w:szCs w:val="52"/>
          <w:highlight w:val="none"/>
        </w:rPr>
        <w:t>海发环保能源股份有限公司</w:t>
      </w:r>
    </w:p>
    <w:p>
      <w:pPr>
        <w:jc w:val="center"/>
        <w:rPr>
          <w:b/>
          <w:color w:val="auto"/>
          <w:sz w:val="36"/>
          <w:szCs w:val="36"/>
          <w:highlight w:val="none"/>
        </w:rPr>
      </w:pPr>
    </w:p>
    <w:p>
      <w:pPr>
        <w:jc w:val="center"/>
        <w:rPr>
          <w:b/>
          <w:color w:val="auto"/>
          <w:sz w:val="36"/>
          <w:szCs w:val="36"/>
          <w:highlight w:val="none"/>
        </w:rPr>
      </w:pPr>
    </w:p>
    <w:p>
      <w:pPr>
        <w:jc w:val="center"/>
        <w:rPr>
          <w:b/>
          <w:color w:val="auto"/>
          <w:sz w:val="36"/>
          <w:szCs w:val="36"/>
          <w:highlight w:val="none"/>
        </w:rPr>
      </w:pPr>
    </w:p>
    <w:p>
      <w:pPr>
        <w:jc w:val="center"/>
        <w:rPr>
          <w:color w:val="auto"/>
          <w:sz w:val="36"/>
          <w:szCs w:val="36"/>
          <w:highlight w:val="none"/>
        </w:rPr>
      </w:pPr>
      <w:r>
        <w:rPr>
          <w:rFonts w:hint="eastAsia"/>
          <w:b/>
          <w:color w:val="auto"/>
          <w:sz w:val="36"/>
          <w:szCs w:val="36"/>
          <w:highlight w:val="none"/>
        </w:rPr>
        <w:t>同集事业部无烟煤采购</w:t>
      </w:r>
      <w:r>
        <w:rPr>
          <w:rFonts w:hint="eastAsia"/>
          <w:color w:val="auto"/>
          <w:sz w:val="36"/>
          <w:szCs w:val="36"/>
          <w:highlight w:val="none"/>
        </w:rPr>
        <w:t xml:space="preserve"> </w:t>
      </w:r>
    </w:p>
    <w:p>
      <w:pPr>
        <w:jc w:val="center"/>
        <w:rPr>
          <w:color w:val="auto"/>
          <w:sz w:val="36"/>
          <w:szCs w:val="36"/>
          <w:highlight w:val="none"/>
        </w:rPr>
      </w:pPr>
      <w:r>
        <w:rPr>
          <w:rFonts w:hint="eastAsia"/>
          <w:color w:val="auto"/>
          <w:sz w:val="36"/>
          <w:szCs w:val="36"/>
          <w:highlight w:val="none"/>
        </w:rPr>
        <w:t>竞争性谈判文件</w:t>
      </w:r>
    </w:p>
    <w:p>
      <w:pPr>
        <w:jc w:val="center"/>
        <w:rPr>
          <w:color w:val="auto"/>
          <w:sz w:val="52"/>
          <w:szCs w:val="52"/>
          <w:highlight w:val="none"/>
        </w:rPr>
      </w:pPr>
    </w:p>
    <w:p>
      <w:pPr>
        <w:jc w:val="center"/>
        <w:rPr>
          <w:color w:val="auto"/>
          <w:sz w:val="52"/>
          <w:szCs w:val="52"/>
          <w:highlight w:val="none"/>
        </w:rPr>
      </w:pPr>
    </w:p>
    <w:p>
      <w:pPr>
        <w:jc w:val="center"/>
        <w:rPr>
          <w:color w:val="auto"/>
          <w:sz w:val="52"/>
          <w:szCs w:val="52"/>
          <w:highlight w:val="none"/>
        </w:rPr>
      </w:pPr>
    </w:p>
    <w:p>
      <w:pPr>
        <w:jc w:val="center"/>
        <w:rPr>
          <w:color w:val="auto"/>
          <w:sz w:val="36"/>
          <w:szCs w:val="36"/>
          <w:highlight w:val="none"/>
        </w:rPr>
      </w:pPr>
      <w:r>
        <w:rPr>
          <w:rFonts w:hint="eastAsia"/>
          <w:color w:val="auto"/>
          <w:sz w:val="36"/>
          <w:szCs w:val="36"/>
          <w:highlight w:val="none"/>
        </w:rPr>
        <w:t>项目</w:t>
      </w:r>
      <w:r>
        <w:rPr>
          <w:color w:val="auto"/>
          <w:sz w:val="36"/>
          <w:szCs w:val="36"/>
          <w:highlight w:val="none"/>
        </w:rPr>
        <w:t>编号</w:t>
      </w:r>
      <w:r>
        <w:rPr>
          <w:rFonts w:hint="eastAsia"/>
          <w:color w:val="auto"/>
          <w:sz w:val="36"/>
          <w:szCs w:val="36"/>
          <w:highlight w:val="none"/>
        </w:rPr>
        <w:t>：H</w:t>
      </w:r>
      <w:r>
        <w:rPr>
          <w:color w:val="auto"/>
          <w:sz w:val="36"/>
          <w:szCs w:val="36"/>
          <w:highlight w:val="none"/>
        </w:rPr>
        <w:t>FHB-W202</w:t>
      </w:r>
      <w:r>
        <w:rPr>
          <w:rFonts w:hint="eastAsia"/>
          <w:color w:val="auto"/>
          <w:sz w:val="36"/>
          <w:szCs w:val="36"/>
          <w:highlight w:val="none"/>
        </w:rPr>
        <w:t>4</w:t>
      </w:r>
      <w:r>
        <w:rPr>
          <w:color w:val="auto"/>
          <w:sz w:val="36"/>
          <w:szCs w:val="36"/>
          <w:highlight w:val="none"/>
        </w:rPr>
        <w:t>-</w:t>
      </w:r>
      <w:r>
        <w:rPr>
          <w:rFonts w:hint="eastAsia"/>
          <w:color w:val="auto"/>
          <w:sz w:val="36"/>
          <w:szCs w:val="36"/>
          <w:highlight w:val="none"/>
        </w:rPr>
        <w:t>03</w:t>
      </w:r>
    </w:p>
    <w:p>
      <w:pPr>
        <w:jc w:val="center"/>
        <w:rPr>
          <w:color w:val="auto"/>
          <w:sz w:val="36"/>
          <w:szCs w:val="36"/>
          <w:highlight w:val="none"/>
        </w:rPr>
      </w:pPr>
    </w:p>
    <w:p>
      <w:pPr>
        <w:jc w:val="center"/>
        <w:rPr>
          <w:color w:val="auto"/>
          <w:sz w:val="36"/>
          <w:szCs w:val="36"/>
          <w:highlight w:val="none"/>
        </w:rPr>
      </w:pPr>
    </w:p>
    <w:p>
      <w:pPr>
        <w:jc w:val="center"/>
        <w:rPr>
          <w:color w:val="auto"/>
          <w:sz w:val="36"/>
          <w:szCs w:val="36"/>
          <w:highlight w:val="none"/>
        </w:rPr>
      </w:pPr>
    </w:p>
    <w:p>
      <w:pPr>
        <w:jc w:val="center"/>
        <w:rPr>
          <w:color w:val="auto"/>
          <w:sz w:val="36"/>
          <w:szCs w:val="36"/>
          <w:highlight w:val="none"/>
        </w:rPr>
      </w:pPr>
    </w:p>
    <w:p>
      <w:pPr>
        <w:jc w:val="center"/>
        <w:rPr>
          <w:color w:val="auto"/>
          <w:sz w:val="36"/>
          <w:szCs w:val="36"/>
          <w:highlight w:val="none"/>
        </w:rPr>
      </w:pPr>
    </w:p>
    <w:p>
      <w:pPr>
        <w:jc w:val="center"/>
        <w:rPr>
          <w:color w:val="auto"/>
          <w:sz w:val="36"/>
          <w:szCs w:val="36"/>
          <w:highlight w:val="none"/>
        </w:rPr>
      </w:pPr>
    </w:p>
    <w:p>
      <w:pPr>
        <w:jc w:val="center"/>
        <w:rPr>
          <w:color w:val="auto"/>
          <w:sz w:val="36"/>
          <w:szCs w:val="36"/>
          <w:highlight w:val="none"/>
        </w:rPr>
      </w:pPr>
      <w:r>
        <w:rPr>
          <w:rFonts w:hint="eastAsia"/>
          <w:color w:val="auto"/>
          <w:sz w:val="36"/>
          <w:szCs w:val="36"/>
          <w:highlight w:val="none"/>
        </w:rPr>
        <w:t>厦门</w:t>
      </w:r>
      <w:r>
        <w:rPr>
          <w:color w:val="auto"/>
          <w:sz w:val="36"/>
          <w:szCs w:val="36"/>
          <w:highlight w:val="none"/>
        </w:rPr>
        <w:t>海发环保能源股份有限公司</w:t>
      </w:r>
    </w:p>
    <w:p>
      <w:pPr>
        <w:jc w:val="center"/>
        <w:rPr>
          <w:color w:val="auto"/>
          <w:sz w:val="36"/>
          <w:szCs w:val="36"/>
          <w:highlight w:val="none"/>
        </w:rPr>
      </w:pPr>
      <w:r>
        <w:rPr>
          <w:color w:val="auto"/>
          <w:sz w:val="36"/>
          <w:szCs w:val="36"/>
          <w:highlight w:val="none"/>
        </w:rPr>
        <w:t>20</w:t>
      </w:r>
      <w:r>
        <w:rPr>
          <w:rFonts w:hint="eastAsia"/>
          <w:color w:val="auto"/>
          <w:sz w:val="36"/>
          <w:szCs w:val="36"/>
          <w:highlight w:val="none"/>
        </w:rPr>
        <w:t>24年</w:t>
      </w:r>
      <w:r>
        <w:rPr>
          <w:rFonts w:hint="eastAsia"/>
          <w:color w:val="auto"/>
          <w:sz w:val="36"/>
          <w:szCs w:val="36"/>
          <w:highlight w:val="none"/>
          <w:lang w:val="en-US" w:eastAsia="zh-CN"/>
        </w:rPr>
        <w:t>04</w:t>
      </w:r>
      <w:r>
        <w:rPr>
          <w:rFonts w:hint="eastAsia"/>
          <w:color w:val="auto"/>
          <w:sz w:val="36"/>
          <w:szCs w:val="36"/>
          <w:highlight w:val="none"/>
        </w:rPr>
        <w:t>月</w:t>
      </w:r>
    </w:p>
    <w:p>
      <w:pPr>
        <w:jc w:val="center"/>
        <w:rPr>
          <w:color w:val="auto"/>
          <w:sz w:val="36"/>
          <w:szCs w:val="36"/>
          <w:highlight w:val="none"/>
        </w:rPr>
      </w:pPr>
    </w:p>
    <w:p>
      <w:pPr>
        <w:jc w:val="center"/>
        <w:rPr>
          <w:color w:val="auto"/>
          <w:sz w:val="36"/>
          <w:szCs w:val="36"/>
          <w:highlight w:val="none"/>
        </w:rPr>
      </w:pPr>
      <w:r>
        <w:rPr>
          <w:rFonts w:hint="eastAsia"/>
          <w:color w:val="auto"/>
          <w:sz w:val="36"/>
          <w:szCs w:val="36"/>
          <w:highlight w:val="none"/>
        </w:rPr>
        <w:t>第</w:t>
      </w:r>
      <w:r>
        <w:rPr>
          <w:color w:val="auto"/>
          <w:sz w:val="36"/>
          <w:szCs w:val="36"/>
          <w:highlight w:val="none"/>
        </w:rPr>
        <w:t>一部分</w:t>
      </w:r>
      <w:r>
        <w:rPr>
          <w:rFonts w:hint="eastAsia"/>
          <w:color w:val="auto"/>
          <w:sz w:val="36"/>
          <w:szCs w:val="36"/>
          <w:highlight w:val="none"/>
        </w:rPr>
        <w:t>采购</w:t>
      </w:r>
      <w:r>
        <w:rPr>
          <w:color w:val="auto"/>
          <w:sz w:val="36"/>
          <w:szCs w:val="36"/>
          <w:highlight w:val="none"/>
        </w:rPr>
        <w:t>邀请</w:t>
      </w:r>
      <w:r>
        <w:rPr>
          <w:rFonts w:hint="eastAsia"/>
          <w:color w:val="auto"/>
          <w:sz w:val="36"/>
          <w:szCs w:val="36"/>
          <w:highlight w:val="none"/>
        </w:rPr>
        <w:t>函</w:t>
      </w:r>
    </w:p>
    <w:p>
      <w:pPr>
        <w:spacing w:line="276" w:lineRule="auto"/>
        <w:ind w:firstLine="480" w:firstLineChars="200"/>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我司根据事业部（</w:t>
      </w:r>
      <w:r>
        <w:rPr>
          <w:rFonts w:hint="eastAsia" w:ascii="宋体" w:hAnsi="宋体" w:eastAsia="宋体" w:cs="宋体"/>
          <w:b/>
          <w:color w:val="auto"/>
          <w:kern w:val="0"/>
          <w:sz w:val="24"/>
          <w:szCs w:val="24"/>
          <w:highlight w:val="none"/>
        </w:rPr>
        <w:t>同集热电</w:t>
      </w:r>
      <w:r>
        <w:rPr>
          <w:rFonts w:hint="eastAsia" w:ascii="宋体" w:hAnsi="宋体" w:eastAsia="宋体" w:cs="宋体"/>
          <w:color w:val="auto"/>
          <w:kern w:val="0"/>
          <w:sz w:val="24"/>
          <w:szCs w:val="24"/>
          <w:highlight w:val="none"/>
        </w:rPr>
        <w:t>）燃煤</w:t>
      </w:r>
      <w:r>
        <w:rPr>
          <w:rFonts w:ascii="宋体" w:hAnsi="宋体" w:eastAsia="宋体" w:cs="宋体"/>
          <w:color w:val="auto"/>
          <w:kern w:val="0"/>
          <w:sz w:val="24"/>
          <w:szCs w:val="24"/>
          <w:highlight w:val="none"/>
        </w:rPr>
        <w:t>锅炉</w:t>
      </w:r>
      <w:r>
        <w:rPr>
          <w:rFonts w:hint="eastAsia" w:ascii="宋体" w:hAnsi="宋体" w:eastAsia="宋体" w:cs="宋体"/>
          <w:color w:val="auto"/>
          <w:kern w:val="0"/>
          <w:sz w:val="24"/>
          <w:szCs w:val="24"/>
          <w:highlight w:val="none"/>
        </w:rPr>
        <w:t>生产需求，现进行煤炭（无</w:t>
      </w:r>
      <w:r>
        <w:rPr>
          <w:rFonts w:ascii="宋体" w:hAnsi="宋体" w:eastAsia="宋体" w:cs="宋体"/>
          <w:color w:val="auto"/>
          <w:kern w:val="0"/>
          <w:sz w:val="24"/>
          <w:szCs w:val="24"/>
          <w:highlight w:val="none"/>
        </w:rPr>
        <w:t>烟煤）</w:t>
      </w:r>
      <w:r>
        <w:rPr>
          <w:rFonts w:hint="eastAsia" w:ascii="宋体" w:hAnsi="宋体" w:eastAsia="宋体" w:cs="宋体"/>
          <w:color w:val="auto"/>
          <w:kern w:val="0"/>
          <w:sz w:val="24"/>
          <w:szCs w:val="24"/>
          <w:highlight w:val="none"/>
        </w:rPr>
        <w:t>竞争性谈判采购，希望具备长期供应能力的供应商，按照有关采购规定和我司的要求，</w:t>
      </w:r>
      <w:r>
        <w:rPr>
          <w:rFonts w:ascii="宋体" w:hAnsi="宋体" w:eastAsia="宋体" w:cs="宋体"/>
          <w:color w:val="auto"/>
          <w:kern w:val="0"/>
          <w:sz w:val="24"/>
          <w:szCs w:val="24"/>
          <w:highlight w:val="none"/>
        </w:rPr>
        <w:t>积极参</w:t>
      </w:r>
      <w:r>
        <w:rPr>
          <w:rFonts w:hint="eastAsia" w:ascii="宋体" w:hAnsi="宋体" w:eastAsia="宋体" w:cs="宋体"/>
          <w:color w:val="auto"/>
          <w:kern w:val="0"/>
          <w:sz w:val="24"/>
          <w:szCs w:val="24"/>
          <w:highlight w:val="none"/>
        </w:rPr>
        <w:t>与</w:t>
      </w:r>
      <w:r>
        <w:rPr>
          <w:rFonts w:ascii="宋体" w:hAnsi="宋体" w:eastAsia="宋体" w:cs="宋体"/>
          <w:color w:val="auto"/>
          <w:kern w:val="0"/>
          <w:sz w:val="24"/>
          <w:szCs w:val="24"/>
          <w:highlight w:val="none"/>
        </w:rPr>
        <w:t>投标</w:t>
      </w:r>
      <w:r>
        <w:rPr>
          <w:rFonts w:hint="eastAsia" w:ascii="宋体" w:hAnsi="宋体" w:eastAsia="宋体" w:cs="宋体"/>
          <w:color w:val="auto"/>
          <w:kern w:val="0"/>
          <w:sz w:val="24"/>
          <w:szCs w:val="24"/>
          <w:highlight w:val="none"/>
        </w:rPr>
        <w:t>报价工作。</w:t>
      </w:r>
    </w:p>
    <w:p>
      <w:pPr>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 项目</w:t>
      </w:r>
      <w:r>
        <w:rPr>
          <w:rFonts w:ascii="宋体" w:hAnsi="宋体" w:eastAsia="宋体" w:cs="宋体"/>
          <w:color w:val="auto"/>
          <w:kern w:val="0"/>
          <w:sz w:val="24"/>
          <w:szCs w:val="24"/>
          <w:highlight w:val="none"/>
        </w:rPr>
        <w:t>概况</w:t>
      </w:r>
    </w:p>
    <w:p>
      <w:pPr>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1.1项目</w:t>
      </w:r>
      <w:r>
        <w:rPr>
          <w:rFonts w:ascii="宋体" w:hAnsi="宋体" w:eastAsia="宋体" w:cs="宋体"/>
          <w:color w:val="auto"/>
          <w:kern w:val="0"/>
          <w:sz w:val="24"/>
          <w:szCs w:val="24"/>
          <w:highlight w:val="none"/>
        </w:rPr>
        <w:t>名称：</w:t>
      </w:r>
      <w:r>
        <w:rPr>
          <w:rFonts w:hint="eastAsia" w:ascii="宋体" w:hAnsi="宋体" w:eastAsia="宋体" w:cs="宋体"/>
          <w:color w:val="auto"/>
          <w:kern w:val="0"/>
          <w:sz w:val="24"/>
          <w:szCs w:val="24"/>
          <w:highlight w:val="none"/>
        </w:rPr>
        <w:t>同集事业部无烟煤</w:t>
      </w:r>
      <w:r>
        <w:rPr>
          <w:rFonts w:ascii="宋体" w:hAnsi="宋体" w:eastAsia="宋体" w:cs="宋体"/>
          <w:color w:val="auto"/>
          <w:kern w:val="0"/>
          <w:sz w:val="24"/>
          <w:szCs w:val="24"/>
          <w:highlight w:val="none"/>
        </w:rPr>
        <w:t>采购</w:t>
      </w:r>
    </w:p>
    <w:p>
      <w:pPr>
        <w:spacing w:line="276" w:lineRule="auto"/>
        <w:jc w:val="left"/>
        <w:rPr>
          <w:rFonts w:ascii="宋体" w:hAnsi="宋体" w:eastAsia="宋体" w:cs="Times New Roman"/>
          <w:b/>
          <w:color w:val="auto"/>
          <w:sz w:val="24"/>
          <w:szCs w:val="24"/>
          <w:highlight w:val="none"/>
        </w:rPr>
      </w:pPr>
      <w:r>
        <w:rPr>
          <w:rFonts w:hint="eastAsia" w:ascii="宋体" w:hAnsi="宋体" w:eastAsia="宋体" w:cs="宋体"/>
          <w:color w:val="auto"/>
          <w:kern w:val="0"/>
          <w:sz w:val="24"/>
          <w:szCs w:val="24"/>
          <w:highlight w:val="none"/>
        </w:rPr>
        <w:t>1.2项目</w:t>
      </w:r>
      <w:r>
        <w:rPr>
          <w:rFonts w:ascii="宋体" w:hAnsi="宋体" w:eastAsia="宋体" w:cs="宋体"/>
          <w:color w:val="auto"/>
          <w:kern w:val="0"/>
          <w:sz w:val="24"/>
          <w:szCs w:val="24"/>
          <w:highlight w:val="none"/>
        </w:rPr>
        <w:t>地点：</w:t>
      </w:r>
      <w:r>
        <w:rPr>
          <w:rFonts w:hint="eastAsia" w:ascii="宋体" w:hAnsi="宋体" w:eastAsia="宋体"/>
          <w:b/>
          <w:bCs/>
          <w:color w:val="auto"/>
          <w:sz w:val="24"/>
          <w:szCs w:val="24"/>
          <w:highlight w:val="none"/>
        </w:rPr>
        <w:t>厦门</w:t>
      </w:r>
      <w:r>
        <w:rPr>
          <w:rFonts w:ascii="宋体" w:hAnsi="宋体" w:eastAsia="宋体"/>
          <w:b/>
          <w:bCs/>
          <w:color w:val="auto"/>
          <w:sz w:val="24"/>
          <w:szCs w:val="24"/>
          <w:highlight w:val="none"/>
        </w:rPr>
        <w:t>市</w:t>
      </w:r>
      <w:r>
        <w:rPr>
          <w:rFonts w:hint="eastAsia" w:ascii="宋体" w:hAnsi="宋体" w:eastAsia="宋体" w:cs="Times New Roman"/>
          <w:b/>
          <w:color w:val="auto"/>
          <w:sz w:val="24"/>
          <w:szCs w:val="24"/>
          <w:highlight w:val="none"/>
        </w:rPr>
        <w:t>同安区美禾三路399号</w:t>
      </w:r>
    </w:p>
    <w:p>
      <w:pPr>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1.3</w:t>
      </w:r>
      <w:r>
        <w:rPr>
          <w:rFonts w:hint="eastAsia" w:ascii="宋体" w:hAnsi="宋体" w:eastAsia="宋体" w:cs="宋体"/>
          <w:color w:val="auto"/>
          <w:kern w:val="0"/>
          <w:sz w:val="24"/>
          <w:szCs w:val="24"/>
          <w:highlight w:val="none"/>
        </w:rPr>
        <w:t>资金</w:t>
      </w:r>
      <w:r>
        <w:rPr>
          <w:rFonts w:ascii="宋体" w:hAnsi="宋体" w:eastAsia="宋体" w:cs="宋体"/>
          <w:color w:val="auto"/>
          <w:kern w:val="0"/>
          <w:sz w:val="24"/>
          <w:szCs w:val="24"/>
          <w:highlight w:val="none"/>
        </w:rPr>
        <w:t>来源：国有企业自筹资金</w:t>
      </w:r>
    </w:p>
    <w:p>
      <w:pPr>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1.4</w:t>
      </w:r>
      <w:r>
        <w:rPr>
          <w:rFonts w:hint="eastAsia" w:ascii="宋体" w:hAnsi="宋体" w:eastAsia="宋体" w:cs="宋体"/>
          <w:color w:val="auto"/>
          <w:kern w:val="0"/>
          <w:sz w:val="24"/>
          <w:szCs w:val="24"/>
          <w:highlight w:val="none"/>
        </w:rPr>
        <w:t>采购</w:t>
      </w:r>
      <w:r>
        <w:rPr>
          <w:rFonts w:ascii="宋体" w:hAnsi="宋体" w:eastAsia="宋体" w:cs="宋体"/>
          <w:color w:val="auto"/>
          <w:kern w:val="0"/>
          <w:sz w:val="24"/>
          <w:szCs w:val="24"/>
          <w:highlight w:val="none"/>
        </w:rPr>
        <w:t>内容：详见第三部分采购项目及各项</w:t>
      </w:r>
      <w:r>
        <w:rPr>
          <w:rFonts w:hint="eastAsia" w:ascii="宋体" w:hAnsi="宋体" w:eastAsia="宋体" w:cs="宋体"/>
          <w:color w:val="auto"/>
          <w:kern w:val="0"/>
          <w:sz w:val="24"/>
          <w:szCs w:val="24"/>
          <w:highlight w:val="none"/>
        </w:rPr>
        <w:t>要求</w:t>
      </w:r>
    </w:p>
    <w:p>
      <w:pPr>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2</w:t>
      </w:r>
      <w:r>
        <w:rPr>
          <w:rFonts w:hint="eastAsia" w:ascii="宋体" w:hAnsi="宋体" w:eastAsia="宋体" w:cs="宋体"/>
          <w:color w:val="auto"/>
          <w:kern w:val="0"/>
          <w:sz w:val="24"/>
          <w:szCs w:val="24"/>
          <w:highlight w:val="none"/>
        </w:rPr>
        <w:t>报价方</w:t>
      </w:r>
      <w:r>
        <w:rPr>
          <w:rFonts w:ascii="宋体" w:hAnsi="宋体" w:eastAsia="宋体" w:cs="宋体"/>
          <w:color w:val="auto"/>
          <w:kern w:val="0"/>
          <w:sz w:val="24"/>
          <w:szCs w:val="24"/>
          <w:highlight w:val="none"/>
        </w:rPr>
        <w:t>资格要求</w:t>
      </w:r>
    </w:p>
    <w:p>
      <w:pPr>
        <w:tabs>
          <w:tab w:val="left" w:pos="0"/>
        </w:tabs>
        <w:kinsoku w:val="0"/>
        <w:overflowPunct w:val="0"/>
        <w:adjustRightInd w:val="0"/>
        <w:snapToGrid w:val="0"/>
        <w:spacing w:line="276" w:lineRule="auto"/>
        <w:jc w:val="left"/>
        <w:rPr>
          <w:rFonts w:ascii="宋体" w:hAnsi="宋体" w:eastAsia="宋体"/>
          <w:bCs/>
          <w:color w:val="auto"/>
          <w:sz w:val="24"/>
          <w:szCs w:val="24"/>
          <w:highlight w:val="none"/>
        </w:rPr>
      </w:pPr>
      <w:r>
        <w:rPr>
          <w:rFonts w:hint="eastAsia" w:ascii="宋体" w:hAnsi="宋体" w:eastAsia="宋体"/>
          <w:bCs/>
          <w:color w:val="auto"/>
          <w:sz w:val="24"/>
          <w:szCs w:val="24"/>
          <w:highlight w:val="none"/>
        </w:rPr>
        <w:t>*</w:t>
      </w:r>
      <w:r>
        <w:rPr>
          <w:rFonts w:ascii="宋体" w:hAnsi="宋体" w:eastAsia="宋体"/>
          <w:bCs/>
          <w:color w:val="auto"/>
          <w:sz w:val="24"/>
          <w:szCs w:val="24"/>
          <w:highlight w:val="none"/>
        </w:rPr>
        <w:t>2.1</w:t>
      </w:r>
      <w:r>
        <w:rPr>
          <w:rFonts w:hint="eastAsia" w:ascii="宋体" w:hAnsi="宋体" w:eastAsia="宋体"/>
          <w:bCs/>
          <w:color w:val="auto"/>
          <w:sz w:val="24"/>
          <w:szCs w:val="24"/>
          <w:highlight w:val="none"/>
        </w:rPr>
        <w:t>中华人民共和国境内注册的独立法人企业，提供有效期内营业执照复印件并加盖公章。</w:t>
      </w:r>
    </w:p>
    <w:p>
      <w:pPr>
        <w:tabs>
          <w:tab w:val="left" w:pos="0"/>
        </w:tabs>
        <w:kinsoku w:val="0"/>
        <w:overflowPunct w:val="0"/>
        <w:adjustRightInd w:val="0"/>
        <w:snapToGrid w:val="0"/>
        <w:spacing w:line="276" w:lineRule="auto"/>
        <w:jc w:val="left"/>
        <w:rPr>
          <w:rFonts w:ascii="宋体" w:hAnsi="宋体" w:eastAsia="宋体"/>
          <w:bCs/>
          <w:color w:val="auto"/>
          <w:sz w:val="24"/>
          <w:szCs w:val="24"/>
          <w:highlight w:val="none"/>
        </w:rPr>
      </w:pPr>
      <w:r>
        <w:rPr>
          <w:rFonts w:hint="eastAsia" w:ascii="宋体" w:hAnsi="宋体" w:eastAsia="宋体"/>
          <w:bCs/>
          <w:color w:val="auto"/>
          <w:sz w:val="24"/>
          <w:szCs w:val="24"/>
          <w:highlight w:val="none"/>
        </w:rPr>
        <w:t>*</w:t>
      </w:r>
      <w:r>
        <w:rPr>
          <w:rFonts w:ascii="宋体" w:hAnsi="宋体" w:eastAsia="宋体"/>
          <w:bCs/>
          <w:color w:val="auto"/>
          <w:sz w:val="24"/>
          <w:szCs w:val="24"/>
          <w:highlight w:val="none"/>
        </w:rPr>
        <w:t>2.2</w:t>
      </w:r>
      <w:r>
        <w:rPr>
          <w:rFonts w:hint="eastAsia" w:ascii="宋体" w:hAnsi="宋体" w:eastAsia="宋体"/>
          <w:bCs/>
          <w:color w:val="auto"/>
          <w:sz w:val="24"/>
          <w:szCs w:val="24"/>
          <w:highlight w:val="none"/>
        </w:rPr>
        <w:t>报价方必须提供法定代表人身份证明书，若非企业法定代表人签字报价需提交法人授权委托书。</w:t>
      </w:r>
    </w:p>
    <w:p>
      <w:pPr>
        <w:tabs>
          <w:tab w:val="left" w:pos="0"/>
        </w:tabs>
        <w:kinsoku w:val="0"/>
        <w:overflowPunct w:val="0"/>
        <w:adjustRightInd w:val="0"/>
        <w:snapToGrid w:val="0"/>
        <w:spacing w:line="276" w:lineRule="auto"/>
        <w:jc w:val="left"/>
        <w:rPr>
          <w:rFonts w:ascii="宋体" w:hAnsi="宋体" w:eastAsia="宋体"/>
          <w:color w:val="auto"/>
          <w:sz w:val="24"/>
          <w:szCs w:val="24"/>
          <w:highlight w:val="none"/>
        </w:rPr>
      </w:pPr>
      <w:r>
        <w:rPr>
          <w:rFonts w:hint="eastAsia" w:ascii="宋体" w:hAnsi="宋体" w:eastAsia="宋体"/>
          <w:bCs/>
          <w:color w:val="auto"/>
          <w:sz w:val="24"/>
          <w:szCs w:val="24"/>
          <w:highlight w:val="none"/>
        </w:rPr>
        <w:t xml:space="preserve"> </w:t>
      </w:r>
      <w:r>
        <w:rPr>
          <w:rFonts w:hint="eastAsia" w:ascii="宋体" w:hAnsi="宋体" w:eastAsia="宋体"/>
          <w:color w:val="auto"/>
          <w:sz w:val="24"/>
          <w:szCs w:val="24"/>
          <w:highlight w:val="none"/>
        </w:rPr>
        <w:t>3投标保证金及缴款注意事项</w:t>
      </w:r>
    </w:p>
    <w:p>
      <w:pPr>
        <w:tabs>
          <w:tab w:val="left" w:pos="0"/>
        </w:tabs>
        <w:kinsoku w:val="0"/>
        <w:overflowPunct w:val="0"/>
        <w:adjustRightInd w:val="0"/>
        <w:snapToGrid w:val="0"/>
        <w:spacing w:line="276" w:lineRule="auto"/>
        <w:jc w:val="left"/>
        <w:rPr>
          <w:rFonts w:ascii="宋体" w:hAnsi="宋体" w:eastAsia="宋体"/>
          <w:color w:val="auto"/>
          <w:sz w:val="24"/>
          <w:szCs w:val="24"/>
          <w:highlight w:val="none"/>
        </w:rPr>
      </w:pPr>
      <w:r>
        <w:rPr>
          <w:rFonts w:hint="eastAsia" w:ascii="宋体" w:hAnsi="宋体" w:eastAsia="宋体"/>
          <w:color w:val="auto"/>
          <w:sz w:val="24"/>
          <w:szCs w:val="24"/>
          <w:highlight w:val="none"/>
        </w:rPr>
        <w:t>*3.1报价方递交报价文件前须缴足谈判保证金人民币壹万元整（¥ 10000.00），未按规定提交谈判保证金的报价文件，属无效报价文件，将不予开标。</w:t>
      </w:r>
    </w:p>
    <w:p>
      <w:pPr>
        <w:tabs>
          <w:tab w:val="left" w:pos="0"/>
        </w:tabs>
        <w:kinsoku w:val="0"/>
        <w:overflowPunct w:val="0"/>
        <w:adjustRightInd w:val="0"/>
        <w:snapToGrid w:val="0"/>
        <w:spacing w:line="276" w:lineRule="auto"/>
        <w:jc w:val="left"/>
        <w:rPr>
          <w:rFonts w:ascii="宋体" w:hAnsi="宋体" w:eastAsia="宋体" w:cs="宋体"/>
          <w:color w:val="auto"/>
          <w:kern w:val="0"/>
          <w:sz w:val="24"/>
          <w:szCs w:val="24"/>
          <w:highlight w:val="none"/>
        </w:rPr>
      </w:pPr>
      <w:r>
        <w:rPr>
          <w:rFonts w:hint="eastAsia" w:ascii="宋体" w:hAnsi="宋体" w:eastAsia="宋体"/>
          <w:color w:val="auto"/>
          <w:sz w:val="24"/>
          <w:szCs w:val="24"/>
          <w:highlight w:val="none"/>
        </w:rPr>
        <w:t>3.2第一成交候选供应商谈判保证金将自动转为合同履约金；若第一成交候选供应商拒不履行签订合同，我司将不予退还该保</w:t>
      </w:r>
      <w:r>
        <w:rPr>
          <w:rFonts w:hint="eastAsia" w:ascii="宋体" w:hAnsi="宋体" w:eastAsia="宋体" w:cs="宋体"/>
          <w:color w:val="auto"/>
          <w:kern w:val="0"/>
          <w:sz w:val="24"/>
          <w:szCs w:val="24"/>
          <w:highlight w:val="none"/>
        </w:rPr>
        <w:t>证金并</w:t>
      </w:r>
      <w:r>
        <w:rPr>
          <w:rFonts w:ascii="宋体" w:hAnsi="宋体" w:eastAsia="宋体" w:cs="宋体"/>
          <w:color w:val="auto"/>
          <w:kern w:val="0"/>
          <w:sz w:val="24"/>
          <w:szCs w:val="24"/>
          <w:highlight w:val="none"/>
        </w:rPr>
        <w:t>顺延第二成交供应商</w:t>
      </w:r>
      <w:r>
        <w:rPr>
          <w:rFonts w:hint="eastAsia" w:ascii="宋体" w:hAnsi="宋体" w:eastAsia="宋体" w:cs="宋体"/>
          <w:color w:val="auto"/>
          <w:kern w:val="0"/>
          <w:sz w:val="24"/>
          <w:szCs w:val="24"/>
          <w:highlight w:val="none"/>
        </w:rPr>
        <w:t>签订</w:t>
      </w:r>
      <w:r>
        <w:rPr>
          <w:rFonts w:ascii="宋体" w:hAnsi="宋体" w:eastAsia="宋体" w:cs="宋体"/>
          <w:color w:val="auto"/>
          <w:kern w:val="0"/>
          <w:sz w:val="24"/>
          <w:szCs w:val="24"/>
          <w:highlight w:val="none"/>
        </w:rPr>
        <w:t>合同</w:t>
      </w:r>
      <w:r>
        <w:rPr>
          <w:rFonts w:hint="eastAsia" w:ascii="宋体" w:hAnsi="宋体" w:eastAsia="宋体" w:cs="宋体"/>
          <w:color w:val="auto"/>
          <w:kern w:val="0"/>
          <w:sz w:val="24"/>
          <w:szCs w:val="24"/>
          <w:highlight w:val="none"/>
        </w:rPr>
        <w:t>，</w:t>
      </w:r>
      <w:r>
        <w:rPr>
          <w:rFonts w:hint="eastAsia" w:ascii="宋体" w:hAnsi="宋体"/>
          <w:color w:val="auto"/>
          <w:sz w:val="24"/>
          <w:szCs w:val="24"/>
          <w:highlight w:val="none"/>
        </w:rPr>
        <w:t>以此类推</w:t>
      </w:r>
      <w:r>
        <w:rPr>
          <w:rFonts w:hint="eastAsia" w:ascii="宋体" w:hAnsi="宋体" w:eastAsia="宋体" w:cs="宋体"/>
          <w:color w:val="auto"/>
          <w:kern w:val="0"/>
          <w:sz w:val="24"/>
          <w:szCs w:val="24"/>
          <w:highlight w:val="none"/>
        </w:rPr>
        <w:t>。</w:t>
      </w:r>
      <w:r>
        <w:rPr>
          <w:rFonts w:hint="eastAsia" w:ascii="宋体" w:hAnsi="宋体" w:eastAsia="宋体"/>
          <w:color w:val="auto"/>
          <w:sz w:val="24"/>
          <w:szCs w:val="24"/>
          <w:highlight w:val="none"/>
        </w:rPr>
        <w:t>除出现不予退还谈判保证金情形及成交供应商外的报价方谈判保证金</w:t>
      </w:r>
      <w:r>
        <w:rPr>
          <w:rFonts w:hint="eastAsia" w:ascii="宋体" w:hAnsi="宋体" w:eastAsia="宋体" w:cs="宋体"/>
          <w:color w:val="auto"/>
          <w:kern w:val="0"/>
          <w:sz w:val="24"/>
          <w:szCs w:val="24"/>
          <w:highlight w:val="none"/>
        </w:rPr>
        <w:t>，我司将在项目成交公告发布后</w:t>
      </w:r>
      <w:r>
        <w:rPr>
          <w:rFonts w:ascii="宋体" w:hAnsi="宋体" w:eastAsia="宋体" w:cs="宋体"/>
          <w:color w:val="auto"/>
          <w:kern w:val="0"/>
          <w:sz w:val="24"/>
          <w:szCs w:val="24"/>
          <w:highlight w:val="none"/>
        </w:rPr>
        <w:t>10</w:t>
      </w:r>
      <w:r>
        <w:rPr>
          <w:rFonts w:hint="eastAsia" w:ascii="宋体" w:hAnsi="宋体" w:eastAsia="宋体" w:cs="宋体"/>
          <w:color w:val="auto"/>
          <w:kern w:val="0"/>
          <w:sz w:val="24"/>
          <w:szCs w:val="24"/>
          <w:highlight w:val="none"/>
        </w:rPr>
        <w:t>个工作日内无息退还该保证金。</w:t>
      </w:r>
    </w:p>
    <w:p>
      <w:pPr>
        <w:widowControl/>
        <w:shd w:val="clear" w:color="auto" w:fill="FFFFFF"/>
        <w:spacing w:line="360"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3.3</w:t>
      </w:r>
      <w:r>
        <w:rPr>
          <w:rFonts w:hint="eastAsia" w:ascii="宋体" w:hAnsi="宋体" w:cs="宋体"/>
          <w:b/>
          <w:bCs w:val="0"/>
          <w:sz w:val="24"/>
          <w:szCs w:val="24"/>
          <w:lang w:val="en-US" w:eastAsia="zh-CN"/>
        </w:rPr>
        <w:t>特别说明：</w:t>
      </w:r>
      <w:r>
        <w:rPr>
          <w:rFonts w:hint="eastAsia" w:ascii="宋体" w:hAnsi="宋体"/>
          <w:b w:val="0"/>
          <w:bCs w:val="0"/>
          <w:sz w:val="24"/>
        </w:rPr>
        <w:t>不能在</w:t>
      </w:r>
      <w:r>
        <w:rPr>
          <w:rFonts w:hint="eastAsia" w:ascii="宋体" w:hAnsi="宋体"/>
          <w:b w:val="0"/>
          <w:bCs w:val="0"/>
          <w:sz w:val="24"/>
          <w:lang w:val="en-US" w:eastAsia="zh-CN"/>
        </w:rPr>
        <w:t>报价</w:t>
      </w:r>
      <w:r>
        <w:rPr>
          <w:rFonts w:hint="eastAsia" w:ascii="宋体" w:hAnsi="宋体"/>
          <w:b w:val="0"/>
          <w:bCs w:val="0"/>
          <w:sz w:val="24"/>
        </w:rPr>
        <w:t>现场缴交现金或以个人名义交纳保证金。</w:t>
      </w:r>
      <w:r>
        <w:rPr>
          <w:rFonts w:hint="eastAsia" w:ascii="宋体" w:hAnsi="宋体"/>
          <w:b w:val="0"/>
          <w:bCs w:val="0"/>
          <w:sz w:val="24"/>
          <w:lang w:val="en-US" w:eastAsia="zh-CN"/>
        </w:rPr>
        <w:t>报价方</w:t>
      </w:r>
      <w:r>
        <w:rPr>
          <w:rFonts w:hint="eastAsia" w:ascii="宋体" w:hAnsi="宋体"/>
          <w:b w:val="0"/>
          <w:bCs w:val="0"/>
          <w:sz w:val="24"/>
        </w:rPr>
        <w:t>应从其银行账户以公对公转账方式向投标保证金账户提交保证金</w:t>
      </w:r>
      <w:r>
        <w:rPr>
          <w:rFonts w:hint="eastAsia" w:ascii="宋体" w:hAnsi="宋体"/>
          <w:b w:val="0"/>
          <w:bCs w:val="0"/>
          <w:sz w:val="24"/>
          <w:lang w:eastAsia="zh-CN"/>
        </w:rPr>
        <w:t>，</w:t>
      </w:r>
      <w:r>
        <w:rPr>
          <w:rFonts w:hint="eastAsia" w:ascii="宋体" w:hAnsi="宋体"/>
          <w:sz w:val="24"/>
        </w:rPr>
        <w:t>以</w:t>
      </w:r>
      <w:r>
        <w:rPr>
          <w:rFonts w:hint="eastAsia" w:ascii="宋体" w:hAnsi="宋体"/>
          <w:sz w:val="24"/>
          <w:lang w:val="en-US" w:eastAsia="zh-CN"/>
        </w:rPr>
        <w:t>报价</w:t>
      </w:r>
      <w:r>
        <w:rPr>
          <w:rFonts w:hint="eastAsia" w:ascii="宋体" w:hAnsi="宋体"/>
          <w:sz w:val="24"/>
        </w:rPr>
        <w:t>截止时间前实际到账为准</w:t>
      </w:r>
      <w:r>
        <w:rPr>
          <w:rFonts w:hint="eastAsia" w:ascii="宋体" w:hAnsi="宋体"/>
          <w:b w:val="0"/>
          <w:bCs w:val="0"/>
          <w:sz w:val="24"/>
        </w:rPr>
        <w:t>。</w:t>
      </w:r>
    </w:p>
    <w:p>
      <w:pPr>
        <w:widowControl/>
        <w:shd w:val="clear" w:color="auto" w:fill="FFFFFF"/>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w:t>
      </w:r>
      <w:r>
        <w:rPr>
          <w:rFonts w:ascii="宋体" w:hAnsi="宋体" w:eastAsia="宋体" w:cs="宋体"/>
          <w:color w:val="auto"/>
          <w:kern w:val="0"/>
          <w:sz w:val="24"/>
          <w:szCs w:val="24"/>
          <w:highlight w:val="none"/>
        </w:rPr>
        <w:t>4</w:t>
      </w:r>
      <w:r>
        <w:rPr>
          <w:rFonts w:hint="eastAsia" w:ascii="宋体" w:hAnsi="宋体" w:eastAsia="宋体" w:cs="宋体"/>
          <w:color w:val="auto"/>
          <w:kern w:val="0"/>
          <w:sz w:val="24"/>
          <w:szCs w:val="24"/>
          <w:highlight w:val="none"/>
        </w:rPr>
        <w:t>请在银行</w:t>
      </w:r>
      <w:r>
        <w:rPr>
          <w:rFonts w:ascii="宋体" w:hAnsi="宋体" w:eastAsia="宋体" w:cs="宋体"/>
          <w:color w:val="auto"/>
          <w:kern w:val="0"/>
          <w:sz w:val="24"/>
          <w:szCs w:val="24"/>
          <w:highlight w:val="none"/>
        </w:rPr>
        <w:t>转</w:t>
      </w:r>
      <w:r>
        <w:rPr>
          <w:rFonts w:hint="eastAsia" w:ascii="宋体" w:hAnsi="宋体" w:eastAsia="宋体" w:cs="宋体"/>
          <w:color w:val="auto"/>
          <w:kern w:val="0"/>
          <w:sz w:val="24"/>
          <w:szCs w:val="24"/>
          <w:highlight w:val="none"/>
        </w:rPr>
        <w:t>账“用途”一栏中写明“</w:t>
      </w:r>
      <w:r>
        <w:rPr>
          <w:rFonts w:hint="eastAsia" w:ascii="宋体" w:hAnsi="宋体" w:eastAsia="宋体" w:cs="宋体"/>
          <w:b/>
          <w:color w:val="auto"/>
          <w:kern w:val="0"/>
          <w:sz w:val="24"/>
          <w:szCs w:val="24"/>
          <w:highlight w:val="none"/>
        </w:rPr>
        <w:t>同集事业部无</w:t>
      </w:r>
      <w:r>
        <w:rPr>
          <w:rFonts w:ascii="宋体" w:hAnsi="宋体" w:eastAsia="宋体" w:cs="宋体"/>
          <w:b/>
          <w:color w:val="auto"/>
          <w:kern w:val="0"/>
          <w:sz w:val="24"/>
          <w:szCs w:val="24"/>
          <w:highlight w:val="none"/>
        </w:rPr>
        <w:t>烟煤</w:t>
      </w:r>
      <w:r>
        <w:rPr>
          <w:rFonts w:hint="eastAsia" w:ascii="宋体" w:hAnsi="宋体" w:eastAsia="宋体" w:cs="宋体"/>
          <w:b/>
          <w:color w:val="auto"/>
          <w:kern w:val="0"/>
          <w:sz w:val="24"/>
          <w:szCs w:val="24"/>
          <w:highlight w:val="none"/>
        </w:rPr>
        <w:t>采购谈判保证金</w:t>
      </w:r>
      <w:r>
        <w:rPr>
          <w:rFonts w:hint="eastAsia" w:ascii="宋体" w:hAnsi="宋体" w:eastAsia="宋体" w:cs="宋体"/>
          <w:color w:val="auto"/>
          <w:kern w:val="0"/>
          <w:sz w:val="24"/>
          <w:szCs w:val="24"/>
          <w:highlight w:val="none"/>
        </w:rPr>
        <w:t>”字样。</w:t>
      </w:r>
    </w:p>
    <w:p>
      <w:pPr>
        <w:widowControl/>
        <w:spacing w:line="276" w:lineRule="auto"/>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3.5</w:t>
      </w:r>
      <w:r>
        <w:rPr>
          <w:rFonts w:hint="eastAsia" w:ascii="宋体" w:hAnsi="宋体" w:eastAsia="宋体" w:cs="宋体"/>
          <w:color w:val="auto"/>
          <w:kern w:val="0"/>
          <w:sz w:val="24"/>
          <w:szCs w:val="24"/>
          <w:highlight w:val="none"/>
        </w:rPr>
        <w:t>谈判保证金收款单位：厦门海发环保能源股份有限公司</w:t>
      </w:r>
    </w:p>
    <w:p>
      <w:pPr>
        <w:widowControl/>
        <w:shd w:val="clear" w:color="auto" w:fill="FFFFFF"/>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账号：40373001040009422   开户行：</w:t>
      </w:r>
      <w:r>
        <w:rPr>
          <w:rFonts w:hint="eastAsia" w:ascii="宋体" w:hAnsi="宋体" w:eastAsia="宋体" w:cs="宋体"/>
          <w:b/>
          <w:color w:val="auto"/>
          <w:kern w:val="0"/>
          <w:sz w:val="24"/>
          <w:szCs w:val="24"/>
          <w:highlight w:val="none"/>
        </w:rPr>
        <w:t>农业银行新阳支行</w:t>
      </w:r>
    </w:p>
    <w:p>
      <w:pPr>
        <w:widowControl/>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注意：谈判保证金均须存入或转入以上账号，其它收款单位均视为无效。</w:t>
      </w:r>
    </w:p>
    <w:p>
      <w:pPr>
        <w:widowControl/>
        <w:spacing w:line="276" w:lineRule="auto"/>
        <w:jc w:val="left"/>
        <w:rPr>
          <w:rFonts w:ascii="宋体" w:hAnsi="宋体" w:eastAsia="宋体"/>
          <w:b/>
          <w:bCs/>
          <w:color w:val="auto"/>
          <w:sz w:val="24"/>
          <w:szCs w:val="24"/>
          <w:highlight w:val="none"/>
        </w:rPr>
      </w:pPr>
      <w:r>
        <w:rPr>
          <w:rFonts w:ascii="宋体" w:hAnsi="宋体" w:eastAsia="宋体" w:cs="Times New Roman"/>
          <w:color w:val="auto"/>
          <w:sz w:val="24"/>
          <w:szCs w:val="24"/>
          <w:highlight w:val="none"/>
        </w:rPr>
        <w:t>3.6</w:t>
      </w:r>
      <w:r>
        <w:rPr>
          <w:rFonts w:hint="eastAsia" w:ascii="宋体" w:hAnsi="宋体" w:eastAsia="宋体" w:cs="Times New Roman"/>
          <w:color w:val="auto"/>
          <w:sz w:val="24"/>
          <w:szCs w:val="24"/>
          <w:highlight w:val="none"/>
        </w:rPr>
        <w:t>谈判保证金缴交截止时间：</w:t>
      </w:r>
      <w:r>
        <w:rPr>
          <w:rFonts w:hint="eastAsia" w:ascii="宋体" w:hAnsi="宋体" w:eastAsia="宋体"/>
          <w:b/>
          <w:bCs/>
          <w:color w:val="auto"/>
          <w:sz w:val="24"/>
          <w:szCs w:val="24"/>
          <w:highlight w:val="none"/>
        </w:rPr>
        <w:t>2024年</w:t>
      </w:r>
      <w:r>
        <w:rPr>
          <w:rFonts w:hint="eastAsia" w:ascii="宋体" w:hAnsi="宋体" w:eastAsia="宋体"/>
          <w:b/>
          <w:bCs/>
          <w:color w:val="auto"/>
          <w:sz w:val="24"/>
          <w:szCs w:val="24"/>
          <w:highlight w:val="none"/>
          <w:lang w:val="en-US" w:eastAsia="zh-CN"/>
        </w:rPr>
        <w:t>04</w:t>
      </w:r>
      <w:r>
        <w:rPr>
          <w:rFonts w:hint="eastAsia" w:ascii="宋体" w:hAnsi="宋体" w:eastAsia="宋体"/>
          <w:b/>
          <w:bCs/>
          <w:color w:val="auto"/>
          <w:sz w:val="24"/>
          <w:szCs w:val="24"/>
          <w:highlight w:val="none"/>
        </w:rPr>
        <w:t>月</w:t>
      </w:r>
      <w:r>
        <w:rPr>
          <w:rFonts w:hint="eastAsia" w:ascii="宋体" w:hAnsi="宋体" w:eastAsia="宋体"/>
          <w:b/>
          <w:bCs/>
          <w:color w:val="auto"/>
          <w:sz w:val="24"/>
          <w:szCs w:val="24"/>
          <w:highlight w:val="none"/>
          <w:lang w:val="en-US" w:eastAsia="zh-CN"/>
        </w:rPr>
        <w:t xml:space="preserve"> </w:t>
      </w:r>
      <w:r>
        <w:rPr>
          <w:rFonts w:hint="eastAsia" w:ascii="宋体" w:hAnsi="宋体" w:eastAsia="宋体"/>
          <w:b/>
          <w:bCs/>
          <w:color w:val="auto"/>
          <w:sz w:val="24"/>
          <w:szCs w:val="24"/>
          <w:highlight w:val="none"/>
        </w:rPr>
        <w:t>日10:</w:t>
      </w:r>
      <w:r>
        <w:rPr>
          <w:rFonts w:ascii="宋体" w:hAnsi="宋体" w:eastAsia="宋体"/>
          <w:b/>
          <w:bCs/>
          <w:color w:val="auto"/>
          <w:sz w:val="24"/>
          <w:szCs w:val="24"/>
          <w:highlight w:val="none"/>
        </w:rPr>
        <w:t>00</w:t>
      </w:r>
    </w:p>
    <w:p>
      <w:pPr>
        <w:widowControl/>
        <w:spacing w:line="276" w:lineRule="auto"/>
        <w:jc w:val="left"/>
        <w:rPr>
          <w:rFonts w:ascii="宋体" w:hAnsi="宋体" w:eastAsia="宋体"/>
          <w:bCs/>
          <w:color w:val="auto"/>
          <w:sz w:val="24"/>
          <w:szCs w:val="24"/>
          <w:highlight w:val="none"/>
        </w:rPr>
      </w:pPr>
      <w:r>
        <w:rPr>
          <w:rFonts w:hint="eastAsia" w:ascii="宋体" w:hAnsi="宋体" w:eastAsia="宋体"/>
          <w:bCs/>
          <w:color w:val="auto"/>
          <w:sz w:val="24"/>
          <w:szCs w:val="24"/>
          <w:highlight w:val="none"/>
        </w:rPr>
        <w:t>4投标报价文件要求</w:t>
      </w:r>
    </w:p>
    <w:p>
      <w:pPr>
        <w:widowControl/>
        <w:shd w:val="clear" w:color="auto" w:fill="FFFFFF"/>
        <w:spacing w:line="360" w:lineRule="auto"/>
        <w:jc w:val="left"/>
        <w:rPr>
          <w:rFonts w:ascii="宋体" w:hAnsi="宋体" w:eastAsia="宋体" w:cs="宋体"/>
          <w:color w:val="auto"/>
          <w:sz w:val="24"/>
          <w:szCs w:val="24"/>
          <w:highlight w:val="none"/>
        </w:rPr>
      </w:pPr>
      <w:r>
        <w:rPr>
          <w:rFonts w:hint="eastAsia" w:ascii="宋体" w:hAnsi="宋体" w:eastAsia="宋体" w:cs="宋体"/>
          <w:b/>
          <w:bCs/>
          <w:color w:val="auto"/>
          <w:kern w:val="0"/>
          <w:sz w:val="24"/>
          <w:szCs w:val="24"/>
          <w:highlight w:val="none"/>
        </w:rPr>
        <w:t>*</w:t>
      </w:r>
      <w:r>
        <w:rPr>
          <w:rFonts w:ascii="宋体" w:hAnsi="宋体" w:eastAsia="宋体" w:cs="宋体"/>
          <w:b/>
          <w:bCs/>
          <w:color w:val="auto"/>
          <w:kern w:val="0"/>
          <w:sz w:val="24"/>
          <w:szCs w:val="24"/>
          <w:highlight w:val="none"/>
        </w:rPr>
        <w:t>4.1</w:t>
      </w:r>
      <w:r>
        <w:rPr>
          <w:rFonts w:hint="eastAsia" w:ascii="宋体" w:hAnsi="宋体" w:cs="宋体"/>
          <w:b/>
          <w:bCs/>
          <w:sz w:val="24"/>
          <w:szCs w:val="24"/>
        </w:rPr>
        <w:t>报</w:t>
      </w:r>
      <w:r>
        <w:rPr>
          <w:rFonts w:hint="eastAsia" w:ascii="宋体" w:hAnsi="宋体" w:cs="宋体"/>
          <w:b/>
          <w:bCs w:val="0"/>
          <w:sz w:val="24"/>
          <w:szCs w:val="24"/>
        </w:rPr>
        <w:t>价文件需</w:t>
      </w:r>
      <w:r>
        <w:rPr>
          <w:rFonts w:hint="eastAsia" w:ascii="宋体" w:hAnsi="宋体" w:cs="宋体"/>
          <w:b/>
          <w:bCs w:val="0"/>
          <w:sz w:val="24"/>
          <w:szCs w:val="24"/>
          <w:lang w:val="en-US" w:eastAsia="zh-CN"/>
        </w:rPr>
        <w:t>逐页加</w:t>
      </w:r>
      <w:r>
        <w:rPr>
          <w:rFonts w:hint="eastAsia" w:ascii="宋体" w:hAnsi="宋体" w:cs="宋体"/>
          <w:b/>
          <w:bCs w:val="0"/>
          <w:sz w:val="24"/>
          <w:szCs w:val="24"/>
        </w:rPr>
        <w:t>盖单位公章，所有报价文件装入密封袋，</w:t>
      </w:r>
      <w:r>
        <w:rPr>
          <w:rFonts w:hint="eastAsia" w:ascii="宋体" w:hAnsi="宋体" w:eastAsia="宋体" w:cs="宋体"/>
          <w:b/>
          <w:bCs w:val="0"/>
          <w:color w:val="auto"/>
          <w:sz w:val="24"/>
          <w:szCs w:val="24"/>
          <w:highlight w:val="none"/>
        </w:rPr>
        <w:t>在</w:t>
      </w:r>
      <w:r>
        <w:rPr>
          <w:rFonts w:hint="eastAsia" w:ascii="宋体" w:hAnsi="宋体"/>
          <w:b/>
          <w:bCs w:val="0"/>
          <w:sz w:val="24"/>
        </w:rPr>
        <w:t>每一密封处注明“于</w:t>
      </w:r>
      <w:r>
        <w:rPr>
          <w:rFonts w:hint="eastAsia" w:ascii="宋体" w:hAnsi="宋体"/>
          <w:b/>
          <w:bCs w:val="0"/>
          <w:sz w:val="24"/>
          <w:lang w:val="en-US" w:eastAsia="zh-CN"/>
        </w:rPr>
        <w:t xml:space="preserve">  </w:t>
      </w:r>
      <w:r>
        <w:rPr>
          <w:rFonts w:hint="eastAsia" w:ascii="宋体" w:hAnsi="宋体"/>
          <w:b/>
          <w:bCs w:val="0"/>
          <w:sz w:val="24"/>
          <w:u w:val="single"/>
        </w:rPr>
        <w:t xml:space="preserve">     </w:t>
      </w:r>
      <w:r>
        <w:rPr>
          <w:rFonts w:hint="eastAsia" w:ascii="宋体" w:hAnsi="宋体"/>
          <w:b/>
          <w:bCs w:val="0"/>
          <w:sz w:val="24"/>
        </w:rPr>
        <w:t>之前（指谈判邀请中规定的谈判截止日期及时间）不准启封”的字样，并加盖</w:t>
      </w:r>
      <w:r>
        <w:rPr>
          <w:rFonts w:hint="eastAsia" w:ascii="宋体" w:hAnsi="宋体"/>
          <w:b/>
          <w:bCs w:val="0"/>
          <w:sz w:val="24"/>
          <w:lang w:val="en-US" w:eastAsia="zh-CN"/>
        </w:rPr>
        <w:t>报价单位</w:t>
      </w:r>
      <w:r>
        <w:rPr>
          <w:rFonts w:hint="eastAsia" w:ascii="宋体" w:hAnsi="宋体"/>
          <w:b/>
          <w:bCs w:val="0"/>
          <w:sz w:val="24"/>
        </w:rPr>
        <w:t>公章</w:t>
      </w:r>
      <w:r>
        <w:rPr>
          <w:rFonts w:hint="eastAsia" w:ascii="宋体" w:hAnsi="宋体"/>
          <w:b/>
          <w:bCs w:val="0"/>
          <w:sz w:val="24"/>
          <w:lang w:eastAsia="zh-CN"/>
        </w:rPr>
        <w:t>；</w:t>
      </w:r>
      <w:r>
        <w:rPr>
          <w:rFonts w:hint="eastAsia" w:ascii="宋体" w:hAnsi="宋体" w:cs="宋体"/>
          <w:b/>
          <w:bCs w:val="0"/>
          <w:sz w:val="24"/>
          <w:szCs w:val="24"/>
        </w:rPr>
        <w:t>并在密封袋</w:t>
      </w:r>
      <w:r>
        <w:rPr>
          <w:rFonts w:hint="eastAsia" w:ascii="宋体" w:hAnsi="宋体" w:cs="宋体"/>
          <w:b/>
          <w:bCs w:val="0"/>
          <w:sz w:val="24"/>
          <w:szCs w:val="24"/>
          <w:lang w:val="en-US" w:eastAsia="zh-CN"/>
        </w:rPr>
        <w:t>封面</w:t>
      </w:r>
      <w:r>
        <w:rPr>
          <w:rFonts w:hint="eastAsia" w:ascii="宋体" w:hAnsi="宋体" w:cs="宋体"/>
          <w:b/>
          <w:bCs w:val="0"/>
          <w:sz w:val="24"/>
          <w:szCs w:val="24"/>
        </w:rPr>
        <w:t>上正确标明报价项目名称、单位名称、联系人及联系电话，同时加盖公章，否则视为无效标。</w:t>
      </w:r>
    </w:p>
    <w:p>
      <w:pPr>
        <w:widowControl/>
        <w:spacing w:line="276" w:lineRule="auto"/>
        <w:jc w:val="left"/>
        <w:rPr>
          <w:rFonts w:ascii="宋体" w:hAnsi="宋体" w:eastAsia="宋体" w:cs="Times New Roman"/>
          <w:color w:val="auto"/>
          <w:sz w:val="24"/>
          <w:szCs w:val="24"/>
          <w:highlight w:val="none"/>
        </w:rPr>
      </w:pPr>
      <w:r>
        <w:rPr>
          <w:rFonts w:ascii="宋体" w:hAnsi="宋体" w:eastAsia="宋体"/>
          <w:color w:val="auto"/>
          <w:sz w:val="24"/>
          <w:szCs w:val="24"/>
          <w:highlight w:val="none"/>
        </w:rPr>
        <w:t>4.2</w:t>
      </w:r>
      <w:r>
        <w:rPr>
          <w:rFonts w:hint="eastAsia" w:ascii="宋体" w:hAnsi="宋体" w:eastAsia="宋体"/>
          <w:bCs/>
          <w:color w:val="auto"/>
          <w:sz w:val="24"/>
          <w:szCs w:val="24"/>
          <w:highlight w:val="none"/>
        </w:rPr>
        <w:t>报价文件以寄件形式送达，</w:t>
      </w:r>
      <w:r>
        <w:rPr>
          <w:rFonts w:ascii="宋体" w:hAnsi="宋体" w:eastAsia="宋体"/>
          <w:bCs/>
          <w:color w:val="auto"/>
          <w:sz w:val="24"/>
          <w:szCs w:val="24"/>
          <w:highlight w:val="none"/>
        </w:rPr>
        <w:t>邮寄地址：</w:t>
      </w:r>
      <w:r>
        <w:rPr>
          <w:rFonts w:hint="eastAsia" w:ascii="宋体" w:hAnsi="宋体" w:eastAsia="宋体"/>
          <w:bCs/>
          <w:color w:val="auto"/>
          <w:sz w:val="24"/>
          <w:szCs w:val="24"/>
          <w:highlight w:val="none"/>
        </w:rPr>
        <w:t>厦门</w:t>
      </w:r>
      <w:r>
        <w:rPr>
          <w:rFonts w:ascii="宋体" w:hAnsi="宋体" w:eastAsia="宋体"/>
          <w:bCs/>
          <w:color w:val="auto"/>
          <w:sz w:val="24"/>
          <w:szCs w:val="24"/>
          <w:highlight w:val="none"/>
        </w:rPr>
        <w:t>市</w:t>
      </w:r>
      <w:r>
        <w:rPr>
          <w:rFonts w:hint="eastAsia" w:ascii="宋体" w:hAnsi="宋体" w:eastAsia="宋体" w:cs="Times New Roman"/>
          <w:color w:val="auto"/>
          <w:sz w:val="24"/>
          <w:szCs w:val="24"/>
          <w:highlight w:val="none"/>
        </w:rPr>
        <w:t xml:space="preserve">海沧区阳光西路288号 </w:t>
      </w:r>
    </w:p>
    <w:p>
      <w:pPr>
        <w:widowControl/>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4.3在截止时间以后送达的报价文件，采购方有权拒绝接收。</w:t>
      </w:r>
    </w:p>
    <w:p>
      <w:pPr>
        <w:widowControl/>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w:t>
      </w:r>
      <w:r>
        <w:rPr>
          <w:rFonts w:ascii="宋体" w:hAnsi="宋体" w:eastAsia="宋体" w:cs="宋体"/>
          <w:color w:val="auto"/>
          <w:kern w:val="0"/>
          <w:sz w:val="24"/>
          <w:szCs w:val="24"/>
          <w:highlight w:val="none"/>
        </w:rPr>
        <w:t>4</w:t>
      </w:r>
      <w:r>
        <w:rPr>
          <w:rFonts w:hint="eastAsia" w:ascii="宋体" w:hAnsi="宋体" w:eastAsia="宋体" w:cs="宋体"/>
          <w:color w:val="auto"/>
          <w:kern w:val="0"/>
          <w:sz w:val="24"/>
          <w:szCs w:val="24"/>
          <w:highlight w:val="none"/>
        </w:rPr>
        <w:t>邀请报价方现场参与</w:t>
      </w:r>
      <w:r>
        <w:rPr>
          <w:rFonts w:hint="eastAsia" w:ascii="宋体" w:hAnsi="宋体" w:eastAsia="宋体" w:cs="宋体"/>
          <w:color w:val="auto"/>
          <w:kern w:val="0"/>
          <w:sz w:val="24"/>
          <w:szCs w:val="24"/>
          <w:highlight w:val="none"/>
          <w:lang w:val="en-US" w:eastAsia="zh-CN"/>
        </w:rPr>
        <w:t>谈判</w:t>
      </w:r>
      <w:r>
        <w:rPr>
          <w:rFonts w:hint="eastAsia" w:ascii="宋体" w:hAnsi="宋体" w:eastAsia="宋体" w:cs="宋体"/>
          <w:color w:val="auto"/>
          <w:kern w:val="0"/>
          <w:sz w:val="24"/>
          <w:szCs w:val="24"/>
          <w:highlight w:val="none"/>
        </w:rPr>
        <w:t>。</w:t>
      </w:r>
    </w:p>
    <w:p>
      <w:pPr>
        <w:widowControl/>
        <w:spacing w:line="480"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4.5</w:t>
      </w:r>
      <w:r>
        <w:rPr>
          <w:rFonts w:hint="eastAsia" w:ascii="宋体" w:hAnsi="宋体" w:eastAsia="宋体" w:cs="宋体"/>
          <w:b/>
          <w:bCs/>
          <w:color w:val="auto"/>
          <w:kern w:val="0"/>
          <w:sz w:val="24"/>
          <w:szCs w:val="24"/>
          <w:highlight w:val="none"/>
        </w:rPr>
        <w:t>密封提供报价文件（有加盖公章的）扫描件，可以光盘或U盘提供。</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5</w:t>
      </w:r>
      <w:r>
        <w:rPr>
          <w:rFonts w:hint="eastAsia" w:ascii="宋体" w:hAnsi="宋体" w:eastAsia="宋体" w:cs="宋体"/>
          <w:color w:val="auto"/>
          <w:kern w:val="0"/>
          <w:sz w:val="24"/>
          <w:szCs w:val="24"/>
          <w:highlight w:val="none"/>
        </w:rPr>
        <w:t>投标</w:t>
      </w:r>
      <w:r>
        <w:rPr>
          <w:rFonts w:ascii="宋体" w:hAnsi="宋体" w:eastAsia="宋体" w:cs="宋体"/>
          <w:color w:val="auto"/>
          <w:kern w:val="0"/>
          <w:sz w:val="24"/>
          <w:szCs w:val="24"/>
          <w:highlight w:val="none"/>
        </w:rPr>
        <w:t>截止时间</w:t>
      </w:r>
      <w:r>
        <w:rPr>
          <w:color w:val="auto"/>
          <w:highlight w:val="none"/>
        </w:rPr>
        <w:fldChar w:fldCharType="begin"/>
      </w:r>
      <w:r>
        <w:rPr>
          <w:color w:val="auto"/>
          <w:highlight w:val="none"/>
        </w:rPr>
        <w:instrText xml:space="preserve"> HYPERLINK "http://www.51paper.net" \t "_blank" \o "论文资料网" </w:instrText>
      </w:r>
      <w:r>
        <w:rPr>
          <w:color w:val="auto"/>
          <w:highlight w:val="none"/>
        </w:rPr>
        <w:fldChar w:fldCharType="separate"/>
      </w:r>
      <w:r>
        <w:rPr>
          <w:rFonts w:ascii="宋体" w:hAnsi="宋体" w:eastAsia="宋体" w:cs="宋体"/>
          <w:color w:val="auto"/>
          <w:kern w:val="0"/>
          <w:sz w:val="24"/>
          <w:szCs w:val="24"/>
          <w:highlight w:val="none"/>
        </w:rPr>
        <w:t>：</w:t>
      </w:r>
      <w:r>
        <w:rPr>
          <w:rFonts w:ascii="宋体" w:hAnsi="宋体" w:eastAsia="宋体" w:cs="宋体"/>
          <w:color w:val="auto"/>
          <w:kern w:val="0"/>
          <w:sz w:val="24"/>
          <w:szCs w:val="24"/>
          <w:highlight w:val="none"/>
        </w:rPr>
        <w:fldChar w:fldCharType="end"/>
      </w:r>
      <w:r>
        <w:rPr>
          <w:rFonts w:hint="eastAsia" w:ascii="宋体" w:hAnsi="宋体" w:eastAsia="宋体"/>
          <w:b/>
          <w:bCs/>
          <w:color w:val="auto"/>
          <w:sz w:val="24"/>
          <w:szCs w:val="24"/>
          <w:highlight w:val="none"/>
        </w:rPr>
        <w:t>2024年</w:t>
      </w:r>
      <w:r>
        <w:rPr>
          <w:rFonts w:hint="eastAsia" w:ascii="宋体" w:hAnsi="宋体" w:eastAsia="宋体"/>
          <w:b/>
          <w:bCs/>
          <w:color w:val="auto"/>
          <w:sz w:val="24"/>
          <w:szCs w:val="24"/>
          <w:highlight w:val="none"/>
          <w:lang w:val="en-US" w:eastAsia="zh-CN"/>
        </w:rPr>
        <w:t>04</w:t>
      </w:r>
      <w:r>
        <w:rPr>
          <w:rFonts w:hint="eastAsia" w:ascii="宋体" w:hAnsi="宋体" w:eastAsia="宋体"/>
          <w:b/>
          <w:bCs/>
          <w:color w:val="auto"/>
          <w:sz w:val="24"/>
          <w:szCs w:val="24"/>
          <w:highlight w:val="none"/>
        </w:rPr>
        <w:t>月</w:t>
      </w:r>
      <w:r>
        <w:rPr>
          <w:rFonts w:hint="eastAsia" w:ascii="宋体" w:hAnsi="宋体" w:eastAsia="宋体"/>
          <w:b/>
          <w:bCs/>
          <w:color w:val="auto"/>
          <w:sz w:val="24"/>
          <w:szCs w:val="24"/>
          <w:highlight w:val="none"/>
          <w:lang w:val="en-US" w:eastAsia="zh-CN"/>
        </w:rPr>
        <w:t xml:space="preserve"> </w:t>
      </w:r>
      <w:r>
        <w:rPr>
          <w:rFonts w:hint="eastAsia" w:ascii="宋体" w:hAnsi="宋体" w:eastAsia="宋体"/>
          <w:b/>
          <w:bCs/>
          <w:color w:val="auto"/>
          <w:sz w:val="24"/>
          <w:szCs w:val="24"/>
          <w:highlight w:val="none"/>
        </w:rPr>
        <w:t>日10:</w:t>
      </w:r>
      <w:r>
        <w:rPr>
          <w:rFonts w:ascii="宋体" w:hAnsi="宋体" w:eastAsia="宋体"/>
          <w:b/>
          <w:bCs/>
          <w:color w:val="auto"/>
          <w:sz w:val="24"/>
          <w:szCs w:val="24"/>
          <w:highlight w:val="none"/>
        </w:rPr>
        <w:t>00</w:t>
      </w:r>
      <w:r>
        <w:rPr>
          <w:rFonts w:hint="eastAsia" w:ascii="宋体" w:hAnsi="宋体" w:eastAsia="宋体" w:cs="宋体"/>
          <w:color w:val="auto"/>
          <w:kern w:val="0"/>
          <w:sz w:val="24"/>
          <w:szCs w:val="24"/>
          <w:highlight w:val="none"/>
        </w:rPr>
        <w:t>。</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6</w:t>
      </w:r>
      <w:r>
        <w:rPr>
          <w:rFonts w:hint="eastAsia" w:ascii="宋体" w:hAnsi="宋体" w:eastAsia="宋体" w:cs="宋体"/>
          <w:color w:val="auto"/>
          <w:kern w:val="0"/>
          <w:sz w:val="24"/>
          <w:szCs w:val="24"/>
          <w:highlight w:val="none"/>
        </w:rPr>
        <w:t>谈判</w:t>
      </w:r>
      <w:r>
        <w:rPr>
          <w:rFonts w:ascii="宋体" w:hAnsi="宋体" w:eastAsia="宋体" w:cs="宋体"/>
          <w:color w:val="auto"/>
          <w:kern w:val="0"/>
          <w:sz w:val="24"/>
          <w:szCs w:val="24"/>
          <w:highlight w:val="none"/>
        </w:rPr>
        <w:t>时间</w:t>
      </w:r>
      <w:r>
        <w:rPr>
          <w:rFonts w:hint="eastAsia" w:ascii="宋体" w:hAnsi="宋体" w:eastAsia="宋体" w:cs="宋体"/>
          <w:color w:val="auto"/>
          <w:kern w:val="0"/>
          <w:sz w:val="24"/>
          <w:szCs w:val="24"/>
          <w:highlight w:val="none"/>
        </w:rPr>
        <w:t>及地点</w:t>
      </w:r>
      <w:r>
        <w:rPr>
          <w:color w:val="auto"/>
          <w:highlight w:val="none"/>
        </w:rPr>
        <w:fldChar w:fldCharType="begin"/>
      </w:r>
      <w:r>
        <w:rPr>
          <w:color w:val="auto"/>
          <w:highlight w:val="none"/>
        </w:rPr>
        <w:instrText xml:space="preserve"> HYPERLINK "http://www.51paper.net" \t "_blank" \o "论文资料网" </w:instrText>
      </w:r>
      <w:r>
        <w:rPr>
          <w:color w:val="auto"/>
          <w:highlight w:val="none"/>
        </w:rPr>
        <w:fldChar w:fldCharType="separate"/>
      </w:r>
      <w:r>
        <w:rPr>
          <w:rFonts w:ascii="宋体" w:hAnsi="宋体" w:eastAsia="宋体" w:cs="宋体"/>
          <w:color w:val="auto"/>
          <w:kern w:val="0"/>
          <w:sz w:val="24"/>
          <w:szCs w:val="24"/>
          <w:highlight w:val="none"/>
        </w:rPr>
        <w:t>：</w:t>
      </w:r>
      <w:r>
        <w:rPr>
          <w:rFonts w:ascii="宋体" w:hAnsi="宋体" w:eastAsia="宋体" w:cs="宋体"/>
          <w:color w:val="auto"/>
          <w:kern w:val="0"/>
          <w:sz w:val="24"/>
          <w:szCs w:val="24"/>
          <w:highlight w:val="none"/>
        </w:rPr>
        <w:fldChar w:fldCharType="end"/>
      </w:r>
    </w:p>
    <w:p>
      <w:pPr>
        <w:pStyle w:val="2"/>
        <w:keepNext w:val="0"/>
        <w:keepLines w:val="0"/>
        <w:tabs>
          <w:tab w:val="left" w:pos="0"/>
        </w:tabs>
        <w:kinsoku w:val="0"/>
        <w:overflowPunct w:val="0"/>
        <w:autoSpaceDE w:val="0"/>
        <w:autoSpaceDN w:val="0"/>
        <w:adjustRightInd/>
        <w:spacing w:before="0" w:after="0" w:line="360" w:lineRule="auto"/>
        <w:jc w:val="both"/>
        <w:textAlignment w:val="auto"/>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6.1 采购</w:t>
      </w:r>
      <w:r>
        <w:rPr>
          <w:rFonts w:hint="eastAsia" w:ascii="宋体" w:hAnsi="宋体" w:eastAsia="宋体" w:cs="宋体"/>
          <w:b w:val="0"/>
          <w:bCs/>
          <w:sz w:val="24"/>
          <w:szCs w:val="24"/>
        </w:rPr>
        <w:t>方将于202</w:t>
      </w:r>
      <w:r>
        <w:rPr>
          <w:rFonts w:hint="eastAsia" w:ascii="宋体" w:hAnsi="宋体" w:eastAsia="宋体" w:cs="宋体"/>
          <w:b w:val="0"/>
          <w:bCs/>
          <w:sz w:val="24"/>
          <w:szCs w:val="24"/>
          <w:lang w:val="en-US" w:eastAsia="zh-CN"/>
        </w:rPr>
        <w:t>4</w:t>
      </w:r>
      <w:r>
        <w:rPr>
          <w:rFonts w:hint="eastAsia" w:ascii="宋体" w:hAnsi="宋体" w:eastAsia="宋体" w:cs="宋体"/>
          <w:b w:val="0"/>
          <w:bCs/>
          <w:sz w:val="24"/>
          <w:szCs w:val="24"/>
        </w:rPr>
        <w:t>年</w:t>
      </w:r>
      <w:r>
        <w:rPr>
          <w:rFonts w:hint="eastAsia" w:ascii="宋体" w:hAnsi="宋体" w:eastAsia="宋体" w:cs="宋体"/>
          <w:b w:val="0"/>
          <w:bCs/>
          <w:sz w:val="24"/>
          <w:szCs w:val="24"/>
          <w:highlight w:val="yellow"/>
          <w:lang w:val="en-US" w:eastAsia="zh-CN"/>
        </w:rPr>
        <w:t>04</w:t>
      </w:r>
      <w:r>
        <w:rPr>
          <w:rFonts w:hint="eastAsia" w:ascii="宋体" w:hAnsi="宋体" w:eastAsia="宋体" w:cs="宋体"/>
          <w:b w:val="0"/>
          <w:bCs/>
          <w:sz w:val="24"/>
          <w:szCs w:val="24"/>
          <w:highlight w:val="yellow"/>
        </w:rPr>
        <w:t>月</w:t>
      </w:r>
      <w:r>
        <w:rPr>
          <w:rFonts w:hint="eastAsia" w:ascii="宋体" w:hAnsi="宋体" w:eastAsia="宋体" w:cs="宋体"/>
          <w:b w:val="0"/>
          <w:bCs/>
          <w:sz w:val="24"/>
          <w:szCs w:val="24"/>
          <w:highlight w:val="yellow"/>
          <w:lang w:val="en-US" w:eastAsia="zh-CN"/>
        </w:rPr>
        <w:t xml:space="preserve"> </w:t>
      </w:r>
      <w:r>
        <w:rPr>
          <w:rFonts w:hint="eastAsia" w:ascii="宋体" w:hAnsi="宋体" w:eastAsia="宋体" w:cs="宋体"/>
          <w:b w:val="0"/>
          <w:bCs/>
          <w:sz w:val="24"/>
          <w:szCs w:val="24"/>
        </w:rPr>
        <w:t>日</w:t>
      </w:r>
      <w:r>
        <w:rPr>
          <w:rFonts w:hint="eastAsia" w:ascii="宋体" w:hAnsi="宋体" w:eastAsia="宋体" w:cs="宋体"/>
          <w:b w:val="0"/>
          <w:bCs/>
          <w:sz w:val="24"/>
          <w:szCs w:val="24"/>
          <w:lang w:eastAsia="zh-CN"/>
        </w:rPr>
        <w:t>上</w:t>
      </w:r>
      <w:r>
        <w:rPr>
          <w:rFonts w:hint="eastAsia" w:ascii="宋体" w:hAnsi="宋体" w:eastAsia="宋体" w:cs="宋体"/>
          <w:b w:val="0"/>
          <w:bCs/>
          <w:sz w:val="24"/>
          <w:szCs w:val="24"/>
        </w:rPr>
        <w:t>午1</w:t>
      </w:r>
      <w:r>
        <w:rPr>
          <w:rFonts w:hint="eastAsia" w:ascii="宋体" w:hAnsi="宋体" w:eastAsia="宋体" w:cs="宋体"/>
          <w:b w:val="0"/>
          <w:bCs/>
          <w:sz w:val="24"/>
          <w:szCs w:val="24"/>
          <w:lang w:val="en-US" w:eastAsia="zh-CN"/>
        </w:rPr>
        <w:t>0</w:t>
      </w:r>
      <w:r>
        <w:rPr>
          <w:rFonts w:hint="eastAsia" w:ascii="宋体" w:hAnsi="宋体" w:eastAsia="宋体" w:cs="宋体"/>
          <w:b w:val="0"/>
          <w:bCs/>
          <w:sz w:val="24"/>
          <w:szCs w:val="24"/>
        </w:rPr>
        <w:t>:00（北京时间），</w:t>
      </w:r>
      <w:r>
        <w:rPr>
          <w:rFonts w:hint="eastAsia" w:ascii="宋体" w:hAnsi="宋体" w:eastAsia="宋体" w:cs="宋体"/>
          <w:b w:val="0"/>
          <w:bCs/>
          <w:sz w:val="24"/>
          <w:szCs w:val="24"/>
          <w:lang w:val="en-US" w:eastAsia="zh-CN"/>
        </w:rPr>
        <w:t>在</w:t>
      </w:r>
      <w:r>
        <w:rPr>
          <w:rFonts w:hint="eastAsia" w:ascii="宋体" w:hAnsi="宋体" w:eastAsia="宋体" w:cs="宋体"/>
          <w:b w:val="0"/>
          <w:bCs/>
          <w:sz w:val="24"/>
          <w:szCs w:val="24"/>
        </w:rPr>
        <w:t>厦门海发环保能源股份有限公司2楼开标室（海沧区阳光西路288号）</w:t>
      </w:r>
    </w:p>
    <w:p>
      <w:pPr>
        <w:tabs>
          <w:tab w:val="left" w:pos="0"/>
        </w:tabs>
        <w:autoSpaceDE/>
        <w:autoSpaceDN/>
        <w:snapToGrid w:val="0"/>
        <w:spacing w:line="360" w:lineRule="auto"/>
        <w:ind w:right="105" w:rightChars="50"/>
        <w:jc w:val="left"/>
        <w:textAlignment w:val="auto"/>
        <w:rPr>
          <w:rFonts w:hint="eastAsia" w:ascii="宋体" w:hAnsi="宋体" w:eastAsia="宋体" w:cs="宋体"/>
          <w:bCs/>
          <w:sz w:val="24"/>
          <w:szCs w:val="24"/>
          <w:lang w:eastAsia="zh-CN"/>
        </w:rPr>
      </w:pPr>
      <w:r>
        <w:rPr>
          <w:rFonts w:hint="eastAsia" w:ascii="宋体" w:hAnsi="宋体" w:cs="宋体"/>
          <w:bCs/>
          <w:sz w:val="24"/>
          <w:szCs w:val="24"/>
          <w:lang w:val="en-US" w:eastAsia="zh-CN"/>
        </w:rPr>
        <w:t>6</w:t>
      </w:r>
      <w:r>
        <w:rPr>
          <w:rFonts w:hint="eastAsia" w:ascii="宋体" w:hAnsi="宋体" w:cs="宋体"/>
          <w:bCs/>
          <w:sz w:val="24"/>
          <w:szCs w:val="24"/>
        </w:rPr>
        <w:t>.2 谈判时报价方需参加谈判会议，报价方代表应签名以证明其出席谈判会议，谈判代表须出具身份证原件。报价方因故不能派代表出席谈判会议，</w:t>
      </w:r>
      <w:r>
        <w:rPr>
          <w:rFonts w:hint="eastAsia" w:ascii="宋体" w:hAnsi="宋体"/>
          <w:bCs/>
          <w:sz w:val="24"/>
          <w:szCs w:val="24"/>
        </w:rPr>
        <w:t>应在响应报价文件中出具谈判承诺书</w:t>
      </w:r>
      <w:r>
        <w:rPr>
          <w:rFonts w:hint="eastAsia" w:ascii="宋体" w:hAnsi="宋体"/>
          <w:bCs/>
          <w:sz w:val="24"/>
          <w:szCs w:val="24"/>
          <w:lang w:val="en-US" w:eastAsia="zh-CN"/>
        </w:rPr>
        <w:t xml:space="preserve"> </w:t>
      </w:r>
      <w:r>
        <w:rPr>
          <w:rFonts w:hint="eastAsia" w:ascii="宋体" w:hAnsi="宋体"/>
          <w:bCs/>
          <w:sz w:val="24"/>
          <w:szCs w:val="24"/>
          <w:lang w:eastAsia="zh-CN"/>
        </w:rPr>
        <w:t>。</w:t>
      </w:r>
    </w:p>
    <w:p>
      <w:pPr>
        <w:widowControl/>
        <w:spacing w:line="276" w:lineRule="auto"/>
        <w:jc w:val="left"/>
        <w:rPr>
          <w:rFonts w:ascii="宋体" w:hAnsi="宋体" w:eastAsia="宋体" w:cs="宋体"/>
          <w:color w:val="auto"/>
          <w:kern w:val="0"/>
          <w:sz w:val="24"/>
          <w:szCs w:val="24"/>
          <w:highlight w:val="none"/>
        </w:rPr>
      </w:pPr>
      <w:r>
        <w:rPr>
          <w:rFonts w:hint="eastAsia" w:ascii="宋体" w:hAnsi="宋体" w:eastAsia="宋体" w:cs="宋体"/>
          <w:b/>
          <w:bCs/>
          <w:color w:val="auto"/>
          <w:kern w:val="0"/>
          <w:sz w:val="24"/>
          <w:szCs w:val="24"/>
          <w:highlight w:val="none"/>
        </w:rPr>
        <w:t>7</w:t>
      </w:r>
      <w:r>
        <w:rPr>
          <w:rFonts w:ascii="宋体" w:hAnsi="宋体" w:eastAsia="宋体" w:cs="宋体"/>
          <w:b/>
          <w:bCs/>
          <w:color w:val="auto"/>
          <w:kern w:val="0"/>
          <w:sz w:val="24"/>
          <w:szCs w:val="24"/>
          <w:highlight w:val="none"/>
        </w:rPr>
        <w:t xml:space="preserve"> </w:t>
      </w:r>
      <w:r>
        <w:rPr>
          <w:rFonts w:hint="eastAsia" w:ascii="宋体" w:hAnsi="宋体" w:eastAsia="宋体" w:cs="宋体"/>
          <w:b/>
          <w:bCs/>
          <w:color w:val="auto"/>
          <w:kern w:val="0"/>
          <w:sz w:val="24"/>
          <w:szCs w:val="24"/>
          <w:highlight w:val="none"/>
          <w:lang w:val="en-US" w:eastAsia="zh-CN"/>
        </w:rPr>
        <w:t>项目限价</w:t>
      </w:r>
      <w:r>
        <w:rPr>
          <w:rFonts w:hint="eastAsia" w:ascii="宋体" w:hAnsi="宋体" w:eastAsia="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rPr>
        <w:t>本次采购设定限高价为1000.00元/吨</w:t>
      </w:r>
      <w:r>
        <w:rPr>
          <w:rFonts w:hint="eastAsia" w:ascii="宋体" w:hAnsi="宋体" w:eastAsia="宋体" w:cs="宋体"/>
          <w:color w:val="auto"/>
          <w:kern w:val="0"/>
          <w:sz w:val="24"/>
          <w:szCs w:val="24"/>
          <w:highlight w:val="none"/>
          <w:lang w:val="en-US" w:eastAsia="zh-CN"/>
        </w:rPr>
        <w:t>(含税）</w:t>
      </w:r>
      <w:r>
        <w:rPr>
          <w:rFonts w:hint="eastAsia" w:ascii="宋体" w:hAnsi="宋体" w:eastAsia="宋体" w:cs="宋体"/>
          <w:color w:val="auto"/>
          <w:kern w:val="0"/>
          <w:sz w:val="24"/>
          <w:szCs w:val="24"/>
          <w:highlight w:val="none"/>
        </w:rPr>
        <w:t>，报价高于此价格则视为无效报价。</w:t>
      </w:r>
    </w:p>
    <w:p>
      <w:pPr>
        <w:widowControl/>
        <w:snapToGrid w:val="0"/>
        <w:spacing w:line="360" w:lineRule="auto"/>
        <w:ind w:right="105" w:rightChars="50"/>
        <w:jc w:val="left"/>
        <w:rPr>
          <w:rFonts w:ascii="宋体" w:hAnsi="宋体" w:eastAsia="宋体"/>
          <w:color w:val="auto"/>
          <w:kern w:val="0"/>
          <w:sz w:val="24"/>
          <w:szCs w:val="24"/>
          <w:highlight w:val="none"/>
        </w:rPr>
      </w:pPr>
      <w:r>
        <w:rPr>
          <w:rFonts w:hint="eastAsia" w:ascii="宋体" w:hAnsi="宋体" w:eastAsia="宋体" w:cs="宋体"/>
          <w:color w:val="auto"/>
          <w:kern w:val="0"/>
          <w:sz w:val="24"/>
          <w:szCs w:val="24"/>
          <w:highlight w:val="none"/>
        </w:rPr>
        <w:t>8 成交原则：本次采用经评审合格且最低价成交法。以</w:t>
      </w:r>
      <w:r>
        <w:rPr>
          <w:rFonts w:hint="eastAsia" w:ascii="宋体" w:hAnsi="宋体" w:eastAsia="宋体" w:cs="宋体"/>
          <w:color w:val="auto"/>
          <w:kern w:val="0"/>
          <w:sz w:val="24"/>
          <w:szCs w:val="24"/>
          <w:highlight w:val="none"/>
          <w:lang w:val="en-US" w:eastAsia="zh-CN"/>
        </w:rPr>
        <w:t>有效</w:t>
      </w:r>
      <w:r>
        <w:rPr>
          <w:rFonts w:hint="eastAsia" w:ascii="宋体" w:hAnsi="宋体" w:eastAsia="宋体" w:cs="宋体"/>
          <w:color w:val="auto"/>
          <w:kern w:val="0"/>
          <w:sz w:val="24"/>
          <w:szCs w:val="24"/>
          <w:highlight w:val="none"/>
        </w:rPr>
        <w:t>单价</w:t>
      </w:r>
      <w:r>
        <w:rPr>
          <w:rFonts w:hint="eastAsia" w:ascii="宋体" w:hAnsi="宋体" w:eastAsia="宋体" w:cs="宋体"/>
          <w:color w:val="auto"/>
          <w:kern w:val="0"/>
          <w:sz w:val="24"/>
          <w:szCs w:val="24"/>
          <w:highlight w:val="none"/>
          <w:lang w:val="en-US" w:eastAsia="zh-CN"/>
        </w:rPr>
        <w:t>最低</w:t>
      </w:r>
      <w:r>
        <w:rPr>
          <w:rFonts w:hint="eastAsia" w:ascii="宋体" w:hAnsi="宋体" w:eastAsia="宋体" w:cs="宋体"/>
          <w:color w:val="auto"/>
          <w:kern w:val="0"/>
          <w:sz w:val="24"/>
          <w:szCs w:val="24"/>
          <w:highlight w:val="none"/>
        </w:rPr>
        <w:t>作为成交价，</w:t>
      </w:r>
      <w:r>
        <w:rPr>
          <w:rFonts w:hint="eastAsia" w:ascii="宋体" w:hAnsi="宋体"/>
          <w:color w:val="auto"/>
          <w:sz w:val="24"/>
          <w:szCs w:val="24"/>
          <w:highlight w:val="none"/>
        </w:rPr>
        <w:t xml:space="preserve"> 报价最低的前三位如出现2家及以上价格相等，由评标小组抽签确定成交候选供应商顺序。</w:t>
      </w:r>
      <w:r>
        <w:rPr>
          <w:rFonts w:hint="eastAsia" w:ascii="宋体" w:hAnsi="宋体" w:cs="宋体"/>
          <w:color w:val="auto"/>
          <w:highlight w:val="none"/>
        </w:rPr>
        <w:t xml:space="preserve"> </w:t>
      </w:r>
    </w:p>
    <w:p>
      <w:pPr>
        <w:widowControl/>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9业务联系</w:t>
      </w:r>
      <w:r>
        <w:rPr>
          <w:rFonts w:ascii="宋体" w:hAnsi="宋体" w:eastAsia="宋体" w:cs="宋体"/>
          <w:color w:val="auto"/>
          <w:kern w:val="0"/>
          <w:sz w:val="24"/>
          <w:szCs w:val="24"/>
          <w:highlight w:val="none"/>
        </w:rPr>
        <w:t>人</w:t>
      </w:r>
      <w:r>
        <w:rPr>
          <w:rFonts w:hint="eastAsia" w:ascii="宋体" w:hAnsi="宋体" w:eastAsia="宋体" w:cs="宋体"/>
          <w:color w:val="auto"/>
          <w:kern w:val="0"/>
          <w:sz w:val="24"/>
          <w:szCs w:val="24"/>
          <w:highlight w:val="none"/>
        </w:rPr>
        <w:t>：曾翼君</w:t>
      </w:r>
      <w:r>
        <w:rPr>
          <w:rFonts w:ascii="宋体" w:hAnsi="宋体" w:eastAsia="宋体" w:cs="宋体"/>
          <w:color w:val="auto"/>
          <w:kern w:val="0"/>
          <w:sz w:val="24"/>
          <w:szCs w:val="24"/>
          <w:highlight w:val="none"/>
        </w:rPr>
        <w:t>（联系电话：</w:t>
      </w:r>
      <w:r>
        <w:rPr>
          <w:rFonts w:hint="eastAsia" w:ascii="宋体" w:hAnsi="宋体" w:eastAsia="宋体" w:cs="宋体"/>
          <w:color w:val="auto"/>
          <w:kern w:val="0"/>
          <w:sz w:val="24"/>
          <w:szCs w:val="24"/>
          <w:highlight w:val="none"/>
        </w:rPr>
        <w:t>0592-</w:t>
      </w:r>
      <w:r>
        <w:rPr>
          <w:rFonts w:ascii="宋体" w:hAnsi="宋体" w:eastAsia="宋体" w:cs="宋体"/>
          <w:color w:val="auto"/>
          <w:kern w:val="0"/>
          <w:sz w:val="24"/>
          <w:szCs w:val="24"/>
          <w:highlight w:val="none"/>
        </w:rPr>
        <w:t>7396</w:t>
      </w:r>
      <w:r>
        <w:rPr>
          <w:rFonts w:hint="eastAsia" w:ascii="宋体" w:hAnsi="宋体" w:eastAsia="宋体" w:cs="宋体"/>
          <w:color w:val="auto"/>
          <w:kern w:val="0"/>
          <w:sz w:val="24"/>
          <w:szCs w:val="24"/>
          <w:highlight w:val="none"/>
        </w:rPr>
        <w:t>297 ）</w:t>
      </w:r>
    </w:p>
    <w:p>
      <w:pPr>
        <w:widowControl/>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标书收件人：王芸芸（联系电话：</w:t>
      </w:r>
      <w:r>
        <w:rPr>
          <w:rFonts w:hint="eastAsia" w:ascii="宋体" w:hAnsi="宋体"/>
          <w:color w:val="auto"/>
          <w:kern w:val="0"/>
          <w:sz w:val="24"/>
          <w:szCs w:val="24"/>
          <w:highlight w:val="none"/>
        </w:rPr>
        <w:t>0592-13860158176</w:t>
      </w:r>
      <w:r>
        <w:rPr>
          <w:rFonts w:hint="eastAsia" w:ascii="宋体" w:hAnsi="宋体" w:eastAsia="宋体" w:cs="宋体"/>
          <w:color w:val="auto"/>
          <w:kern w:val="0"/>
          <w:sz w:val="24"/>
          <w:szCs w:val="24"/>
          <w:highlight w:val="none"/>
        </w:rPr>
        <w:t>）</w:t>
      </w:r>
    </w:p>
    <w:p>
      <w:pPr>
        <w:widowControl/>
        <w:spacing w:line="276" w:lineRule="auto"/>
        <w:ind w:left="1920" w:hanging="1920" w:hangingChars="800"/>
        <w:jc w:val="left"/>
        <w:rPr>
          <w:rFonts w:ascii="宋体" w:hAnsi="宋体" w:eastAsia="宋体"/>
          <w:color w:val="auto"/>
          <w:sz w:val="24"/>
          <w:szCs w:val="24"/>
          <w:highlight w:val="none"/>
          <w:shd w:val="clear" w:color="auto" w:fill="FFFFFF"/>
        </w:rPr>
      </w:pPr>
      <w:r>
        <w:rPr>
          <w:rFonts w:hint="eastAsia" w:ascii="宋体" w:hAnsi="宋体" w:eastAsia="宋体"/>
          <w:color w:val="auto"/>
          <w:sz w:val="24"/>
          <w:szCs w:val="24"/>
          <w:highlight w:val="none"/>
        </w:rPr>
        <w:t>10监督</w:t>
      </w:r>
      <w:r>
        <w:rPr>
          <w:rFonts w:hint="eastAsia"/>
          <w:color w:val="auto"/>
          <w:sz w:val="24"/>
          <w:szCs w:val="24"/>
          <w:highlight w:val="none"/>
          <w:shd w:val="clear" w:color="auto" w:fill="FFFFFF"/>
        </w:rPr>
        <w:t>投诉</w:t>
      </w:r>
      <w:r>
        <w:rPr>
          <w:rFonts w:ascii="宋体" w:hAnsi="宋体" w:eastAsia="宋体"/>
          <w:color w:val="auto"/>
          <w:sz w:val="24"/>
          <w:szCs w:val="24"/>
          <w:highlight w:val="none"/>
        </w:rPr>
        <w:t>电话</w:t>
      </w:r>
      <w:r>
        <w:rPr>
          <w:rFonts w:hint="eastAsia" w:ascii="宋体" w:hAnsi="宋体" w:eastAsia="宋体"/>
          <w:color w:val="auto"/>
          <w:sz w:val="24"/>
          <w:szCs w:val="24"/>
          <w:highlight w:val="none"/>
        </w:rPr>
        <w:t>：</w:t>
      </w:r>
      <w:r>
        <w:rPr>
          <w:rFonts w:hint="eastAsia" w:ascii="宋体" w:hAnsi="宋体" w:eastAsia="宋体"/>
          <w:color w:val="auto"/>
          <w:sz w:val="24"/>
          <w:szCs w:val="24"/>
          <w:highlight w:val="none"/>
          <w:shd w:val="clear" w:color="auto" w:fill="FFFFFF"/>
        </w:rPr>
        <w:t>海发集团纪检监察室0592-6800131 、</w:t>
      </w:r>
    </w:p>
    <w:p>
      <w:pPr>
        <w:widowControl/>
        <w:spacing w:line="276" w:lineRule="auto"/>
        <w:ind w:left="1915" w:leftChars="912"/>
        <w:jc w:val="left"/>
        <w:rPr>
          <w:rFonts w:ascii="宋体" w:hAnsi="宋体" w:eastAsia="宋体" w:cs="宋体"/>
          <w:color w:val="auto"/>
          <w:kern w:val="0"/>
          <w:sz w:val="24"/>
          <w:szCs w:val="24"/>
          <w:highlight w:val="none"/>
        </w:rPr>
      </w:pPr>
      <w:r>
        <w:rPr>
          <w:rFonts w:hint="eastAsia" w:ascii="宋体" w:hAnsi="宋体" w:eastAsia="宋体"/>
          <w:color w:val="auto"/>
          <w:sz w:val="24"/>
          <w:szCs w:val="24"/>
          <w:highlight w:val="none"/>
          <w:shd w:val="clear" w:color="auto" w:fill="FFFFFF"/>
        </w:rPr>
        <w:t xml:space="preserve">环保能源公司纪检小组 </w:t>
      </w:r>
      <w:r>
        <w:rPr>
          <w:rFonts w:ascii="宋体" w:hAnsi="宋体" w:eastAsia="宋体"/>
          <w:color w:val="auto"/>
          <w:sz w:val="24"/>
          <w:szCs w:val="24"/>
          <w:highlight w:val="none"/>
          <w:shd w:val="clear" w:color="auto" w:fill="FFFFFF"/>
        </w:rPr>
        <w:t>0592-</w:t>
      </w:r>
      <w:r>
        <w:rPr>
          <w:rFonts w:hint="eastAsia" w:ascii="宋体" w:hAnsi="宋体" w:eastAsia="宋体"/>
          <w:color w:val="auto"/>
          <w:sz w:val="24"/>
          <w:szCs w:val="24"/>
          <w:highlight w:val="none"/>
          <w:shd w:val="clear" w:color="auto" w:fill="FFFFFF"/>
        </w:rPr>
        <w:t>6807596</w:t>
      </w:r>
    </w:p>
    <w:p>
      <w:pPr>
        <w:widowControl/>
        <w:spacing w:line="276" w:lineRule="auto"/>
        <w:jc w:val="left"/>
        <w:rPr>
          <w:rFonts w:ascii="宋体" w:hAnsi="宋体" w:eastAsia="宋体" w:cs="宋体"/>
          <w:color w:val="auto"/>
          <w:kern w:val="0"/>
          <w:sz w:val="24"/>
          <w:szCs w:val="24"/>
          <w:highlight w:val="none"/>
        </w:rPr>
      </w:pPr>
    </w:p>
    <w:p>
      <w:pPr>
        <w:widowControl/>
        <w:spacing w:line="480" w:lineRule="auto"/>
        <w:ind w:firstLine="480" w:firstLineChars="200"/>
        <w:jc w:val="left"/>
        <w:rPr>
          <w:rFonts w:ascii="宋体" w:hAnsi="宋体" w:eastAsia="宋体" w:cs="宋体"/>
          <w:color w:val="auto"/>
          <w:kern w:val="0"/>
          <w:sz w:val="24"/>
          <w:szCs w:val="24"/>
          <w:highlight w:val="none"/>
        </w:rPr>
      </w:pPr>
    </w:p>
    <w:p>
      <w:pPr>
        <w:widowControl/>
        <w:spacing w:line="480" w:lineRule="auto"/>
        <w:ind w:firstLine="480" w:firstLineChars="200"/>
        <w:jc w:val="left"/>
        <w:rPr>
          <w:rFonts w:ascii="宋体" w:hAnsi="宋体" w:eastAsia="宋体" w:cs="宋体"/>
          <w:color w:val="auto"/>
          <w:kern w:val="0"/>
          <w:sz w:val="24"/>
          <w:szCs w:val="24"/>
          <w:highlight w:val="none"/>
        </w:rPr>
      </w:pPr>
    </w:p>
    <w:p>
      <w:pPr>
        <w:widowControl/>
        <w:spacing w:line="276" w:lineRule="auto"/>
        <w:ind w:firstLine="480" w:firstLineChars="200"/>
        <w:jc w:val="left"/>
        <w:rPr>
          <w:rFonts w:ascii="宋体" w:hAnsi="宋体" w:eastAsia="宋体" w:cs="宋体"/>
          <w:color w:val="auto"/>
          <w:kern w:val="0"/>
          <w:sz w:val="24"/>
          <w:szCs w:val="24"/>
          <w:highlight w:val="none"/>
        </w:rPr>
      </w:pPr>
    </w:p>
    <w:p>
      <w:pPr>
        <w:widowControl/>
        <w:spacing w:line="276" w:lineRule="auto"/>
        <w:ind w:firstLine="480" w:firstLineChars="200"/>
        <w:jc w:val="left"/>
        <w:rPr>
          <w:rFonts w:ascii="宋体" w:hAnsi="宋体" w:eastAsia="宋体" w:cs="宋体"/>
          <w:color w:val="auto"/>
          <w:kern w:val="0"/>
          <w:sz w:val="24"/>
          <w:szCs w:val="24"/>
          <w:highlight w:val="none"/>
        </w:rPr>
      </w:pPr>
    </w:p>
    <w:p>
      <w:pPr>
        <w:widowControl/>
        <w:spacing w:line="276" w:lineRule="auto"/>
        <w:ind w:firstLine="3840" w:firstLineChars="1600"/>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厦门海</w:t>
      </w:r>
      <w:r>
        <w:rPr>
          <w:rFonts w:ascii="宋体" w:hAnsi="宋体" w:eastAsia="宋体" w:cs="宋体"/>
          <w:color w:val="auto"/>
          <w:kern w:val="0"/>
          <w:sz w:val="24"/>
          <w:szCs w:val="24"/>
          <w:highlight w:val="none"/>
        </w:rPr>
        <w:t>发环保能源股份有限公司</w:t>
      </w:r>
    </w:p>
    <w:p>
      <w:pPr>
        <w:widowControl/>
        <w:spacing w:line="276" w:lineRule="auto"/>
        <w:ind w:firstLine="4698" w:firstLineChars="1950"/>
        <w:jc w:val="left"/>
        <w:rPr>
          <w:rFonts w:ascii="宋体" w:hAnsi="宋体" w:eastAsia="宋体" w:cs="宋体"/>
          <w:b/>
          <w:color w:val="auto"/>
          <w:kern w:val="0"/>
          <w:sz w:val="24"/>
          <w:szCs w:val="24"/>
          <w:highlight w:val="none"/>
        </w:rPr>
      </w:pPr>
      <w:r>
        <w:rPr>
          <w:rFonts w:ascii="宋体" w:hAnsi="宋体" w:eastAsia="宋体" w:cs="宋体"/>
          <w:b/>
          <w:color w:val="auto"/>
          <w:kern w:val="0"/>
          <w:sz w:val="24"/>
          <w:szCs w:val="24"/>
          <w:highlight w:val="none"/>
        </w:rPr>
        <w:t>202</w:t>
      </w:r>
      <w:r>
        <w:rPr>
          <w:rFonts w:hint="eastAsia" w:ascii="宋体" w:hAnsi="宋体" w:eastAsia="宋体" w:cs="宋体"/>
          <w:b/>
          <w:color w:val="auto"/>
          <w:kern w:val="0"/>
          <w:sz w:val="24"/>
          <w:szCs w:val="24"/>
          <w:highlight w:val="none"/>
        </w:rPr>
        <w:t>4年</w:t>
      </w:r>
      <w:r>
        <w:rPr>
          <w:rFonts w:hint="eastAsia" w:ascii="宋体" w:hAnsi="宋体" w:eastAsia="宋体" w:cs="宋体"/>
          <w:b/>
          <w:color w:val="auto"/>
          <w:kern w:val="0"/>
          <w:sz w:val="24"/>
          <w:szCs w:val="24"/>
          <w:highlight w:val="none"/>
          <w:lang w:val="en-US" w:eastAsia="zh-CN"/>
        </w:rPr>
        <w:t>04</w:t>
      </w:r>
      <w:r>
        <w:rPr>
          <w:rFonts w:hint="eastAsia" w:ascii="宋体" w:hAnsi="宋体" w:eastAsia="宋体" w:cs="宋体"/>
          <w:b/>
          <w:color w:val="auto"/>
          <w:kern w:val="0"/>
          <w:sz w:val="24"/>
          <w:szCs w:val="24"/>
          <w:highlight w:val="none"/>
        </w:rPr>
        <w:t>月</w:t>
      </w:r>
      <w:r>
        <w:rPr>
          <w:rFonts w:hint="eastAsia" w:ascii="宋体" w:hAnsi="宋体" w:eastAsia="宋体" w:cs="宋体"/>
          <w:b/>
          <w:color w:val="auto"/>
          <w:kern w:val="0"/>
          <w:sz w:val="24"/>
          <w:szCs w:val="24"/>
          <w:highlight w:val="none"/>
          <w:lang w:val="en-US" w:eastAsia="zh-CN"/>
        </w:rPr>
        <w:t xml:space="preserve">  </w:t>
      </w:r>
      <w:r>
        <w:rPr>
          <w:rFonts w:ascii="宋体" w:hAnsi="宋体" w:eastAsia="宋体" w:cs="宋体"/>
          <w:b/>
          <w:color w:val="auto"/>
          <w:kern w:val="0"/>
          <w:sz w:val="24"/>
          <w:szCs w:val="24"/>
          <w:highlight w:val="none"/>
        </w:rPr>
        <w:t>日</w:t>
      </w: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widowControl/>
        <w:spacing w:line="276" w:lineRule="auto"/>
        <w:ind w:firstLine="4698" w:firstLineChars="1950"/>
        <w:jc w:val="left"/>
        <w:rPr>
          <w:rFonts w:ascii="宋体" w:hAnsi="宋体" w:eastAsia="宋体" w:cs="宋体"/>
          <w:b/>
          <w:color w:val="auto"/>
          <w:kern w:val="0"/>
          <w:sz w:val="24"/>
          <w:szCs w:val="24"/>
          <w:highlight w:val="none"/>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color w:val="auto"/>
          <w:sz w:val="24"/>
          <w:szCs w:val="24"/>
          <w:highlight w:val="none"/>
        </w:rPr>
      </w:pPr>
      <w:bookmarkStart w:id="0" w:name="_Toc5871_WPSOffice_Level2"/>
    </w:p>
    <w:p>
      <w:pPr>
        <w:pStyle w:val="2"/>
        <w:keepNext w:val="0"/>
        <w:keepLines w:val="0"/>
        <w:kinsoku w:val="0"/>
        <w:overflowPunct w:val="0"/>
        <w:autoSpaceDE w:val="0"/>
        <w:autoSpaceDN w:val="0"/>
        <w:adjustRightInd/>
        <w:spacing w:before="0" w:after="0" w:line="276" w:lineRule="auto"/>
        <w:jc w:val="both"/>
        <w:textAlignment w:val="auto"/>
        <w:rPr>
          <w:rFonts w:ascii="宋体" w:hAnsi="宋体" w:eastAsia="宋体"/>
          <w:bCs/>
          <w:color w:val="auto"/>
          <w:sz w:val="24"/>
          <w:szCs w:val="24"/>
          <w:highlight w:val="none"/>
        </w:rPr>
      </w:pPr>
      <w:r>
        <w:rPr>
          <w:rFonts w:hint="eastAsia" w:ascii="宋体" w:hAnsi="宋体" w:eastAsia="宋体"/>
          <w:bCs/>
          <w:color w:val="auto"/>
          <w:sz w:val="24"/>
          <w:szCs w:val="24"/>
          <w:highlight w:val="none"/>
        </w:rPr>
        <w:t>备注：</w:t>
      </w:r>
      <w:bookmarkEnd w:id="0"/>
    </w:p>
    <w:p>
      <w:pPr>
        <w:pStyle w:val="2"/>
        <w:keepNext w:val="0"/>
        <w:keepLines w:val="0"/>
        <w:numPr>
          <w:ilvl w:val="0"/>
          <w:numId w:val="1"/>
        </w:numPr>
        <w:kinsoku w:val="0"/>
        <w:overflowPunct w:val="0"/>
        <w:autoSpaceDE w:val="0"/>
        <w:autoSpaceDN w:val="0"/>
        <w:adjustRightInd/>
        <w:spacing w:before="0" w:after="0" w:line="276" w:lineRule="auto"/>
        <w:jc w:val="both"/>
        <w:textAlignment w:val="auto"/>
        <w:rPr>
          <w:rFonts w:ascii="宋体" w:hAnsi="宋体" w:eastAsia="宋体"/>
          <w:bCs/>
          <w:color w:val="auto"/>
          <w:sz w:val="24"/>
          <w:szCs w:val="24"/>
          <w:highlight w:val="none"/>
        </w:rPr>
      </w:pPr>
      <w:r>
        <w:rPr>
          <w:rFonts w:hint="eastAsia" w:ascii="宋体" w:hAnsi="宋体" w:eastAsia="宋体"/>
          <w:bCs/>
          <w:color w:val="auto"/>
          <w:sz w:val="24"/>
          <w:szCs w:val="24"/>
          <w:highlight w:val="none"/>
        </w:rPr>
        <w:t>全文中带有“*”的条款为关键性条款，如报价方对这些关键性条款存在任何负偏离或不满足将导致报价无效。</w:t>
      </w:r>
    </w:p>
    <w:p>
      <w:pPr>
        <w:pStyle w:val="2"/>
        <w:keepNext w:val="0"/>
        <w:keepLines w:val="0"/>
        <w:numPr>
          <w:ilvl w:val="0"/>
          <w:numId w:val="1"/>
        </w:numPr>
        <w:kinsoku w:val="0"/>
        <w:overflowPunct w:val="0"/>
        <w:autoSpaceDE w:val="0"/>
        <w:autoSpaceDN w:val="0"/>
        <w:adjustRightInd/>
        <w:spacing w:before="0" w:after="0" w:line="276" w:lineRule="auto"/>
        <w:jc w:val="both"/>
        <w:textAlignment w:val="auto"/>
        <w:rPr>
          <w:rFonts w:ascii="宋体" w:hAnsi="宋体" w:eastAsia="宋体"/>
          <w:bCs/>
          <w:color w:val="auto"/>
          <w:sz w:val="24"/>
          <w:szCs w:val="24"/>
          <w:highlight w:val="none"/>
        </w:rPr>
      </w:pPr>
      <w:r>
        <w:rPr>
          <w:rFonts w:hint="eastAsia" w:ascii="宋体" w:hAnsi="宋体" w:eastAsia="宋体"/>
          <w:bCs/>
          <w:color w:val="auto"/>
          <w:sz w:val="24"/>
          <w:szCs w:val="24"/>
          <w:highlight w:val="none"/>
        </w:rPr>
        <w:t>谈判文件中所述要求，应视为保证实现本项目所需要的最低要求，如有遗漏，报价方应予以补充，否则，一旦成交将认为报价方认同遗漏部分并免费提供。</w:t>
      </w:r>
    </w:p>
    <w:p>
      <w:pPr>
        <w:widowControl/>
        <w:spacing w:line="276" w:lineRule="auto"/>
        <w:jc w:val="center"/>
        <w:rPr>
          <w:rFonts w:ascii="宋体" w:hAnsi="宋体" w:eastAsia="宋体" w:cs="宋体"/>
          <w:b/>
          <w:color w:val="auto"/>
          <w:kern w:val="0"/>
          <w:sz w:val="36"/>
          <w:szCs w:val="36"/>
          <w:highlight w:val="none"/>
        </w:rPr>
      </w:pPr>
    </w:p>
    <w:p>
      <w:pPr>
        <w:widowControl/>
        <w:spacing w:line="276" w:lineRule="auto"/>
        <w:jc w:val="center"/>
        <w:rPr>
          <w:rFonts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第</w:t>
      </w:r>
      <w:r>
        <w:rPr>
          <w:rFonts w:ascii="宋体" w:hAnsi="宋体" w:eastAsia="宋体" w:cs="宋体"/>
          <w:b/>
          <w:color w:val="auto"/>
          <w:kern w:val="0"/>
          <w:sz w:val="36"/>
          <w:szCs w:val="36"/>
          <w:highlight w:val="none"/>
        </w:rPr>
        <w:t>二部分</w:t>
      </w:r>
      <w:r>
        <w:rPr>
          <w:rFonts w:hint="eastAsia" w:ascii="宋体" w:hAnsi="宋体" w:eastAsia="宋体" w:cs="宋体"/>
          <w:b/>
          <w:color w:val="auto"/>
          <w:kern w:val="0"/>
          <w:sz w:val="36"/>
          <w:szCs w:val="36"/>
          <w:highlight w:val="none"/>
        </w:rPr>
        <w:t>谈判</w:t>
      </w:r>
      <w:r>
        <w:rPr>
          <w:rFonts w:ascii="宋体" w:hAnsi="宋体" w:eastAsia="宋体" w:cs="宋体"/>
          <w:b/>
          <w:color w:val="auto"/>
          <w:kern w:val="0"/>
          <w:sz w:val="36"/>
          <w:szCs w:val="36"/>
          <w:highlight w:val="none"/>
        </w:rPr>
        <w:t>须知</w:t>
      </w:r>
    </w:p>
    <w:p>
      <w:pPr>
        <w:widowControl/>
        <w:spacing w:line="276" w:lineRule="auto"/>
        <w:ind w:firstLine="480" w:firstLineChars="200"/>
        <w:jc w:val="left"/>
        <w:rPr>
          <w:rFonts w:ascii="宋体" w:hAnsi="宋体" w:eastAsia="宋体"/>
          <w:color w:val="auto"/>
          <w:sz w:val="24"/>
          <w:szCs w:val="24"/>
          <w:highlight w:val="none"/>
        </w:rPr>
      </w:pPr>
      <w:r>
        <w:rPr>
          <w:rFonts w:hint="eastAsia" w:ascii="宋体" w:hAnsi="宋体" w:eastAsia="宋体"/>
          <w:color w:val="auto"/>
          <w:sz w:val="24"/>
          <w:szCs w:val="24"/>
          <w:highlight w:val="none"/>
        </w:rPr>
        <w:t>本项目为同集</w:t>
      </w:r>
      <w:r>
        <w:rPr>
          <w:rFonts w:hint="eastAsia" w:ascii="宋体" w:hAnsi="宋体" w:eastAsia="宋体"/>
          <w:color w:val="auto"/>
          <w:sz w:val="24"/>
          <w:szCs w:val="24"/>
          <w:highlight w:val="none"/>
          <w:lang w:val="en-US" w:eastAsia="zh-CN"/>
        </w:rPr>
        <w:t>热电</w:t>
      </w:r>
      <w:r>
        <w:rPr>
          <w:rFonts w:hint="eastAsia" w:ascii="宋体" w:hAnsi="宋体" w:eastAsia="宋体"/>
          <w:color w:val="auto"/>
          <w:sz w:val="24"/>
          <w:szCs w:val="24"/>
          <w:highlight w:val="none"/>
        </w:rPr>
        <w:t>事业部无烟煤采购，采购方为</w:t>
      </w:r>
      <w:r>
        <w:rPr>
          <w:rFonts w:hint="eastAsia" w:ascii="宋体" w:hAnsi="宋体" w:eastAsia="宋体" w:cs="宋体"/>
          <w:color w:val="auto"/>
          <w:kern w:val="0"/>
          <w:sz w:val="24"/>
          <w:szCs w:val="24"/>
          <w:highlight w:val="none"/>
        </w:rPr>
        <w:t>厦门海</w:t>
      </w:r>
      <w:r>
        <w:rPr>
          <w:rFonts w:ascii="宋体" w:hAnsi="宋体" w:eastAsia="宋体" w:cs="宋体"/>
          <w:color w:val="auto"/>
          <w:kern w:val="0"/>
          <w:sz w:val="24"/>
          <w:szCs w:val="24"/>
          <w:highlight w:val="none"/>
        </w:rPr>
        <w:t>发环保能源股份有限公司</w:t>
      </w:r>
      <w:r>
        <w:rPr>
          <w:rFonts w:hint="eastAsia" w:ascii="宋体" w:hAnsi="宋体" w:eastAsia="宋体"/>
          <w:color w:val="auto"/>
          <w:sz w:val="24"/>
          <w:szCs w:val="24"/>
          <w:highlight w:val="none"/>
        </w:rPr>
        <w:t>报价方请仔细阅读本采购文件的内容以保证提交完整有效的报价文件参加报价活动。</w:t>
      </w:r>
    </w:p>
    <w:p>
      <w:pPr>
        <w:numPr>
          <w:ilvl w:val="0"/>
          <w:numId w:val="2"/>
        </w:numPr>
        <w:adjustRightInd w:val="0"/>
        <w:snapToGrid w:val="0"/>
        <w:spacing w:line="276" w:lineRule="auto"/>
        <w:ind w:right="105" w:rightChars="50"/>
        <w:jc w:val="left"/>
        <w:rPr>
          <w:rFonts w:ascii="宋体" w:hAnsi="宋体"/>
          <w:bCs/>
          <w:color w:val="auto"/>
          <w:sz w:val="24"/>
          <w:szCs w:val="24"/>
          <w:highlight w:val="none"/>
        </w:rPr>
      </w:pPr>
      <w:bookmarkStart w:id="1" w:name="_Toc24083811"/>
      <w:bookmarkStart w:id="2" w:name="_Toc293413478"/>
      <w:bookmarkStart w:id="3" w:name="_Toc33340836"/>
      <w:bookmarkStart w:id="4" w:name="_Toc24455231"/>
      <w:bookmarkStart w:id="5" w:name="_Toc260230610"/>
      <w:bookmarkStart w:id="6" w:name="_Toc514_WPSOffice_Level2"/>
      <w:bookmarkStart w:id="7" w:name="_Toc32472_WPSOffice_Level2"/>
      <w:bookmarkStart w:id="8" w:name="_Toc23613348"/>
      <w:bookmarkStart w:id="9" w:name="_Toc229281569"/>
      <w:bookmarkStart w:id="10" w:name="_Toc32305_WPSOffice_Level2"/>
      <w:bookmarkStart w:id="11" w:name="_Toc260238414"/>
      <w:r>
        <w:rPr>
          <w:rFonts w:hint="eastAsia" w:ascii="宋体" w:hAnsi="宋体"/>
          <w:bCs/>
          <w:color w:val="auto"/>
          <w:sz w:val="24"/>
          <w:szCs w:val="24"/>
          <w:highlight w:val="none"/>
        </w:rPr>
        <w:t>采购文件</w:t>
      </w:r>
      <w:bookmarkEnd w:id="1"/>
      <w:bookmarkEnd w:id="2"/>
      <w:bookmarkEnd w:id="3"/>
      <w:bookmarkEnd w:id="4"/>
      <w:bookmarkEnd w:id="5"/>
      <w:bookmarkEnd w:id="6"/>
      <w:bookmarkEnd w:id="7"/>
      <w:bookmarkEnd w:id="8"/>
      <w:bookmarkEnd w:id="9"/>
      <w:bookmarkEnd w:id="10"/>
      <w:bookmarkEnd w:id="11"/>
    </w:p>
    <w:p>
      <w:pPr>
        <w:numPr>
          <w:ilvl w:val="0"/>
          <w:numId w:val="3"/>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color w:val="auto"/>
          <w:sz w:val="24"/>
          <w:szCs w:val="24"/>
          <w:highlight w:val="none"/>
        </w:rPr>
        <w:t>采购邀请函</w:t>
      </w:r>
    </w:p>
    <w:p>
      <w:pPr>
        <w:numPr>
          <w:ilvl w:val="0"/>
          <w:numId w:val="3"/>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color w:val="auto"/>
          <w:sz w:val="24"/>
          <w:szCs w:val="24"/>
          <w:highlight w:val="none"/>
        </w:rPr>
        <w:t>报价方须知</w:t>
      </w:r>
    </w:p>
    <w:p>
      <w:pPr>
        <w:numPr>
          <w:ilvl w:val="0"/>
          <w:numId w:val="3"/>
        </w:numPr>
        <w:adjustRightInd w:val="0"/>
        <w:snapToGrid w:val="0"/>
        <w:spacing w:line="276" w:lineRule="auto"/>
        <w:ind w:right="105" w:rightChars="50"/>
        <w:jc w:val="left"/>
        <w:rPr>
          <w:rFonts w:ascii="宋体" w:hAnsi="宋体"/>
          <w:color w:val="auto"/>
          <w:sz w:val="24"/>
          <w:szCs w:val="24"/>
          <w:highlight w:val="none"/>
        </w:rPr>
      </w:pPr>
      <w:r>
        <w:rPr>
          <w:rFonts w:ascii="宋体" w:hAnsi="宋体" w:eastAsia="宋体" w:cs="宋体"/>
          <w:color w:val="auto"/>
          <w:kern w:val="0"/>
          <w:sz w:val="24"/>
          <w:szCs w:val="24"/>
          <w:highlight w:val="none"/>
        </w:rPr>
        <w:t>采购项目及各项</w:t>
      </w:r>
      <w:r>
        <w:rPr>
          <w:rFonts w:hint="eastAsia" w:ascii="宋体" w:hAnsi="宋体" w:eastAsia="宋体" w:cs="宋体"/>
          <w:color w:val="auto"/>
          <w:kern w:val="0"/>
          <w:sz w:val="24"/>
          <w:szCs w:val="24"/>
          <w:highlight w:val="none"/>
        </w:rPr>
        <w:t>要求</w:t>
      </w:r>
    </w:p>
    <w:p>
      <w:pPr>
        <w:numPr>
          <w:ilvl w:val="0"/>
          <w:numId w:val="3"/>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color w:val="auto"/>
          <w:sz w:val="24"/>
          <w:szCs w:val="24"/>
          <w:highlight w:val="none"/>
        </w:rPr>
        <w:t>合同主要条款</w:t>
      </w:r>
    </w:p>
    <w:p>
      <w:pPr>
        <w:numPr>
          <w:ilvl w:val="0"/>
          <w:numId w:val="3"/>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color w:val="auto"/>
          <w:sz w:val="24"/>
          <w:szCs w:val="24"/>
          <w:highlight w:val="none"/>
        </w:rPr>
        <w:t>报价文件格式</w:t>
      </w:r>
    </w:p>
    <w:p>
      <w:pPr>
        <w:numPr>
          <w:ilvl w:val="0"/>
          <w:numId w:val="2"/>
        </w:numPr>
        <w:adjustRightInd w:val="0"/>
        <w:snapToGrid w:val="0"/>
        <w:spacing w:line="276" w:lineRule="auto"/>
        <w:ind w:right="105" w:rightChars="50"/>
        <w:jc w:val="left"/>
        <w:rPr>
          <w:rFonts w:ascii="宋体" w:hAnsi="宋体"/>
          <w:bCs/>
          <w:color w:val="auto"/>
          <w:sz w:val="24"/>
          <w:szCs w:val="24"/>
          <w:highlight w:val="none"/>
        </w:rPr>
      </w:pPr>
      <w:bookmarkStart w:id="12" w:name="_Toc32292_WPSOffice_Level2"/>
      <w:bookmarkStart w:id="13" w:name="_Toc20923_WPSOffice_Level2"/>
      <w:bookmarkStart w:id="14" w:name="_Toc293413479"/>
      <w:bookmarkStart w:id="15" w:name="_Toc11355_WPSOffice_Level2"/>
      <w:r>
        <w:rPr>
          <w:rFonts w:hint="eastAsia" w:ascii="宋体" w:hAnsi="宋体"/>
          <w:bCs/>
          <w:color w:val="auto"/>
          <w:sz w:val="24"/>
          <w:szCs w:val="24"/>
          <w:highlight w:val="none"/>
        </w:rPr>
        <w:t>采购文件澄清和修改</w:t>
      </w:r>
    </w:p>
    <w:p>
      <w:pPr>
        <w:numPr>
          <w:ilvl w:val="0"/>
          <w:numId w:val="4"/>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color w:val="auto"/>
          <w:sz w:val="24"/>
          <w:szCs w:val="24"/>
          <w:highlight w:val="none"/>
        </w:rPr>
        <w:t>采购文件的澄清</w:t>
      </w:r>
    </w:p>
    <w:p>
      <w:pPr>
        <w:numPr>
          <w:ilvl w:val="0"/>
          <w:numId w:val="4"/>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eastAsia="宋体"/>
          <w:color w:val="auto"/>
          <w:sz w:val="24"/>
          <w:szCs w:val="24"/>
          <w:highlight w:val="none"/>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复作为采购文件的一部分，对相应供应商有约束力。</w:t>
      </w:r>
    </w:p>
    <w:p>
      <w:pPr>
        <w:numPr>
          <w:ilvl w:val="0"/>
          <w:numId w:val="4"/>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color w:val="auto"/>
          <w:sz w:val="24"/>
          <w:szCs w:val="24"/>
          <w:highlight w:val="none"/>
        </w:rPr>
        <w:t>采购文件的修改</w:t>
      </w:r>
    </w:p>
    <w:p>
      <w:pPr>
        <w:numPr>
          <w:ilvl w:val="0"/>
          <w:numId w:val="4"/>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eastAsia="宋体"/>
          <w:color w:val="auto"/>
          <w:sz w:val="24"/>
          <w:szCs w:val="24"/>
          <w:highlight w:val="none"/>
        </w:rPr>
        <w:t>采购方有权在报价文件投递截止时间之前的任何时候对公告</w:t>
      </w:r>
      <w:r>
        <w:rPr>
          <w:rFonts w:ascii="宋体" w:hAnsi="宋体" w:eastAsia="宋体"/>
          <w:color w:val="auto"/>
          <w:sz w:val="24"/>
          <w:szCs w:val="24"/>
          <w:highlight w:val="none"/>
        </w:rPr>
        <w:t>的</w:t>
      </w:r>
      <w:r>
        <w:rPr>
          <w:rFonts w:hint="eastAsia" w:ascii="宋体" w:hAnsi="宋体" w:eastAsia="宋体"/>
          <w:color w:val="auto"/>
          <w:sz w:val="24"/>
          <w:szCs w:val="24"/>
          <w:highlight w:val="none"/>
        </w:rPr>
        <w:t>采购文件进行修改。由于采购文件的修改可适当延长报价文件投递截止时间。采购文件的修订将在相应招标公告网站进行公告，并做为采购文件的一部分，对供应商有约束力。意向供应商在投标前应给予关注。</w:t>
      </w:r>
    </w:p>
    <w:p>
      <w:pPr>
        <w:numPr>
          <w:ilvl w:val="0"/>
          <w:numId w:val="2"/>
        </w:numPr>
        <w:adjustRightInd w:val="0"/>
        <w:snapToGrid w:val="0"/>
        <w:spacing w:line="276" w:lineRule="auto"/>
        <w:ind w:right="105" w:rightChars="50"/>
        <w:jc w:val="left"/>
        <w:rPr>
          <w:rFonts w:ascii="宋体" w:hAnsi="宋体"/>
          <w:bCs/>
          <w:color w:val="auto"/>
          <w:sz w:val="24"/>
          <w:szCs w:val="24"/>
          <w:highlight w:val="none"/>
        </w:rPr>
      </w:pPr>
      <w:r>
        <w:rPr>
          <w:rFonts w:hint="eastAsia" w:ascii="宋体" w:hAnsi="宋体"/>
          <w:bCs/>
          <w:color w:val="auto"/>
          <w:sz w:val="24"/>
          <w:szCs w:val="24"/>
          <w:highlight w:val="none"/>
        </w:rPr>
        <w:t>响应文件的编制</w:t>
      </w:r>
      <w:bookmarkEnd w:id="12"/>
      <w:bookmarkEnd w:id="13"/>
      <w:bookmarkEnd w:id="14"/>
      <w:bookmarkEnd w:id="15"/>
    </w:p>
    <w:p>
      <w:pPr>
        <w:adjustRightInd w:val="0"/>
        <w:snapToGrid w:val="0"/>
        <w:spacing w:line="276" w:lineRule="auto"/>
        <w:ind w:right="105" w:rightChars="50"/>
        <w:jc w:val="left"/>
        <w:rPr>
          <w:rFonts w:ascii="宋体" w:hAnsi="宋体"/>
          <w:color w:val="auto"/>
          <w:sz w:val="24"/>
          <w:szCs w:val="24"/>
          <w:highlight w:val="none"/>
        </w:rPr>
      </w:pPr>
      <w:r>
        <w:rPr>
          <w:rFonts w:ascii="宋体" w:hAnsi="宋体" w:eastAsia="宋体"/>
          <w:bCs/>
          <w:color w:val="auto"/>
          <w:sz w:val="24"/>
          <w:szCs w:val="24"/>
          <w:highlight w:val="none"/>
        </w:rPr>
        <w:t>3.1</w:t>
      </w:r>
      <w:r>
        <w:rPr>
          <w:rFonts w:hint="eastAsia" w:ascii="宋体" w:hAnsi="宋体"/>
          <w:color w:val="auto"/>
          <w:sz w:val="24"/>
          <w:szCs w:val="24"/>
          <w:highlight w:val="none"/>
        </w:rPr>
        <w:t>响应函；</w:t>
      </w:r>
    </w:p>
    <w:p>
      <w:pPr>
        <w:adjustRightInd w:val="0"/>
        <w:snapToGrid w:val="0"/>
        <w:spacing w:line="276" w:lineRule="auto"/>
        <w:ind w:right="105" w:rightChars="50"/>
        <w:jc w:val="left"/>
        <w:rPr>
          <w:rFonts w:ascii="宋体" w:hAnsi="宋体"/>
          <w:color w:val="auto"/>
          <w:sz w:val="24"/>
          <w:szCs w:val="24"/>
          <w:highlight w:val="none"/>
        </w:rPr>
      </w:pPr>
      <w:r>
        <w:rPr>
          <w:rFonts w:ascii="宋体" w:hAnsi="宋体" w:eastAsia="宋体"/>
          <w:bCs/>
          <w:color w:val="auto"/>
          <w:sz w:val="24"/>
          <w:szCs w:val="24"/>
          <w:highlight w:val="none"/>
        </w:rPr>
        <w:t>3.2</w:t>
      </w:r>
      <w:r>
        <w:rPr>
          <w:rFonts w:hint="eastAsia" w:ascii="宋体" w:hAnsi="宋体"/>
          <w:color w:val="auto"/>
          <w:sz w:val="24"/>
          <w:szCs w:val="24"/>
          <w:highlight w:val="none"/>
        </w:rPr>
        <w:t>谈判报价</w:t>
      </w:r>
      <w:r>
        <w:rPr>
          <w:rFonts w:ascii="宋体" w:hAnsi="宋体"/>
          <w:color w:val="auto"/>
          <w:sz w:val="24"/>
          <w:szCs w:val="24"/>
          <w:highlight w:val="none"/>
        </w:rPr>
        <w:t>书</w:t>
      </w:r>
      <w:r>
        <w:rPr>
          <w:rFonts w:hint="eastAsia" w:ascii="宋体" w:hAnsi="宋体"/>
          <w:color w:val="auto"/>
          <w:sz w:val="24"/>
          <w:szCs w:val="24"/>
          <w:highlight w:val="none"/>
        </w:rPr>
        <w:t>；</w:t>
      </w:r>
    </w:p>
    <w:p>
      <w:pPr>
        <w:adjustRightInd w:val="0"/>
        <w:snapToGrid w:val="0"/>
        <w:spacing w:line="276" w:lineRule="auto"/>
        <w:ind w:right="105" w:rightChars="50"/>
        <w:jc w:val="left"/>
        <w:rPr>
          <w:rFonts w:ascii="宋体" w:hAnsi="宋体"/>
          <w:color w:val="auto"/>
          <w:sz w:val="24"/>
          <w:szCs w:val="24"/>
          <w:highlight w:val="none"/>
        </w:rPr>
      </w:pPr>
      <w:r>
        <w:rPr>
          <w:rFonts w:ascii="宋体" w:hAnsi="宋体" w:eastAsia="宋体"/>
          <w:bCs/>
          <w:color w:val="auto"/>
          <w:sz w:val="24"/>
          <w:szCs w:val="24"/>
          <w:highlight w:val="none"/>
        </w:rPr>
        <w:t>3.3</w:t>
      </w:r>
      <w:r>
        <w:rPr>
          <w:rFonts w:hint="eastAsia" w:ascii="宋体" w:hAnsi="宋体"/>
          <w:color w:val="auto"/>
          <w:sz w:val="24"/>
          <w:szCs w:val="24"/>
          <w:highlight w:val="none"/>
        </w:rPr>
        <w:t>法定代表人身份证复印</w:t>
      </w:r>
      <w:r>
        <w:rPr>
          <w:rFonts w:ascii="宋体" w:hAnsi="宋体"/>
          <w:color w:val="auto"/>
          <w:sz w:val="24"/>
          <w:szCs w:val="24"/>
          <w:highlight w:val="none"/>
        </w:rPr>
        <w:t>件</w:t>
      </w:r>
      <w:r>
        <w:rPr>
          <w:rFonts w:hint="eastAsia" w:ascii="宋体" w:hAnsi="宋体"/>
          <w:color w:val="auto"/>
          <w:sz w:val="24"/>
          <w:szCs w:val="24"/>
          <w:highlight w:val="none"/>
        </w:rPr>
        <w:t>；</w:t>
      </w:r>
    </w:p>
    <w:p>
      <w:pPr>
        <w:adjustRightInd w:val="0"/>
        <w:snapToGrid w:val="0"/>
        <w:spacing w:line="276" w:lineRule="auto"/>
        <w:ind w:right="105" w:rightChars="50"/>
        <w:jc w:val="left"/>
        <w:rPr>
          <w:rFonts w:ascii="宋体" w:hAnsi="宋体"/>
          <w:color w:val="auto"/>
          <w:sz w:val="24"/>
          <w:szCs w:val="24"/>
          <w:highlight w:val="none"/>
        </w:rPr>
      </w:pPr>
      <w:r>
        <w:rPr>
          <w:rFonts w:ascii="宋体" w:hAnsi="宋体" w:eastAsia="宋体"/>
          <w:bCs/>
          <w:color w:val="auto"/>
          <w:sz w:val="24"/>
          <w:szCs w:val="24"/>
          <w:highlight w:val="none"/>
        </w:rPr>
        <w:t>3.4</w:t>
      </w:r>
      <w:r>
        <w:rPr>
          <w:rFonts w:hint="eastAsia" w:ascii="宋体" w:hAnsi="宋体"/>
          <w:color w:val="auto"/>
          <w:sz w:val="24"/>
          <w:szCs w:val="24"/>
          <w:highlight w:val="none"/>
        </w:rPr>
        <w:t>法人授权委托书原件</w:t>
      </w:r>
      <w:r>
        <w:rPr>
          <w:rFonts w:hint="eastAsia" w:ascii="宋体" w:hAnsi="宋体" w:eastAsia="宋体" w:cs="宋体"/>
          <w:color w:val="auto"/>
          <w:kern w:val="0"/>
          <w:sz w:val="24"/>
          <w:szCs w:val="24"/>
          <w:highlight w:val="none"/>
        </w:rPr>
        <w:t>及授权代表人身份证复印件</w:t>
      </w:r>
      <w:r>
        <w:rPr>
          <w:rFonts w:hint="eastAsia" w:ascii="宋体" w:hAnsi="宋体"/>
          <w:color w:val="auto"/>
          <w:sz w:val="24"/>
          <w:szCs w:val="24"/>
          <w:highlight w:val="none"/>
        </w:rPr>
        <w:t>（投标签字非法定代表人签署需出具）；</w:t>
      </w:r>
    </w:p>
    <w:p>
      <w:pPr>
        <w:adjustRightInd w:val="0"/>
        <w:snapToGrid w:val="0"/>
        <w:spacing w:line="276" w:lineRule="auto"/>
        <w:ind w:right="105" w:rightChars="50"/>
        <w:jc w:val="left"/>
        <w:rPr>
          <w:rFonts w:hint="eastAsia" w:ascii="宋体" w:hAnsi="宋体"/>
          <w:color w:val="auto"/>
          <w:sz w:val="24"/>
          <w:szCs w:val="24"/>
          <w:highlight w:val="none"/>
        </w:rPr>
      </w:pPr>
      <w:r>
        <w:rPr>
          <w:rFonts w:ascii="宋体" w:hAnsi="宋体" w:eastAsia="宋体"/>
          <w:bCs/>
          <w:color w:val="auto"/>
          <w:sz w:val="24"/>
          <w:szCs w:val="24"/>
          <w:highlight w:val="none"/>
        </w:rPr>
        <w:t>3.5</w:t>
      </w:r>
      <w:r>
        <w:rPr>
          <w:rFonts w:hint="eastAsia" w:ascii="宋体" w:hAnsi="宋体"/>
          <w:color w:val="auto"/>
          <w:sz w:val="24"/>
          <w:szCs w:val="24"/>
          <w:highlight w:val="none"/>
        </w:rPr>
        <w:t>企业能有效识别二维码的营业执照复印件；</w:t>
      </w:r>
    </w:p>
    <w:p>
      <w:pPr>
        <w:adjustRightInd w:val="0"/>
        <w:snapToGrid w:val="0"/>
        <w:spacing w:line="276" w:lineRule="auto"/>
        <w:ind w:right="105" w:rightChars="50"/>
        <w:jc w:val="left"/>
        <w:rPr>
          <w:rFonts w:hint="default" w:ascii="宋体" w:hAnsi="宋体" w:eastAsiaTheme="minorEastAsia"/>
          <w:color w:val="auto"/>
          <w:sz w:val="24"/>
          <w:szCs w:val="24"/>
          <w:highlight w:val="none"/>
          <w:lang w:val="en-US" w:eastAsia="zh-CN"/>
        </w:rPr>
      </w:pPr>
      <w:r>
        <w:rPr>
          <w:rFonts w:hint="eastAsia" w:ascii="宋体" w:hAnsi="宋体"/>
          <w:color w:val="auto"/>
          <w:sz w:val="24"/>
          <w:szCs w:val="24"/>
          <w:highlight w:val="none"/>
          <w:lang w:val="en-US" w:eastAsia="zh-CN"/>
        </w:rPr>
        <w:t>3.6谈判承诺书（如谈判代表未到现场，则需提供）</w:t>
      </w:r>
    </w:p>
    <w:p>
      <w:pPr>
        <w:adjustRightInd w:val="0"/>
        <w:snapToGrid w:val="0"/>
        <w:spacing w:line="276" w:lineRule="auto"/>
        <w:ind w:right="105" w:rightChars="50"/>
        <w:jc w:val="left"/>
        <w:rPr>
          <w:rFonts w:ascii="宋体" w:hAnsi="宋体"/>
          <w:color w:val="auto"/>
          <w:sz w:val="24"/>
          <w:szCs w:val="24"/>
          <w:highlight w:val="none"/>
        </w:rPr>
      </w:pPr>
      <w:r>
        <w:rPr>
          <w:rFonts w:ascii="宋体" w:hAnsi="宋体"/>
          <w:color w:val="auto"/>
          <w:sz w:val="24"/>
          <w:szCs w:val="24"/>
          <w:highlight w:val="none"/>
        </w:rPr>
        <w:t>3.</w:t>
      </w:r>
      <w:r>
        <w:rPr>
          <w:rFonts w:hint="eastAsia" w:ascii="宋体" w:hAnsi="宋体"/>
          <w:color w:val="auto"/>
          <w:sz w:val="24"/>
          <w:szCs w:val="24"/>
          <w:highlight w:val="none"/>
          <w:lang w:val="en-US" w:eastAsia="zh-CN"/>
        </w:rPr>
        <w:t>7</w:t>
      </w:r>
      <w:r>
        <w:rPr>
          <w:rFonts w:hint="eastAsia" w:ascii="宋体" w:hAnsi="宋体"/>
          <w:color w:val="auto"/>
          <w:sz w:val="24"/>
          <w:szCs w:val="24"/>
          <w:highlight w:val="none"/>
        </w:rPr>
        <w:t>报价方认为需要提供的其他资料。</w:t>
      </w:r>
    </w:p>
    <w:p>
      <w:pPr>
        <w:numPr>
          <w:ilvl w:val="0"/>
          <w:numId w:val="2"/>
        </w:numPr>
        <w:adjustRightInd w:val="0"/>
        <w:snapToGrid w:val="0"/>
        <w:spacing w:line="276" w:lineRule="auto"/>
        <w:ind w:right="105" w:rightChars="50"/>
        <w:jc w:val="left"/>
        <w:rPr>
          <w:rFonts w:ascii="宋体" w:hAnsi="宋体"/>
          <w:bCs/>
          <w:color w:val="auto"/>
          <w:sz w:val="24"/>
          <w:szCs w:val="24"/>
          <w:highlight w:val="none"/>
        </w:rPr>
      </w:pPr>
      <w:bookmarkStart w:id="16" w:name="_Toc260238416"/>
      <w:bookmarkStart w:id="17" w:name="_Toc24083813"/>
      <w:bookmarkStart w:id="18" w:name="_Toc12004_WPSOffice_Level2"/>
      <w:bookmarkStart w:id="19" w:name="_Toc229281571"/>
      <w:bookmarkStart w:id="20" w:name="_Toc17624_WPSOffice_Level2"/>
      <w:bookmarkStart w:id="21" w:name="_Toc33340838"/>
      <w:bookmarkStart w:id="22" w:name="_Toc293413480"/>
      <w:bookmarkStart w:id="23" w:name="_Toc1802_WPSOffice_Level2"/>
      <w:bookmarkStart w:id="24" w:name="_Toc24455233"/>
      <w:bookmarkStart w:id="25" w:name="_Toc260230612"/>
      <w:r>
        <w:rPr>
          <w:rFonts w:hint="eastAsia" w:ascii="宋体" w:hAnsi="宋体"/>
          <w:bCs/>
          <w:color w:val="auto"/>
          <w:sz w:val="24"/>
          <w:szCs w:val="24"/>
          <w:highlight w:val="none"/>
        </w:rPr>
        <w:t>报价文件的递交</w:t>
      </w:r>
      <w:bookmarkEnd w:id="16"/>
      <w:bookmarkEnd w:id="17"/>
      <w:bookmarkEnd w:id="18"/>
      <w:bookmarkEnd w:id="19"/>
      <w:bookmarkEnd w:id="20"/>
      <w:bookmarkEnd w:id="21"/>
      <w:bookmarkEnd w:id="22"/>
      <w:bookmarkEnd w:id="23"/>
      <w:bookmarkEnd w:id="24"/>
      <w:bookmarkEnd w:id="25"/>
    </w:p>
    <w:p>
      <w:pPr>
        <w:numPr>
          <w:ilvl w:val="0"/>
          <w:numId w:val="5"/>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color w:val="auto"/>
          <w:sz w:val="24"/>
          <w:szCs w:val="24"/>
          <w:highlight w:val="none"/>
        </w:rPr>
        <w:t>报价文件的递交。报价方必须按报价邀请函的要求在规定的时间内将报价文件送达或</w:t>
      </w:r>
      <w:r>
        <w:rPr>
          <w:rFonts w:ascii="宋体" w:hAnsi="宋体"/>
          <w:color w:val="auto"/>
          <w:sz w:val="24"/>
          <w:szCs w:val="24"/>
          <w:highlight w:val="none"/>
        </w:rPr>
        <w:t>邮寄到</w:t>
      </w:r>
      <w:r>
        <w:rPr>
          <w:rFonts w:hint="eastAsia" w:ascii="宋体" w:hAnsi="宋体"/>
          <w:color w:val="auto"/>
          <w:sz w:val="24"/>
          <w:szCs w:val="24"/>
          <w:highlight w:val="none"/>
        </w:rPr>
        <w:t xml:space="preserve">规定的地点。 </w:t>
      </w:r>
    </w:p>
    <w:p>
      <w:pPr>
        <w:numPr>
          <w:ilvl w:val="0"/>
          <w:numId w:val="5"/>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eastAsia="宋体" w:cs="宋体"/>
          <w:color w:val="auto"/>
          <w:kern w:val="0"/>
          <w:sz w:val="24"/>
          <w:szCs w:val="24"/>
          <w:highlight w:val="none"/>
        </w:rPr>
        <w:t>在截止时间以后送达的报价文件，采购方有权拒绝接收。</w:t>
      </w:r>
    </w:p>
    <w:p>
      <w:pPr>
        <w:numPr>
          <w:ilvl w:val="0"/>
          <w:numId w:val="5"/>
        </w:numPr>
        <w:adjustRightInd w:val="0"/>
        <w:snapToGrid w:val="0"/>
        <w:spacing w:line="276" w:lineRule="auto"/>
        <w:ind w:right="105" w:rightChars="50"/>
        <w:jc w:val="left"/>
        <w:rPr>
          <w:rFonts w:ascii="宋体" w:hAnsi="宋体"/>
          <w:color w:val="auto"/>
          <w:sz w:val="24"/>
          <w:szCs w:val="24"/>
          <w:highlight w:val="none"/>
        </w:rPr>
      </w:pPr>
      <w:r>
        <w:rPr>
          <w:rFonts w:hint="eastAsia" w:ascii="宋体" w:hAnsi="宋体"/>
          <w:color w:val="auto"/>
          <w:sz w:val="24"/>
          <w:szCs w:val="24"/>
          <w:highlight w:val="none"/>
        </w:rPr>
        <w:t>报价文件的修改与撤回。报价方在递交报价文件以后，在规定的报价截止时间之前，可以书面形式向采购方递交请求修改其报价文件的通知。但在报价截止时间以后不能修改报价文件。修改后的报价文件应按采购文件要求密封并加盖公章等，并在报价截止时间前送达采购方。</w:t>
      </w:r>
    </w:p>
    <w:p>
      <w:pPr>
        <w:numPr>
          <w:ilvl w:val="0"/>
          <w:numId w:val="2"/>
        </w:numPr>
        <w:kinsoku w:val="0"/>
        <w:overflowPunct w:val="0"/>
        <w:autoSpaceDE w:val="0"/>
        <w:autoSpaceDN w:val="0"/>
        <w:spacing w:line="276" w:lineRule="auto"/>
        <w:jc w:val="left"/>
        <w:rPr>
          <w:rFonts w:ascii="宋体" w:hAnsi="宋体"/>
          <w:b/>
          <w:bCs/>
          <w:color w:val="auto"/>
          <w:sz w:val="24"/>
          <w:szCs w:val="24"/>
          <w:highlight w:val="none"/>
        </w:rPr>
      </w:pPr>
      <w:bookmarkStart w:id="26" w:name="_Toc22570_WPSOffice_Level2"/>
      <w:r>
        <w:rPr>
          <w:rFonts w:hint="eastAsia" w:ascii="宋体" w:hAnsi="宋体"/>
          <w:b/>
          <w:bCs/>
          <w:color w:val="auto"/>
          <w:sz w:val="24"/>
          <w:szCs w:val="24"/>
          <w:highlight w:val="none"/>
        </w:rPr>
        <w:t>谈判与评</w:t>
      </w:r>
      <w:bookmarkEnd w:id="26"/>
      <w:r>
        <w:rPr>
          <w:rFonts w:hint="eastAsia" w:ascii="宋体" w:hAnsi="宋体"/>
          <w:b/>
          <w:bCs/>
          <w:color w:val="auto"/>
          <w:sz w:val="24"/>
          <w:szCs w:val="24"/>
          <w:highlight w:val="none"/>
        </w:rPr>
        <w:t>审</w:t>
      </w:r>
    </w:p>
    <w:p>
      <w:pPr>
        <w:numPr>
          <w:ilvl w:val="0"/>
          <w:numId w:val="6"/>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谈判</w:t>
      </w:r>
    </w:p>
    <w:p>
      <w:pPr>
        <w:numPr>
          <w:ilvl w:val="0"/>
          <w:numId w:val="7"/>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采购方将按照采购公告中规定的时间，在厦门市海沧区阳光西路288号厦门海发环保能源股份有限公司二楼开标室谈判。</w:t>
      </w:r>
    </w:p>
    <w:p>
      <w:pPr>
        <w:numPr>
          <w:ilvl w:val="0"/>
          <w:numId w:val="7"/>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谈判时</w:t>
      </w:r>
      <w:r>
        <w:rPr>
          <w:rFonts w:hint="eastAsia" w:ascii="宋体" w:hAnsi="宋体" w:eastAsia="宋体" w:cs="宋体"/>
          <w:color w:val="auto"/>
          <w:kern w:val="0"/>
          <w:sz w:val="24"/>
          <w:szCs w:val="24"/>
          <w:highlight w:val="none"/>
        </w:rPr>
        <w:t>邀请报价方现场参与</w:t>
      </w:r>
      <w:r>
        <w:rPr>
          <w:rFonts w:hint="eastAsia" w:ascii="宋体" w:hAnsi="宋体" w:eastAsia="宋体" w:cs="宋体"/>
          <w:color w:val="auto"/>
          <w:kern w:val="0"/>
          <w:sz w:val="24"/>
          <w:szCs w:val="24"/>
          <w:highlight w:val="none"/>
          <w:lang w:val="en-US" w:eastAsia="zh-CN"/>
        </w:rPr>
        <w:t>谈判</w:t>
      </w:r>
      <w:r>
        <w:rPr>
          <w:rFonts w:hint="eastAsia" w:ascii="宋体" w:hAnsi="宋体"/>
          <w:color w:val="auto"/>
          <w:sz w:val="24"/>
          <w:szCs w:val="24"/>
          <w:highlight w:val="none"/>
        </w:rPr>
        <w:t>。</w:t>
      </w:r>
    </w:p>
    <w:p>
      <w:pPr>
        <w:numPr>
          <w:ilvl w:val="0"/>
          <w:numId w:val="7"/>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报价方代表可监督检查报价文件的密封情况。</w:t>
      </w:r>
    </w:p>
    <w:p>
      <w:pPr>
        <w:numPr>
          <w:ilvl w:val="0"/>
          <w:numId w:val="7"/>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谈判时，报价文件有下列情况之一者将被视为废标。</w:t>
      </w:r>
    </w:p>
    <w:p>
      <w:pPr>
        <w:numPr>
          <w:ilvl w:val="0"/>
          <w:numId w:val="8"/>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报价文件未标识和密封；</w:t>
      </w:r>
    </w:p>
    <w:p>
      <w:pPr>
        <w:numPr>
          <w:ilvl w:val="0"/>
          <w:numId w:val="8"/>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报价文件密封处未加盖报价方公章；</w:t>
      </w:r>
    </w:p>
    <w:p>
      <w:pPr>
        <w:numPr>
          <w:ilvl w:val="0"/>
          <w:numId w:val="8"/>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报价截止时间以后送达的报价文件。</w:t>
      </w:r>
    </w:p>
    <w:p>
      <w:pPr>
        <w:numPr>
          <w:ilvl w:val="0"/>
          <w:numId w:val="7"/>
        </w:numPr>
        <w:kinsoku w:val="0"/>
        <w:overflowPunct w:val="0"/>
        <w:autoSpaceDE w:val="0"/>
        <w:autoSpaceDN w:val="0"/>
        <w:spacing w:line="276" w:lineRule="auto"/>
        <w:jc w:val="left"/>
        <w:rPr>
          <w:rFonts w:ascii="宋体" w:hAnsi="宋体"/>
          <w:color w:val="auto"/>
          <w:sz w:val="24"/>
          <w:szCs w:val="24"/>
          <w:highlight w:val="none"/>
        </w:rPr>
      </w:pPr>
      <w:bookmarkStart w:id="27" w:name="_Toc441500070"/>
      <w:bookmarkStart w:id="28" w:name="_Toc422416153"/>
      <w:bookmarkStart w:id="29" w:name="_Toc439661731"/>
      <w:bookmarkStart w:id="30" w:name="_Toc420577581"/>
      <w:bookmarkStart w:id="31" w:name="_Toc449373772"/>
      <w:bookmarkStart w:id="32" w:name="_Toc422906617"/>
      <w:bookmarkStart w:id="33" w:name="_Toc449635679"/>
      <w:bookmarkStart w:id="34" w:name="_Toc444614425"/>
      <w:bookmarkStart w:id="35" w:name="_Toc425266324"/>
      <w:bookmarkStart w:id="36" w:name="_Toc440899515"/>
      <w:bookmarkStart w:id="37" w:name="_Toc457383223"/>
      <w:bookmarkStart w:id="38" w:name="_Toc462647056"/>
      <w:bookmarkStart w:id="39" w:name="_Toc445991603"/>
      <w:bookmarkStart w:id="40" w:name="_Toc418522815"/>
      <w:bookmarkStart w:id="41" w:name="_Toc445901129"/>
      <w:bookmarkStart w:id="42" w:name="_Toc421773672"/>
      <w:bookmarkStart w:id="43" w:name="_Toc445748261"/>
      <w:bookmarkStart w:id="44" w:name="_Toc441224335"/>
      <w:r>
        <w:rPr>
          <w:rFonts w:hint="eastAsia" w:ascii="宋体" w:hAnsi="宋体"/>
          <w:color w:val="auto"/>
          <w:sz w:val="24"/>
          <w:szCs w:val="24"/>
          <w:highlight w:val="none"/>
        </w:rPr>
        <w:t>本项目若属于首次进行竞争性谈判采购的，在采购过程中出现下列情况的，本次谈判失败。</w:t>
      </w:r>
    </w:p>
    <w:p>
      <w:pPr>
        <w:numPr>
          <w:ilvl w:val="0"/>
          <w:numId w:val="9"/>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在规定的报价截止时间前递交报价文件的供应商不足三家的；</w:t>
      </w:r>
    </w:p>
    <w:p>
      <w:pPr>
        <w:numPr>
          <w:ilvl w:val="0"/>
          <w:numId w:val="9"/>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能满足采购文件实质性要求的有效供应商不足三家的；</w:t>
      </w:r>
    </w:p>
    <w:p>
      <w:pPr>
        <w:kinsoku w:val="0"/>
        <w:overflowPunct w:val="0"/>
        <w:autoSpaceDE w:val="0"/>
        <w:autoSpaceDN w:val="0"/>
        <w:spacing w:line="276" w:lineRule="auto"/>
        <w:jc w:val="left"/>
        <w:rPr>
          <w:rFonts w:hint="eastAsia" w:ascii="宋体" w:hAnsi="宋体"/>
          <w:color w:val="auto"/>
          <w:sz w:val="24"/>
          <w:szCs w:val="24"/>
          <w:highlight w:val="none"/>
        </w:rPr>
      </w:pPr>
      <w:r>
        <w:rPr>
          <w:rFonts w:hint="eastAsia" w:ascii="宋体" w:hAnsi="宋体"/>
          <w:color w:val="auto"/>
          <w:sz w:val="24"/>
          <w:szCs w:val="24"/>
          <w:highlight w:val="none"/>
        </w:rPr>
        <w:t>5.1.</w:t>
      </w:r>
      <w:r>
        <w:rPr>
          <w:rFonts w:ascii="宋体" w:hAnsi="宋体"/>
          <w:color w:val="auto"/>
          <w:sz w:val="24"/>
          <w:szCs w:val="24"/>
          <w:highlight w:val="none"/>
        </w:rPr>
        <w:t>6</w:t>
      </w:r>
      <w:r>
        <w:rPr>
          <w:rFonts w:hint="eastAsia" w:ascii="宋体" w:hAnsi="宋体"/>
          <w:color w:val="auto"/>
          <w:sz w:val="24"/>
          <w:szCs w:val="24"/>
          <w:highlight w:val="none"/>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pPr>
        <w:kinsoku w:val="0"/>
        <w:overflowPunct w:val="0"/>
        <w:autoSpaceDE w:val="0"/>
        <w:autoSpaceDN w:val="0"/>
        <w:spacing w:line="276" w:lineRule="auto"/>
        <w:jc w:val="left"/>
        <w:rPr>
          <w:rFonts w:hint="default" w:ascii="宋体" w:hAnsi="宋体" w:eastAsiaTheme="minorEastAsia"/>
          <w:color w:val="auto"/>
          <w:sz w:val="24"/>
          <w:szCs w:val="24"/>
          <w:highlight w:val="none"/>
          <w:lang w:val="en-US" w:eastAsia="zh-CN"/>
        </w:rPr>
      </w:pPr>
      <w:r>
        <w:rPr>
          <w:rFonts w:hint="eastAsia" w:ascii="宋体" w:hAnsi="宋体"/>
          <w:color w:val="auto"/>
          <w:sz w:val="24"/>
          <w:szCs w:val="24"/>
          <w:highlight w:val="none"/>
          <w:lang w:val="en-US" w:eastAsia="zh-CN"/>
        </w:rPr>
        <w:t>5.1.7</w:t>
      </w:r>
      <w:r>
        <w:rPr>
          <w:rFonts w:hint="eastAsia" w:ascii="宋体" w:hAnsi="宋体" w:eastAsia="宋体" w:cs="宋体"/>
          <w:b w:val="0"/>
          <w:bCs/>
          <w:color w:val="auto"/>
          <w:sz w:val="24"/>
          <w:szCs w:val="24"/>
          <w:highlight w:val="none"/>
        </w:rPr>
        <w:t>响应报价方代表参加谈判并签署报价文件，谈判时应出示身份证原件。</w:t>
      </w:r>
    </w:p>
    <w:p>
      <w:pPr>
        <w:numPr>
          <w:ilvl w:val="0"/>
          <w:numId w:val="6"/>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评审</w:t>
      </w:r>
    </w:p>
    <w:p>
      <w:pPr>
        <w:numPr>
          <w:ilvl w:val="0"/>
          <w:numId w:val="10"/>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评审谈判小组对具备实质性的报价文件进行评估和比较。评审谈判小组成员由采购方相关人员组成，评审谈判小组将严格按照谈判文件的要求和条件对所有报价文件进行评审。</w:t>
      </w:r>
      <w:r>
        <w:rPr>
          <w:rFonts w:hint="eastAsia" w:ascii="宋体" w:hAnsi="宋体" w:eastAsia="宋体" w:cs="宋体"/>
          <w:b w:val="0"/>
          <w:bCs/>
          <w:color w:val="auto"/>
          <w:sz w:val="24"/>
          <w:szCs w:val="24"/>
          <w:highlight w:val="none"/>
        </w:rPr>
        <w:t>谈判小组从通过资格和符合性审查且报价最低的前三位报价方进行谈判。谈判小组所有成员应当</w:t>
      </w:r>
      <w:r>
        <w:rPr>
          <w:rFonts w:hint="eastAsia" w:ascii="宋体" w:hAnsi="宋体" w:eastAsia="宋体" w:cs="宋体"/>
          <w:b w:val="0"/>
          <w:bCs/>
          <w:color w:val="auto"/>
          <w:sz w:val="24"/>
          <w:szCs w:val="24"/>
          <w:highlight w:val="none"/>
          <w:lang w:val="en-US" w:eastAsia="zh-CN"/>
        </w:rPr>
        <w:t>全员到齐</w:t>
      </w:r>
      <w:r>
        <w:rPr>
          <w:rFonts w:hint="eastAsia" w:ascii="宋体" w:hAnsi="宋体" w:eastAsia="宋体" w:cs="宋体"/>
          <w:b w:val="0"/>
          <w:bCs/>
          <w:color w:val="auto"/>
          <w:sz w:val="24"/>
          <w:szCs w:val="24"/>
          <w:highlight w:val="none"/>
        </w:rPr>
        <w:t>与单一报价方分别进行谈判，谈判顺序采用随机抽取的方法确认。</w:t>
      </w:r>
    </w:p>
    <w:p>
      <w:pPr>
        <w:numPr>
          <w:ilvl w:val="0"/>
          <w:numId w:val="10"/>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eastAsia="宋体" w:cs="宋体"/>
          <w:b w:val="0"/>
          <w:bCs/>
          <w:color w:val="auto"/>
          <w:sz w:val="24"/>
          <w:szCs w:val="24"/>
          <w:highlight w:val="none"/>
        </w:rPr>
        <w:t>谈判小组对采购文件和报价文件提出重点的谈判内容，根据采购文件及有关规定，与已递送报价文件的各报价方代表进行一轮谈判。报价方代表未到现场，</w:t>
      </w:r>
      <w:r>
        <w:rPr>
          <w:rFonts w:hint="eastAsia" w:ascii="宋体" w:hAnsi="宋体" w:eastAsia="宋体" w:cs="宋体"/>
          <w:b w:val="0"/>
          <w:bCs/>
          <w:color w:val="auto"/>
          <w:sz w:val="24"/>
          <w:szCs w:val="24"/>
          <w:highlight w:val="none"/>
          <w:lang w:val="en-US" w:eastAsia="zh-CN"/>
        </w:rPr>
        <w:t>应在响应报价文件中出具谈判承诺书。</w:t>
      </w:r>
    </w:p>
    <w:p>
      <w:pPr>
        <w:numPr>
          <w:ilvl w:val="0"/>
          <w:numId w:val="10"/>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符合性审查，如发现下列情况之一，将按废标处理。</w:t>
      </w:r>
    </w:p>
    <w:p>
      <w:pPr>
        <w:numPr>
          <w:ilvl w:val="0"/>
          <w:numId w:val="11"/>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资格证明文件不全的；</w:t>
      </w:r>
    </w:p>
    <w:p>
      <w:pPr>
        <w:numPr>
          <w:ilvl w:val="0"/>
          <w:numId w:val="11"/>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报价文件未按谈判文件规定盖报价单位公章、签字、</w:t>
      </w:r>
      <w:r>
        <w:rPr>
          <w:rFonts w:ascii="宋体" w:hAnsi="宋体"/>
          <w:color w:val="auto"/>
          <w:sz w:val="24"/>
          <w:szCs w:val="24"/>
          <w:highlight w:val="none"/>
        </w:rPr>
        <w:t>填写日期</w:t>
      </w:r>
      <w:r>
        <w:rPr>
          <w:rFonts w:hint="eastAsia" w:ascii="宋体" w:hAnsi="宋体"/>
          <w:color w:val="auto"/>
          <w:sz w:val="24"/>
          <w:szCs w:val="24"/>
          <w:highlight w:val="none"/>
        </w:rPr>
        <w:t>；</w:t>
      </w:r>
    </w:p>
    <w:p>
      <w:pPr>
        <w:numPr>
          <w:ilvl w:val="0"/>
          <w:numId w:val="11"/>
        </w:numPr>
        <w:kinsoku w:val="0"/>
        <w:overflowPunct w:val="0"/>
        <w:autoSpaceDE w:val="0"/>
        <w:autoSpaceDN w:val="0"/>
        <w:spacing w:line="276" w:lineRule="auto"/>
        <w:jc w:val="left"/>
        <w:rPr>
          <w:rFonts w:ascii="宋体" w:hAnsi="宋体"/>
          <w:color w:val="auto"/>
          <w:sz w:val="24"/>
          <w:szCs w:val="24"/>
          <w:highlight w:val="none"/>
        </w:rPr>
      </w:pPr>
      <w:r>
        <w:rPr>
          <w:rFonts w:hint="eastAsia" w:ascii="宋体" w:hAnsi="宋体"/>
          <w:color w:val="auto"/>
          <w:sz w:val="24"/>
          <w:szCs w:val="24"/>
          <w:highlight w:val="none"/>
        </w:rPr>
        <w:t>报价文件附有采购方不能接受的条件的。</w:t>
      </w:r>
    </w:p>
    <w:p>
      <w:pPr>
        <w:tabs>
          <w:tab w:val="left" w:pos="0"/>
        </w:tabs>
        <w:autoSpaceDE/>
        <w:autoSpaceDN/>
        <w:snapToGrid w:val="0"/>
        <w:spacing w:line="360" w:lineRule="auto"/>
        <w:ind w:right="105" w:rightChars="50"/>
        <w:jc w:val="left"/>
        <w:textAlignment w:val="auto"/>
        <w:rPr>
          <w:rFonts w:hint="eastAsia" w:ascii="宋体" w:hAnsi="宋体" w:eastAsia="宋体"/>
          <w:bCs/>
          <w:sz w:val="24"/>
          <w:szCs w:val="24"/>
          <w:lang w:val="en-US" w:eastAsia="zh-CN"/>
        </w:rPr>
      </w:pPr>
      <w:r>
        <w:rPr>
          <w:rFonts w:hint="eastAsia" w:ascii="宋体" w:hAnsi="宋体"/>
          <w:bCs/>
          <w:sz w:val="24"/>
          <w:szCs w:val="24"/>
        </w:rPr>
        <w:t>5.2.4谈判小组与报价方就谈判文件技术、商务、合同条款等内容进行谈判，报价方第二次报价不得高于第一次报价；报价方代表未到谈判现场，应在响应报价文件中出具谈判承诺书</w:t>
      </w:r>
      <w:r>
        <w:rPr>
          <w:rFonts w:hint="eastAsia" w:ascii="宋体" w:hAnsi="宋体"/>
          <w:bCs/>
          <w:sz w:val="24"/>
          <w:szCs w:val="24"/>
          <w:lang w:val="en-US" w:eastAsia="zh-CN"/>
        </w:rPr>
        <w:t xml:space="preserve"> </w:t>
      </w:r>
      <w:r>
        <w:rPr>
          <w:rFonts w:hint="eastAsia" w:ascii="宋体" w:hAnsi="宋体"/>
          <w:bCs/>
          <w:sz w:val="24"/>
          <w:szCs w:val="24"/>
          <w:lang w:eastAsia="zh-CN"/>
        </w:rPr>
        <w:t>。</w:t>
      </w:r>
    </w:p>
    <w:p>
      <w:pPr>
        <w:tabs>
          <w:tab w:val="left" w:pos="0"/>
        </w:tabs>
        <w:kinsoku w:val="0"/>
        <w:overflowPunct w:val="0"/>
        <w:adjustRightInd/>
        <w:spacing w:line="360" w:lineRule="auto"/>
        <w:jc w:val="left"/>
        <w:textAlignment w:val="auto"/>
        <w:rPr>
          <w:rFonts w:ascii="宋体" w:hAnsi="宋体"/>
          <w:bCs/>
          <w:sz w:val="24"/>
          <w:szCs w:val="24"/>
        </w:rPr>
      </w:pPr>
      <w:r>
        <w:rPr>
          <w:rFonts w:hint="eastAsia" w:ascii="宋体" w:hAnsi="宋体"/>
          <w:bCs/>
          <w:sz w:val="24"/>
          <w:szCs w:val="24"/>
        </w:rPr>
        <w:t>5.2.5谈判过程中，响应供应商提交的澄清文件和最终承诺书，应由响应供应商法定代表人或授权代表签署后生效，响应供应商应受其约束。</w:t>
      </w:r>
    </w:p>
    <w:p>
      <w:pPr>
        <w:kinsoku w:val="0"/>
        <w:overflowPunct w:val="0"/>
        <w:autoSpaceDE w:val="0"/>
        <w:autoSpaceDN w:val="0"/>
        <w:spacing w:line="276" w:lineRule="auto"/>
        <w:jc w:val="left"/>
        <w:rPr>
          <w:rFonts w:ascii="宋体" w:hAnsi="宋体" w:eastAsia="宋体" w:cs="宋体"/>
          <w:color w:val="auto"/>
          <w:kern w:val="0"/>
          <w:sz w:val="24"/>
          <w:szCs w:val="24"/>
          <w:highlight w:val="none"/>
        </w:rPr>
      </w:pPr>
      <w:r>
        <w:rPr>
          <w:rFonts w:hint="eastAsia" w:ascii="宋体" w:hAnsi="宋体" w:eastAsia="宋体" w:cs="宋体"/>
          <w:bCs/>
          <w:color w:val="auto"/>
          <w:kern w:val="0"/>
          <w:sz w:val="24"/>
          <w:szCs w:val="24"/>
          <w:highlight w:val="none"/>
        </w:rPr>
        <w:t>6</w:t>
      </w:r>
      <w:r>
        <w:rPr>
          <w:rFonts w:ascii="宋体" w:hAnsi="宋体" w:eastAsia="宋体" w:cs="宋体"/>
          <w:bCs/>
          <w:color w:val="auto"/>
          <w:kern w:val="0"/>
          <w:sz w:val="24"/>
          <w:szCs w:val="24"/>
          <w:highlight w:val="none"/>
        </w:rPr>
        <w:t xml:space="preserve"> </w:t>
      </w:r>
      <w:r>
        <w:rPr>
          <w:rFonts w:hint="eastAsia" w:ascii="宋体" w:hAnsi="宋体" w:eastAsia="宋体" w:cs="宋体"/>
          <w:color w:val="auto"/>
          <w:kern w:val="0"/>
          <w:sz w:val="24"/>
          <w:szCs w:val="24"/>
          <w:highlight w:val="none"/>
        </w:rPr>
        <w:t>成交通知书</w:t>
      </w:r>
    </w:p>
    <w:p>
      <w:pPr>
        <w:kinsoku w:val="0"/>
        <w:overflowPunct w:val="0"/>
        <w:autoSpaceDE w:val="0"/>
        <w:autoSpaceDN w:val="0"/>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6.1评标结束后，采购方根据评标结果，报价文件向成交供应商发出《成交通知书》。《成交通知书》是合同文件的组成部分。</w:t>
      </w:r>
    </w:p>
    <w:p>
      <w:pPr>
        <w:kinsoku w:val="0"/>
        <w:overflowPunct w:val="0"/>
        <w:autoSpaceDE w:val="0"/>
        <w:autoSpaceDN w:val="0"/>
        <w:spacing w:line="276" w:lineRule="auto"/>
        <w:jc w:val="left"/>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6.2成交供应商应在接到成交通知书后，五个工作日内与采购方签订合同，采购方和成交供应商不得另行订立背离合同实质性内容的其它协议。</w:t>
      </w:r>
    </w:p>
    <w:p>
      <w:pPr>
        <w:kinsoku w:val="0"/>
        <w:overflowPunct w:val="0"/>
        <w:autoSpaceDE w:val="0"/>
        <w:autoSpaceDN w:val="0"/>
        <w:spacing w:line="276" w:lineRule="auto"/>
        <w:jc w:val="left"/>
        <w:rPr>
          <w:rFonts w:ascii="宋体" w:hAnsi="宋体" w:eastAsia="宋体"/>
          <w:color w:val="auto"/>
          <w:sz w:val="24"/>
          <w:szCs w:val="24"/>
          <w:highlight w:val="none"/>
        </w:rPr>
      </w:pPr>
      <w:r>
        <w:rPr>
          <w:rFonts w:hint="eastAsia" w:ascii="宋体" w:hAnsi="宋体" w:eastAsia="宋体" w:cs="宋体"/>
          <w:color w:val="auto"/>
          <w:kern w:val="0"/>
          <w:sz w:val="24"/>
          <w:szCs w:val="24"/>
          <w:highlight w:val="none"/>
        </w:rPr>
        <w:t>6.3成交供应商因不可抗力或者自身原因不能履行采购合同的，采购方可以与顺延第二成交供应商签订合同，以此类推。</w:t>
      </w:r>
    </w:p>
    <w:p>
      <w:pPr>
        <w:spacing w:line="276" w:lineRule="auto"/>
        <w:rPr>
          <w:b/>
          <w:color w:val="auto"/>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pStyle w:val="3"/>
        <w:spacing w:line="480" w:lineRule="auto"/>
        <w:rPr>
          <w:rFonts w:ascii="宋体" w:hAnsi="宋体"/>
          <w:color w:val="auto"/>
          <w:sz w:val="24"/>
          <w:szCs w:val="24"/>
          <w:highlight w:val="none"/>
        </w:rPr>
      </w:pPr>
    </w:p>
    <w:p>
      <w:pPr>
        <w:ind w:firstLine="480"/>
        <w:jc w:val="center"/>
        <w:rPr>
          <w:rFonts w:ascii="宋体" w:hAnsi="宋体" w:eastAsia="宋体"/>
          <w:color w:val="auto"/>
          <w:sz w:val="24"/>
          <w:szCs w:val="24"/>
          <w:highlight w:val="none"/>
        </w:rPr>
      </w:pPr>
    </w:p>
    <w:p>
      <w:pPr>
        <w:adjustRightInd w:val="0"/>
        <w:snapToGrid w:val="0"/>
        <w:spacing w:line="400" w:lineRule="atLeast"/>
        <w:ind w:right="105" w:rightChars="50"/>
        <w:jc w:val="center"/>
        <w:rPr>
          <w:rFonts w:ascii="宋体" w:hAnsi="宋体" w:eastAsia="宋体" w:cs="宋体"/>
          <w:b/>
          <w:color w:val="auto"/>
          <w:kern w:val="0"/>
          <w:sz w:val="36"/>
          <w:szCs w:val="36"/>
          <w:highlight w:val="none"/>
        </w:rPr>
      </w:pPr>
      <w:r>
        <w:rPr>
          <w:rFonts w:hint="eastAsia" w:ascii="宋体" w:hAnsi="宋体" w:eastAsia="宋体"/>
          <w:b/>
          <w:color w:val="auto"/>
          <w:sz w:val="36"/>
          <w:szCs w:val="36"/>
          <w:highlight w:val="none"/>
        </w:rPr>
        <w:t>第</w:t>
      </w:r>
      <w:r>
        <w:rPr>
          <w:rFonts w:ascii="宋体" w:hAnsi="宋体" w:eastAsia="宋体"/>
          <w:b/>
          <w:color w:val="auto"/>
          <w:sz w:val="36"/>
          <w:szCs w:val="36"/>
          <w:highlight w:val="none"/>
        </w:rPr>
        <w:t>三部分</w:t>
      </w:r>
      <w:r>
        <w:rPr>
          <w:rFonts w:ascii="宋体" w:hAnsi="宋体" w:eastAsia="宋体" w:cs="宋体"/>
          <w:b/>
          <w:color w:val="auto"/>
          <w:kern w:val="0"/>
          <w:sz w:val="36"/>
          <w:szCs w:val="36"/>
          <w:highlight w:val="none"/>
        </w:rPr>
        <w:t>采购项目及各项</w:t>
      </w:r>
      <w:r>
        <w:rPr>
          <w:rFonts w:hint="eastAsia" w:ascii="宋体" w:hAnsi="宋体" w:eastAsia="宋体" w:cs="宋体"/>
          <w:b/>
          <w:color w:val="auto"/>
          <w:kern w:val="0"/>
          <w:sz w:val="36"/>
          <w:szCs w:val="36"/>
          <w:highlight w:val="none"/>
        </w:rPr>
        <w:t>要求</w:t>
      </w:r>
    </w:p>
    <w:p>
      <w:pPr>
        <w:adjustRightInd w:val="0"/>
        <w:snapToGrid w:val="0"/>
        <w:spacing w:line="276" w:lineRule="auto"/>
        <w:ind w:right="105" w:rightChars="50"/>
        <w:jc w:val="center"/>
        <w:rPr>
          <w:rFonts w:ascii="宋体" w:hAnsi="宋体"/>
          <w:b/>
          <w:color w:val="auto"/>
          <w:sz w:val="36"/>
          <w:szCs w:val="36"/>
          <w:highlight w:val="none"/>
        </w:rPr>
      </w:pPr>
    </w:p>
    <w:p>
      <w:pPr>
        <w:numPr>
          <w:ilvl w:val="0"/>
          <w:numId w:val="12"/>
        </w:numPr>
        <w:adjustRightInd w:val="0"/>
        <w:snapToGrid w:val="0"/>
        <w:spacing w:line="276" w:lineRule="auto"/>
        <w:ind w:right="105" w:rightChars="50"/>
        <w:jc w:val="left"/>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采购项目概况</w:t>
      </w:r>
    </w:p>
    <w:p>
      <w:pPr>
        <w:spacing w:line="276" w:lineRule="auto"/>
        <w:ind w:firstLine="480"/>
        <w:rPr>
          <w:rFonts w:ascii="宋体" w:hAnsi="宋体" w:eastAsia="宋体"/>
          <w:color w:val="auto"/>
          <w:sz w:val="24"/>
          <w:szCs w:val="24"/>
          <w:highlight w:val="none"/>
        </w:rPr>
      </w:pPr>
      <w:r>
        <w:rPr>
          <w:rFonts w:hint="eastAsia" w:ascii="宋体" w:hAnsi="宋体" w:eastAsia="宋体" w:cs="宋体"/>
          <w:color w:val="auto"/>
          <w:kern w:val="0"/>
          <w:sz w:val="24"/>
          <w:szCs w:val="24"/>
          <w:highlight w:val="none"/>
        </w:rPr>
        <w:t>本</w:t>
      </w:r>
      <w:r>
        <w:rPr>
          <w:rFonts w:ascii="宋体" w:hAnsi="宋体" w:eastAsia="宋体" w:cs="宋体"/>
          <w:color w:val="auto"/>
          <w:kern w:val="0"/>
          <w:sz w:val="24"/>
          <w:szCs w:val="24"/>
          <w:highlight w:val="none"/>
        </w:rPr>
        <w:t>项目为</w:t>
      </w:r>
      <w:r>
        <w:rPr>
          <w:rFonts w:hint="eastAsia" w:ascii="宋体" w:hAnsi="宋体" w:eastAsia="宋体" w:cs="宋体"/>
          <w:color w:val="auto"/>
          <w:kern w:val="0"/>
          <w:sz w:val="24"/>
          <w:szCs w:val="24"/>
          <w:highlight w:val="none"/>
        </w:rPr>
        <w:t>我司事业部（</w:t>
      </w:r>
      <w:r>
        <w:rPr>
          <w:rFonts w:hint="eastAsia" w:ascii="宋体" w:hAnsi="宋体" w:eastAsia="宋体" w:cs="宋体"/>
          <w:b/>
          <w:color w:val="auto"/>
          <w:kern w:val="0"/>
          <w:sz w:val="24"/>
          <w:szCs w:val="24"/>
          <w:highlight w:val="none"/>
        </w:rPr>
        <w:t>同集热电</w:t>
      </w:r>
      <w:r>
        <w:rPr>
          <w:rFonts w:hint="eastAsia" w:ascii="宋体" w:hAnsi="宋体" w:eastAsia="宋体" w:cs="宋体"/>
          <w:color w:val="auto"/>
          <w:kern w:val="0"/>
          <w:sz w:val="24"/>
          <w:szCs w:val="24"/>
          <w:highlight w:val="none"/>
        </w:rPr>
        <w:t>）燃煤</w:t>
      </w:r>
      <w:r>
        <w:rPr>
          <w:rFonts w:ascii="宋体" w:hAnsi="宋体" w:eastAsia="宋体" w:cs="宋体"/>
          <w:color w:val="auto"/>
          <w:kern w:val="0"/>
          <w:sz w:val="24"/>
          <w:szCs w:val="24"/>
          <w:highlight w:val="none"/>
        </w:rPr>
        <w:t>锅炉</w:t>
      </w:r>
      <w:r>
        <w:rPr>
          <w:rFonts w:hint="eastAsia" w:ascii="宋体" w:hAnsi="宋体" w:eastAsia="宋体" w:cs="宋体"/>
          <w:color w:val="auto"/>
          <w:kern w:val="0"/>
          <w:sz w:val="24"/>
          <w:szCs w:val="24"/>
          <w:highlight w:val="none"/>
        </w:rPr>
        <w:t>生产需求，现进行煤炭</w:t>
      </w:r>
      <w:r>
        <w:rPr>
          <w:rFonts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rPr>
        <w:t>无</w:t>
      </w:r>
      <w:r>
        <w:rPr>
          <w:rFonts w:ascii="宋体" w:hAnsi="宋体" w:eastAsia="宋体" w:cs="宋体"/>
          <w:color w:val="auto"/>
          <w:kern w:val="0"/>
          <w:sz w:val="24"/>
          <w:szCs w:val="24"/>
          <w:highlight w:val="none"/>
        </w:rPr>
        <w:t>烟煤）</w:t>
      </w:r>
      <w:r>
        <w:rPr>
          <w:rFonts w:hint="eastAsia" w:ascii="宋体" w:hAnsi="宋体" w:eastAsia="宋体" w:cs="宋体"/>
          <w:color w:val="auto"/>
          <w:kern w:val="0"/>
          <w:sz w:val="24"/>
          <w:szCs w:val="24"/>
          <w:highlight w:val="none"/>
        </w:rPr>
        <w:t>竞争性谈判采购，各</w:t>
      </w:r>
      <w:r>
        <w:rPr>
          <w:rFonts w:hint="eastAsia" w:ascii="宋体" w:hAnsi="宋体" w:eastAsia="宋体"/>
          <w:color w:val="auto"/>
          <w:sz w:val="24"/>
          <w:szCs w:val="24"/>
          <w:highlight w:val="none"/>
        </w:rPr>
        <w:t>供应商按照采购文件要求进行响应。</w:t>
      </w:r>
    </w:p>
    <w:p>
      <w:pPr>
        <w:spacing w:line="276" w:lineRule="auto"/>
        <w:rPr>
          <w:rFonts w:ascii="宋体" w:hAnsi="宋体" w:eastAsia="宋体" w:cs="宋体"/>
          <w:b/>
          <w:color w:val="auto"/>
          <w:kern w:val="0"/>
          <w:sz w:val="24"/>
          <w:szCs w:val="24"/>
          <w:highlight w:val="none"/>
        </w:rPr>
      </w:pPr>
      <w:r>
        <w:rPr>
          <w:rFonts w:hint="eastAsia" w:ascii="宋体" w:hAnsi="宋体" w:eastAsia="宋体"/>
          <w:color w:val="auto"/>
          <w:sz w:val="24"/>
          <w:szCs w:val="24"/>
          <w:highlight w:val="none"/>
        </w:rPr>
        <w:t>2</w:t>
      </w:r>
      <w:r>
        <w:rPr>
          <w:rFonts w:ascii="宋体" w:hAnsi="宋体" w:eastAsia="宋体" w:cs="宋体"/>
          <w:color w:val="auto"/>
          <w:kern w:val="0"/>
          <w:sz w:val="24"/>
          <w:szCs w:val="24"/>
          <w:highlight w:val="none"/>
        </w:rPr>
        <w:t>采购项目及</w:t>
      </w:r>
      <w:r>
        <w:rPr>
          <w:rFonts w:hint="eastAsia" w:ascii="宋体" w:hAnsi="宋体" w:eastAsia="宋体" w:cs="宋体"/>
          <w:color w:val="auto"/>
          <w:kern w:val="0"/>
          <w:sz w:val="24"/>
          <w:szCs w:val="24"/>
          <w:highlight w:val="none"/>
        </w:rPr>
        <w:t>要求</w:t>
      </w:r>
    </w:p>
    <w:p>
      <w:pPr>
        <w:spacing w:line="276" w:lineRule="auto"/>
        <w:rPr>
          <w:rFonts w:ascii="宋体" w:hAnsi="宋体" w:eastAsia="宋体" w:cs="宋体"/>
          <w:color w:val="auto"/>
          <w:kern w:val="0"/>
          <w:sz w:val="24"/>
          <w:szCs w:val="24"/>
          <w:highlight w:val="none"/>
        </w:rPr>
      </w:pPr>
      <w:r>
        <w:rPr>
          <w:rFonts w:hint="eastAsia" w:ascii="宋体" w:hAnsi="宋体" w:eastAsia="宋体" w:cs="宋体"/>
          <w:b/>
          <w:color w:val="auto"/>
          <w:kern w:val="0"/>
          <w:sz w:val="24"/>
          <w:szCs w:val="24"/>
          <w:highlight w:val="none"/>
        </w:rPr>
        <w:t>2.1</w:t>
      </w:r>
      <w:r>
        <w:rPr>
          <w:rFonts w:hint="eastAsia" w:ascii="宋体" w:hAnsi="宋体" w:eastAsia="宋体" w:cs="宋体"/>
          <w:color w:val="auto"/>
          <w:kern w:val="0"/>
          <w:sz w:val="24"/>
          <w:szCs w:val="24"/>
          <w:highlight w:val="none"/>
        </w:rPr>
        <w:t>项目名称：</w:t>
      </w:r>
      <w:r>
        <w:rPr>
          <w:rFonts w:hint="eastAsia" w:ascii="宋体" w:hAnsi="宋体" w:eastAsia="宋体" w:cs="宋体"/>
          <w:b/>
          <w:color w:val="auto"/>
          <w:kern w:val="0"/>
          <w:sz w:val="24"/>
          <w:szCs w:val="24"/>
          <w:highlight w:val="none"/>
        </w:rPr>
        <w:t>同集事业部无烟煤</w:t>
      </w:r>
      <w:r>
        <w:rPr>
          <w:rFonts w:hint="eastAsia" w:ascii="宋体" w:hAnsi="宋体" w:eastAsia="宋体" w:cs="宋体"/>
          <w:color w:val="auto"/>
          <w:kern w:val="0"/>
          <w:sz w:val="24"/>
          <w:szCs w:val="24"/>
          <w:highlight w:val="none"/>
        </w:rPr>
        <w:t>采购</w:t>
      </w:r>
    </w:p>
    <w:p>
      <w:pPr>
        <w:spacing w:line="276" w:lineRule="auto"/>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2.2名称及数量</w:t>
      </w:r>
    </w:p>
    <w:tbl>
      <w:tblPr>
        <w:tblStyle w:val="11"/>
        <w:tblW w:w="766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1"/>
        <w:gridCol w:w="2460"/>
        <w:gridCol w:w="1837"/>
        <w:gridCol w:w="21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21" w:type="dxa"/>
            <w:vAlign w:val="center"/>
          </w:tcPr>
          <w:p>
            <w:pPr>
              <w:widowControl/>
              <w:spacing w:line="276" w:lineRule="auto"/>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序号</w:t>
            </w:r>
          </w:p>
        </w:tc>
        <w:tc>
          <w:tcPr>
            <w:tcW w:w="2460" w:type="dxa"/>
            <w:vAlign w:val="center"/>
          </w:tcPr>
          <w:p>
            <w:pPr>
              <w:widowControl/>
              <w:spacing w:line="276" w:lineRule="auto"/>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名称</w:t>
            </w:r>
          </w:p>
        </w:tc>
        <w:tc>
          <w:tcPr>
            <w:tcW w:w="1837" w:type="dxa"/>
            <w:vAlign w:val="center"/>
          </w:tcPr>
          <w:p>
            <w:pPr>
              <w:widowControl/>
              <w:spacing w:line="276" w:lineRule="auto"/>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需求部门</w:t>
            </w:r>
          </w:p>
        </w:tc>
        <w:tc>
          <w:tcPr>
            <w:tcW w:w="2144" w:type="dxa"/>
            <w:vAlign w:val="center"/>
          </w:tcPr>
          <w:p>
            <w:pPr>
              <w:widowControl/>
              <w:spacing w:line="276" w:lineRule="auto"/>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6" w:hRule="atLeast"/>
          <w:jc w:val="center"/>
        </w:trPr>
        <w:tc>
          <w:tcPr>
            <w:tcW w:w="1221" w:type="dxa"/>
            <w:vAlign w:val="center"/>
          </w:tcPr>
          <w:p>
            <w:pPr>
              <w:widowControl/>
              <w:spacing w:line="276" w:lineRule="auto"/>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p>
        </w:tc>
        <w:tc>
          <w:tcPr>
            <w:tcW w:w="2460" w:type="dxa"/>
            <w:vAlign w:val="center"/>
          </w:tcPr>
          <w:p>
            <w:pPr>
              <w:widowControl/>
              <w:spacing w:line="276" w:lineRule="auto"/>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无烟煤</w:t>
            </w:r>
          </w:p>
        </w:tc>
        <w:tc>
          <w:tcPr>
            <w:tcW w:w="1837" w:type="dxa"/>
            <w:vAlign w:val="center"/>
          </w:tcPr>
          <w:p>
            <w:pPr>
              <w:widowControl/>
              <w:spacing w:line="276" w:lineRule="auto"/>
              <w:jc w:val="center"/>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同集</w:t>
            </w:r>
            <w:r>
              <w:rPr>
                <w:rFonts w:ascii="宋体" w:hAnsi="宋体" w:eastAsia="宋体" w:cs="宋体"/>
                <w:b/>
                <w:color w:val="auto"/>
                <w:kern w:val="0"/>
                <w:sz w:val="24"/>
                <w:szCs w:val="24"/>
                <w:highlight w:val="none"/>
              </w:rPr>
              <w:t>热电</w:t>
            </w:r>
          </w:p>
        </w:tc>
        <w:tc>
          <w:tcPr>
            <w:tcW w:w="2144" w:type="dxa"/>
            <w:vAlign w:val="center"/>
          </w:tcPr>
          <w:p>
            <w:pPr>
              <w:widowControl/>
              <w:spacing w:line="276" w:lineRule="auto"/>
              <w:jc w:val="center"/>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500吨</w:t>
            </w:r>
          </w:p>
        </w:tc>
      </w:tr>
    </w:tbl>
    <w:p>
      <w:pPr>
        <w:widowControl/>
        <w:spacing w:line="276" w:lineRule="auto"/>
        <w:jc w:val="left"/>
        <w:rPr>
          <w:rFonts w:ascii="宋体" w:hAnsi="宋体" w:eastAsia="宋体"/>
          <w:color w:val="auto"/>
          <w:sz w:val="24"/>
          <w:szCs w:val="24"/>
          <w:highlight w:val="none"/>
        </w:rPr>
      </w:pPr>
      <w:r>
        <w:rPr>
          <w:rFonts w:hint="eastAsia" w:ascii="宋体" w:hAnsi="宋体" w:eastAsia="宋体"/>
          <w:color w:val="auto"/>
          <w:sz w:val="24"/>
          <w:szCs w:val="24"/>
          <w:highlight w:val="none"/>
        </w:rPr>
        <w:t>2.3指标</w:t>
      </w:r>
      <w:r>
        <w:rPr>
          <w:rFonts w:ascii="宋体" w:hAnsi="宋体" w:eastAsia="宋体"/>
          <w:color w:val="auto"/>
          <w:sz w:val="24"/>
          <w:szCs w:val="24"/>
          <w:highlight w:val="none"/>
        </w:rPr>
        <w:t>要求：</w:t>
      </w:r>
      <w:r>
        <w:rPr>
          <w:rFonts w:hint="eastAsia" w:ascii="宋体" w:hAnsi="宋体" w:cs="宋体"/>
          <w:color w:val="auto"/>
          <w:sz w:val="24"/>
          <w:szCs w:val="24"/>
          <w:highlight w:val="none"/>
        </w:rPr>
        <w:t>热值:5000±200 cal/g，S≤0.5%，水分≤ 8% ，空干基灰分≤ 30%， 空干基挥发分≤ 6%。</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olor w:val="auto"/>
          <w:sz w:val="24"/>
          <w:szCs w:val="24"/>
          <w:highlight w:val="none"/>
        </w:rPr>
        <w:t>3</w:t>
      </w:r>
      <w:r>
        <w:rPr>
          <w:rFonts w:hint="eastAsia" w:ascii="宋体" w:hAnsi="宋体" w:eastAsia="宋体" w:cs="宋体"/>
          <w:color w:val="auto"/>
          <w:kern w:val="0"/>
          <w:sz w:val="24"/>
          <w:szCs w:val="24"/>
          <w:highlight w:val="none"/>
        </w:rPr>
        <w:t>供货时间：供方需在接到成交通知书</w:t>
      </w:r>
      <w:r>
        <w:rPr>
          <w:rFonts w:ascii="宋体" w:hAnsi="宋体" w:eastAsia="宋体" w:cs="宋体"/>
          <w:color w:val="auto"/>
          <w:kern w:val="0"/>
          <w:sz w:val="24"/>
          <w:szCs w:val="24"/>
          <w:highlight w:val="none"/>
        </w:rPr>
        <w:t>5</w:t>
      </w:r>
      <w:r>
        <w:rPr>
          <w:rFonts w:hint="eastAsia" w:ascii="宋体" w:hAnsi="宋体" w:eastAsia="宋体" w:cs="宋体"/>
          <w:color w:val="auto"/>
          <w:kern w:val="0"/>
          <w:sz w:val="24"/>
          <w:szCs w:val="24"/>
          <w:highlight w:val="none"/>
        </w:rPr>
        <w:t>个工作日内签订供货合同。供货期间按我司通知分批</w:t>
      </w:r>
      <w:r>
        <w:rPr>
          <w:rFonts w:ascii="宋体" w:hAnsi="宋体" w:eastAsia="宋体" w:cs="宋体"/>
          <w:color w:val="auto"/>
          <w:kern w:val="0"/>
          <w:sz w:val="24"/>
          <w:szCs w:val="24"/>
          <w:highlight w:val="none"/>
        </w:rPr>
        <w:t>次</w:t>
      </w:r>
      <w:r>
        <w:rPr>
          <w:rFonts w:hint="eastAsia" w:ascii="宋体" w:hAnsi="宋体" w:eastAsia="宋体" w:cs="宋体"/>
          <w:color w:val="auto"/>
          <w:kern w:val="0"/>
          <w:sz w:val="24"/>
          <w:szCs w:val="24"/>
          <w:highlight w:val="none"/>
        </w:rPr>
        <w:t>运达指定煤库位置。</w:t>
      </w:r>
    </w:p>
    <w:p>
      <w:pPr>
        <w:spacing w:line="276" w:lineRule="auto"/>
        <w:rPr>
          <w:rFonts w:ascii="宋体" w:hAnsi="宋体" w:eastAsia="宋体" w:cs="Arial"/>
          <w:color w:val="auto"/>
          <w:kern w:val="0"/>
          <w:sz w:val="24"/>
          <w:szCs w:val="24"/>
          <w:highlight w:val="none"/>
        </w:rPr>
      </w:pPr>
      <w:r>
        <w:rPr>
          <w:rFonts w:ascii="宋体" w:hAnsi="宋体" w:eastAsia="宋体"/>
          <w:color w:val="auto"/>
          <w:sz w:val="24"/>
          <w:szCs w:val="24"/>
          <w:highlight w:val="none"/>
        </w:rPr>
        <w:t>4</w:t>
      </w:r>
      <w:r>
        <w:rPr>
          <w:rFonts w:hint="eastAsia" w:ascii="宋体" w:hAnsi="宋体" w:eastAsia="宋体" w:cs="宋体"/>
          <w:color w:val="auto"/>
          <w:kern w:val="0"/>
          <w:sz w:val="24"/>
          <w:szCs w:val="24"/>
          <w:highlight w:val="none"/>
        </w:rPr>
        <w:t>供货地</w:t>
      </w:r>
      <w:r>
        <w:rPr>
          <w:rFonts w:ascii="宋体" w:hAnsi="宋体" w:eastAsia="宋体" w:cs="宋体"/>
          <w:color w:val="auto"/>
          <w:kern w:val="0"/>
          <w:sz w:val="24"/>
          <w:szCs w:val="24"/>
          <w:highlight w:val="none"/>
        </w:rPr>
        <w:t>点：</w:t>
      </w:r>
      <w:r>
        <w:rPr>
          <w:rFonts w:hint="eastAsia" w:ascii="宋体" w:hAnsi="宋体" w:eastAsia="宋体" w:cs="Arial"/>
          <w:color w:val="auto"/>
          <w:kern w:val="0"/>
          <w:sz w:val="24"/>
          <w:szCs w:val="24"/>
          <w:highlight w:val="none"/>
        </w:rPr>
        <w:t>厦门市同安区美禾三路399号。</w:t>
      </w:r>
    </w:p>
    <w:p>
      <w:pPr>
        <w:spacing w:line="276" w:lineRule="auto"/>
        <w:rPr>
          <w:rFonts w:ascii="宋体" w:hAnsi="宋体" w:eastAsia="宋体" w:cs="宋体"/>
          <w:color w:val="auto"/>
          <w:kern w:val="0"/>
          <w:sz w:val="24"/>
          <w:szCs w:val="24"/>
          <w:highlight w:val="none"/>
        </w:rPr>
      </w:pPr>
      <w:r>
        <w:rPr>
          <w:rFonts w:ascii="宋体" w:hAnsi="宋体" w:eastAsia="宋体" w:cs="Arial"/>
          <w:color w:val="auto"/>
          <w:kern w:val="0"/>
          <w:sz w:val="24"/>
          <w:szCs w:val="24"/>
          <w:highlight w:val="none"/>
        </w:rPr>
        <w:t>5</w:t>
      </w:r>
      <w:r>
        <w:rPr>
          <w:rFonts w:hint="eastAsia" w:ascii="宋体" w:hAnsi="宋体" w:eastAsia="宋体" w:cs="宋体"/>
          <w:color w:val="auto"/>
          <w:kern w:val="0"/>
          <w:sz w:val="24"/>
          <w:szCs w:val="24"/>
          <w:highlight w:val="none"/>
        </w:rPr>
        <w:t>运输方式及要求：汽车运输，到厂后送达煤库指定位置，中途不得盘货、掺假。</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6热值变动</w:t>
      </w:r>
      <w:r>
        <w:rPr>
          <w:rFonts w:hint="eastAsia" w:ascii="宋体" w:hAnsi="宋体" w:eastAsia="宋体" w:cs="宋体"/>
          <w:color w:val="auto"/>
          <w:kern w:val="0"/>
          <w:sz w:val="24"/>
          <w:szCs w:val="24"/>
          <w:highlight w:val="none"/>
        </w:rPr>
        <w:t>：</w:t>
      </w:r>
      <w:r>
        <w:rPr>
          <w:rFonts w:ascii="宋体" w:hAnsi="宋体" w:eastAsia="宋体" w:cs="宋体"/>
          <w:color w:val="auto"/>
          <w:kern w:val="0"/>
          <w:sz w:val="24"/>
          <w:szCs w:val="24"/>
          <w:highlight w:val="none"/>
        </w:rPr>
        <w:t>我司</w:t>
      </w:r>
      <w:r>
        <w:rPr>
          <w:rFonts w:hint="eastAsia" w:ascii="宋体" w:hAnsi="宋体" w:eastAsia="宋体" w:cs="宋体"/>
          <w:color w:val="auto"/>
          <w:kern w:val="0"/>
          <w:sz w:val="24"/>
          <w:szCs w:val="24"/>
          <w:highlight w:val="none"/>
        </w:rPr>
        <w:t>可</w:t>
      </w:r>
      <w:r>
        <w:rPr>
          <w:rFonts w:ascii="宋体" w:hAnsi="宋体" w:eastAsia="宋体" w:cs="宋体"/>
          <w:color w:val="auto"/>
          <w:kern w:val="0"/>
          <w:sz w:val="24"/>
          <w:szCs w:val="24"/>
          <w:highlight w:val="none"/>
        </w:rPr>
        <w:t>根据生产需要</w:t>
      </w:r>
      <w:r>
        <w:rPr>
          <w:rFonts w:hint="eastAsia" w:ascii="宋体" w:hAnsi="宋体" w:eastAsia="宋体" w:cs="宋体"/>
          <w:color w:val="auto"/>
          <w:kern w:val="0"/>
          <w:sz w:val="24"/>
          <w:szCs w:val="24"/>
          <w:highlight w:val="none"/>
        </w:rPr>
        <w:t>要求成交供应</w:t>
      </w:r>
      <w:r>
        <w:rPr>
          <w:rFonts w:ascii="宋体" w:hAnsi="宋体" w:eastAsia="宋体" w:cs="宋体"/>
          <w:color w:val="auto"/>
          <w:kern w:val="0"/>
          <w:sz w:val="24"/>
          <w:szCs w:val="24"/>
          <w:highlight w:val="none"/>
        </w:rPr>
        <w:t>商</w:t>
      </w:r>
      <w:r>
        <w:rPr>
          <w:rFonts w:hint="eastAsia" w:ascii="宋体" w:hAnsi="宋体" w:eastAsia="宋体" w:cs="宋体"/>
          <w:color w:val="auto"/>
          <w:kern w:val="0"/>
          <w:sz w:val="24"/>
          <w:szCs w:val="24"/>
          <w:highlight w:val="none"/>
        </w:rPr>
        <w:t>调整来</w:t>
      </w:r>
      <w:r>
        <w:rPr>
          <w:rFonts w:ascii="宋体" w:hAnsi="宋体" w:eastAsia="宋体" w:cs="宋体"/>
          <w:color w:val="auto"/>
          <w:kern w:val="0"/>
          <w:sz w:val="24"/>
          <w:szCs w:val="24"/>
          <w:highlight w:val="none"/>
        </w:rPr>
        <w:t>煤的基准热值，</w:t>
      </w:r>
      <w:r>
        <w:rPr>
          <w:rFonts w:hint="eastAsia" w:ascii="宋体" w:hAnsi="宋体" w:eastAsia="宋体" w:cs="宋体"/>
          <w:color w:val="auto"/>
          <w:kern w:val="0"/>
          <w:sz w:val="24"/>
          <w:szCs w:val="24"/>
          <w:highlight w:val="none"/>
        </w:rPr>
        <w:t>奖</w:t>
      </w:r>
      <w:r>
        <w:rPr>
          <w:rFonts w:ascii="宋体" w:hAnsi="宋体" w:eastAsia="宋体" w:cs="宋体"/>
          <w:color w:val="auto"/>
          <w:kern w:val="0"/>
          <w:sz w:val="24"/>
          <w:szCs w:val="24"/>
          <w:highlight w:val="none"/>
        </w:rPr>
        <w:t>罚</w:t>
      </w:r>
      <w:r>
        <w:rPr>
          <w:rFonts w:hint="eastAsia" w:ascii="宋体" w:hAnsi="宋体" w:eastAsia="宋体" w:cs="宋体"/>
          <w:color w:val="auto"/>
          <w:kern w:val="0"/>
          <w:sz w:val="24"/>
          <w:szCs w:val="24"/>
          <w:highlight w:val="none"/>
        </w:rPr>
        <w:t>基准做</w:t>
      </w:r>
      <w:r>
        <w:rPr>
          <w:rFonts w:ascii="宋体" w:hAnsi="宋体" w:eastAsia="宋体" w:cs="宋体"/>
          <w:color w:val="auto"/>
          <w:kern w:val="0"/>
          <w:sz w:val="24"/>
          <w:szCs w:val="24"/>
          <w:highlight w:val="none"/>
        </w:rPr>
        <w:t>相应</w:t>
      </w:r>
      <w:r>
        <w:rPr>
          <w:rFonts w:hint="eastAsia" w:ascii="宋体" w:hAnsi="宋体" w:eastAsia="宋体" w:cs="宋体"/>
          <w:color w:val="auto"/>
          <w:kern w:val="0"/>
          <w:sz w:val="24"/>
          <w:szCs w:val="24"/>
          <w:highlight w:val="none"/>
        </w:rPr>
        <w:t>平行</w:t>
      </w:r>
      <w:r>
        <w:rPr>
          <w:rFonts w:ascii="宋体" w:hAnsi="宋体" w:eastAsia="宋体" w:cs="宋体"/>
          <w:color w:val="auto"/>
          <w:kern w:val="0"/>
          <w:sz w:val="24"/>
          <w:szCs w:val="24"/>
          <w:highlight w:val="none"/>
        </w:rPr>
        <w:t>调整，</w:t>
      </w:r>
      <w:r>
        <w:rPr>
          <w:rFonts w:hint="eastAsia" w:ascii="宋体" w:hAnsi="宋体" w:eastAsia="宋体" w:cs="宋体"/>
          <w:color w:val="auto"/>
          <w:kern w:val="0"/>
          <w:sz w:val="24"/>
          <w:szCs w:val="24"/>
          <w:highlight w:val="none"/>
        </w:rPr>
        <w:t>但每大</w:t>
      </w:r>
      <w:r>
        <w:rPr>
          <w:rFonts w:ascii="宋体" w:hAnsi="宋体" w:eastAsia="宋体" w:cs="宋体"/>
          <w:color w:val="auto"/>
          <w:kern w:val="0"/>
          <w:sz w:val="24"/>
          <w:szCs w:val="24"/>
          <w:highlight w:val="none"/>
        </w:rPr>
        <w:t>卡单价不变。</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7</w:t>
      </w:r>
      <w:r>
        <w:rPr>
          <w:rFonts w:hint="eastAsia" w:ascii="宋体" w:hAnsi="宋体" w:eastAsia="宋体" w:cs="宋体"/>
          <w:color w:val="auto"/>
          <w:kern w:val="0"/>
          <w:sz w:val="24"/>
          <w:szCs w:val="24"/>
          <w:highlight w:val="none"/>
        </w:rPr>
        <w:t>成交供应商应能根据供应总量均衡安排每日进场量，同等条件下，有电力行业供应经验的优先。</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8</w:t>
      </w:r>
      <w:r>
        <w:rPr>
          <w:rFonts w:hint="eastAsia" w:ascii="宋体" w:hAnsi="宋体" w:eastAsia="宋体" w:cs="宋体"/>
          <w:color w:val="auto"/>
          <w:kern w:val="0"/>
          <w:sz w:val="24"/>
          <w:szCs w:val="24"/>
          <w:highlight w:val="none"/>
        </w:rPr>
        <w:t>票据及验收：</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8.1</w:t>
      </w:r>
      <w:r>
        <w:rPr>
          <w:rFonts w:hint="eastAsia" w:ascii="宋体" w:hAnsi="宋体" w:eastAsia="宋体" w:cs="宋体"/>
          <w:color w:val="auto"/>
          <w:kern w:val="0"/>
          <w:sz w:val="24"/>
          <w:szCs w:val="24"/>
          <w:highlight w:val="none"/>
        </w:rPr>
        <w:t>成交供应商须提供本单位开具的煤炭增值税专用发票，我司不接受通过其他单位代开的发票。</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8.2</w:t>
      </w:r>
      <w:r>
        <w:rPr>
          <w:rFonts w:hint="eastAsia" w:ascii="宋体" w:hAnsi="宋体" w:eastAsia="宋体" w:cs="宋体"/>
          <w:color w:val="auto"/>
          <w:kern w:val="0"/>
          <w:sz w:val="24"/>
          <w:szCs w:val="24"/>
          <w:highlight w:val="none"/>
        </w:rPr>
        <w:t>数量验收：以我司同集热电事业部电子汽车衡的计量数据为准，并作为结算依据。</w:t>
      </w:r>
    </w:p>
    <w:p>
      <w:pPr>
        <w:widowControl/>
        <w:spacing w:line="276" w:lineRule="auto"/>
        <w:jc w:val="left"/>
        <w:rPr>
          <w:rFonts w:hint="eastAsia"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8.3</w:t>
      </w:r>
      <w:r>
        <w:rPr>
          <w:rFonts w:hint="eastAsia" w:ascii="宋体" w:hAnsi="宋体" w:eastAsia="宋体" w:cs="宋体"/>
          <w:color w:val="auto"/>
          <w:kern w:val="0"/>
          <w:sz w:val="24"/>
          <w:szCs w:val="24"/>
          <w:highlight w:val="none"/>
        </w:rPr>
        <w:t>质量验收：</w:t>
      </w:r>
    </w:p>
    <w:p>
      <w:pPr>
        <w:widowControl/>
        <w:spacing w:line="276" w:lineRule="auto"/>
        <w:jc w:val="left"/>
        <w:rPr>
          <w:rFonts w:hint="eastAsia" w:ascii="宋体" w:hAnsi="宋体" w:eastAsia="宋体" w:cs="宋体"/>
          <w:color w:val="FF0000"/>
          <w:kern w:val="0"/>
          <w:sz w:val="24"/>
          <w:szCs w:val="24"/>
          <w:highlight w:val="none"/>
        </w:rPr>
      </w:pPr>
      <w:r>
        <w:rPr>
          <w:rFonts w:hint="eastAsia" w:ascii="宋体" w:hAnsi="宋体" w:eastAsia="宋体" w:cs="宋体"/>
          <w:color w:val="FF0000"/>
          <w:kern w:val="0"/>
          <w:sz w:val="24"/>
          <w:szCs w:val="24"/>
          <w:highlight w:val="none"/>
        </w:rPr>
        <w:t>（1）乙方提供给甲方的煤炭，甲方过磅后如发现恶意掺混煤矸石及其他杂质（水分、铁块、石块），有权进行扣重或者拒收，经警告后未做整改，甲方有权终止合同的执行，并追究相应的赔偿。</w:t>
      </w:r>
    </w:p>
    <w:p>
      <w:pPr>
        <w:widowControl/>
        <w:spacing w:line="276" w:lineRule="auto"/>
        <w:jc w:val="left"/>
        <w:rPr>
          <w:rFonts w:hint="eastAsia" w:ascii="宋体" w:hAnsi="宋体" w:eastAsia="宋体" w:cs="宋体"/>
          <w:color w:val="FF0000"/>
          <w:kern w:val="0"/>
          <w:sz w:val="24"/>
          <w:szCs w:val="24"/>
          <w:highlight w:val="none"/>
        </w:rPr>
      </w:pPr>
      <w:r>
        <w:rPr>
          <w:rFonts w:hint="eastAsia" w:ascii="宋体" w:hAnsi="宋体" w:eastAsia="宋体" w:cs="宋体"/>
          <w:color w:val="FF0000"/>
          <w:kern w:val="0"/>
          <w:sz w:val="24"/>
          <w:szCs w:val="24"/>
          <w:highlight w:val="none"/>
        </w:rPr>
        <w:t>（2）煤炭验收指标按甲方的招标文件公告及本合同条款执行。</w:t>
      </w:r>
    </w:p>
    <w:p>
      <w:pPr>
        <w:widowControl/>
        <w:spacing w:line="276" w:lineRule="auto"/>
        <w:jc w:val="left"/>
        <w:rPr>
          <w:rFonts w:hint="eastAsia" w:ascii="宋体" w:hAnsi="宋体" w:eastAsia="宋体" w:cs="宋体"/>
          <w:color w:val="FF0000"/>
          <w:kern w:val="0"/>
          <w:sz w:val="24"/>
          <w:szCs w:val="24"/>
          <w:highlight w:val="none"/>
        </w:rPr>
      </w:pPr>
      <w:r>
        <w:rPr>
          <w:rFonts w:hint="eastAsia" w:ascii="宋体" w:hAnsi="宋体" w:eastAsia="宋体" w:cs="宋体"/>
          <w:color w:val="FF0000"/>
          <w:kern w:val="0"/>
          <w:sz w:val="24"/>
          <w:szCs w:val="24"/>
          <w:highlight w:val="none"/>
        </w:rPr>
        <w:t>（3）双方应共同委托代表对煤炭的初检、采样、制样进行监督确认，原则上每进场五车作为一批次进行集中采样，当天不足五车的以实际进场车数为准；若甲方发现煤炭品质异常，有权调整取样车数。其中煤炭的综合样本乙方留存一份。乙方未经甲方许可不得进入干煤棚干预取样工作。若乙方未派代表则视为认可甲方取制样过程。</w:t>
      </w:r>
    </w:p>
    <w:p>
      <w:pPr>
        <w:widowControl/>
        <w:spacing w:line="276" w:lineRule="auto"/>
        <w:jc w:val="left"/>
        <w:rPr>
          <w:rFonts w:ascii="宋体" w:hAnsi="宋体" w:eastAsia="宋体" w:cs="宋体"/>
          <w:color w:val="FF0000"/>
          <w:kern w:val="0"/>
          <w:sz w:val="24"/>
          <w:szCs w:val="24"/>
          <w:highlight w:val="none"/>
        </w:rPr>
      </w:pPr>
      <w:r>
        <w:rPr>
          <w:rFonts w:hint="eastAsia" w:ascii="宋体" w:hAnsi="宋体" w:eastAsia="宋体" w:cs="宋体"/>
          <w:color w:val="FF0000"/>
          <w:kern w:val="0"/>
          <w:sz w:val="24"/>
          <w:szCs w:val="24"/>
          <w:highlight w:val="none"/>
        </w:rPr>
        <w:t>（4）煤样化验由甲方化验室化验人员按照现有的设备进行化验，并以化验出来的结果作为结算依据，如乙方对化验数据有异议，可以在收到结果后三日内要求具有CMA认证的第三方质量检验机构进行复检，超过三日视为对结果无异议。复检收到基热值相差在70kcal/kg（含70kcal/kg）以内的，应按原化验结果结算；若相差超过70kcal/kg的，则按质量检验机构检验结果结算。其他指标复检结果在GB/T213-2003允许的标准误差内，以原化验数据为结算依据，复检结果在国家允许的标准误差外，以复检数据为结算依据；复检费用由责任方承担。</w:t>
      </w:r>
    </w:p>
    <w:p>
      <w:pPr>
        <w:widowControl/>
        <w:spacing w:line="276" w:lineRule="auto"/>
        <w:jc w:val="left"/>
        <w:rPr>
          <w:rFonts w:hint="eastAsia"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9</w:t>
      </w:r>
      <w:r>
        <w:rPr>
          <w:rFonts w:hint="eastAsia" w:ascii="宋体" w:hAnsi="宋体" w:eastAsia="宋体" w:cs="宋体"/>
          <w:color w:val="auto"/>
          <w:kern w:val="0"/>
          <w:sz w:val="24"/>
          <w:szCs w:val="24"/>
          <w:highlight w:val="none"/>
        </w:rPr>
        <w:t>结算：</w:t>
      </w:r>
    </w:p>
    <w:p>
      <w:pPr>
        <w:widowControl/>
        <w:spacing w:line="276"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、结算</w:t>
      </w:r>
      <w:r>
        <w:rPr>
          <w:rFonts w:hint="eastAsia" w:ascii="宋体" w:hAnsi="宋体" w:eastAsia="宋体" w:cs="宋体"/>
          <w:color w:val="auto"/>
          <w:kern w:val="0"/>
          <w:sz w:val="24"/>
          <w:szCs w:val="24"/>
          <w:highlight w:val="none"/>
          <w:lang w:val="en-US" w:eastAsia="zh-CN"/>
        </w:rPr>
        <w:t>周期</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累计进煤</w:t>
      </w:r>
      <w:r>
        <w:rPr>
          <w:rFonts w:hint="eastAsia" w:ascii="宋体" w:hAnsi="宋体" w:eastAsia="宋体" w:cs="宋体"/>
          <w:color w:val="auto"/>
          <w:kern w:val="0"/>
          <w:sz w:val="24"/>
          <w:szCs w:val="24"/>
          <w:highlight w:val="none"/>
        </w:rPr>
        <w:t>十天核算一次，</w:t>
      </w:r>
      <w:r>
        <w:rPr>
          <w:rFonts w:hint="eastAsia" w:ascii="宋体" w:hAnsi="宋体" w:eastAsia="宋体" w:cs="宋体"/>
          <w:color w:val="auto"/>
          <w:kern w:val="0"/>
          <w:sz w:val="24"/>
          <w:szCs w:val="24"/>
          <w:highlight w:val="none"/>
          <w:lang w:val="en-US" w:eastAsia="zh-CN"/>
        </w:rPr>
        <w:t>或</w:t>
      </w:r>
      <w:r>
        <w:rPr>
          <w:rFonts w:hint="eastAsia" w:ascii="宋体" w:hAnsi="宋体" w:eastAsia="宋体" w:cs="宋体"/>
          <w:color w:val="FF0000"/>
          <w:kern w:val="0"/>
          <w:sz w:val="24"/>
          <w:szCs w:val="24"/>
          <w:highlight w:val="none"/>
          <w:lang w:val="en-US" w:eastAsia="zh-CN"/>
        </w:rPr>
        <w:t>进煤不足十天</w:t>
      </w:r>
      <w:r>
        <w:rPr>
          <w:rFonts w:hint="eastAsia" w:ascii="宋体" w:hAnsi="宋体" w:eastAsia="宋体" w:cs="宋体"/>
          <w:color w:val="auto"/>
          <w:kern w:val="0"/>
          <w:sz w:val="24"/>
          <w:szCs w:val="24"/>
          <w:highlight w:val="none"/>
          <w:lang w:val="en-US" w:eastAsia="zh-CN"/>
        </w:rPr>
        <w:t>合同完成核算一次</w:t>
      </w:r>
      <w:r>
        <w:rPr>
          <w:rFonts w:hint="eastAsia" w:ascii="宋体" w:hAnsi="宋体" w:eastAsia="宋体" w:cs="宋体"/>
          <w:color w:val="auto"/>
          <w:kern w:val="0"/>
          <w:sz w:val="24"/>
          <w:szCs w:val="24"/>
          <w:highlight w:val="none"/>
        </w:rPr>
        <w:t>。</w:t>
      </w:r>
    </w:p>
    <w:p>
      <w:pPr>
        <w:widowControl/>
        <w:spacing w:line="276" w:lineRule="auto"/>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2</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w:t>
      </w:r>
      <w:r>
        <w:rPr>
          <w:rFonts w:hint="eastAsia" w:ascii="宋体" w:hAnsi="宋体" w:eastAsia="宋体" w:cs="宋体"/>
          <w:color w:val="FF0000"/>
          <w:kern w:val="0"/>
          <w:sz w:val="24"/>
          <w:szCs w:val="24"/>
          <w:highlight w:val="none"/>
        </w:rPr>
        <w:t>结算办法：在基价的基础上实行以质论价、质价联动的计算方法</w:t>
      </w:r>
      <w:r>
        <w:rPr>
          <w:rFonts w:hint="eastAsia" w:ascii="宋体" w:hAnsi="宋体" w:eastAsia="宋体" w:cs="宋体"/>
          <w:color w:val="auto"/>
          <w:kern w:val="0"/>
          <w:sz w:val="24"/>
          <w:szCs w:val="24"/>
          <w:highlight w:val="none"/>
          <w:lang w:eastAsia="zh-CN"/>
        </w:rPr>
        <w:t>。</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10</w:t>
      </w:r>
      <w:r>
        <w:rPr>
          <w:rFonts w:hint="eastAsia" w:ascii="宋体" w:hAnsi="宋体" w:eastAsia="宋体" w:cs="宋体"/>
          <w:color w:val="auto"/>
          <w:kern w:val="0"/>
          <w:sz w:val="24"/>
          <w:szCs w:val="24"/>
          <w:highlight w:val="none"/>
        </w:rPr>
        <w:t>付款方式：成交供应商应在我司完成煤炭验收合格并审核后将增值税</w:t>
      </w:r>
      <w:r>
        <w:rPr>
          <w:rFonts w:ascii="宋体" w:hAnsi="宋体" w:eastAsia="宋体" w:cs="宋体"/>
          <w:color w:val="auto"/>
          <w:kern w:val="0"/>
          <w:sz w:val="24"/>
          <w:szCs w:val="24"/>
          <w:highlight w:val="none"/>
        </w:rPr>
        <w:t>专用</w:t>
      </w:r>
      <w:r>
        <w:rPr>
          <w:rFonts w:hint="eastAsia" w:ascii="宋体" w:hAnsi="宋体" w:eastAsia="宋体" w:cs="宋体"/>
          <w:color w:val="auto"/>
          <w:kern w:val="0"/>
          <w:sz w:val="24"/>
          <w:szCs w:val="24"/>
          <w:highlight w:val="none"/>
        </w:rPr>
        <w:t>发票送至我司财务部，我司在收到发票后的2</w:t>
      </w:r>
      <w:r>
        <w:rPr>
          <w:rFonts w:ascii="宋体" w:hAnsi="宋体" w:eastAsia="宋体" w:cs="宋体"/>
          <w:color w:val="auto"/>
          <w:kern w:val="0"/>
          <w:sz w:val="24"/>
          <w:szCs w:val="24"/>
          <w:highlight w:val="none"/>
        </w:rPr>
        <w:t>0个工作</w:t>
      </w:r>
      <w:r>
        <w:rPr>
          <w:rFonts w:hint="eastAsia" w:ascii="宋体" w:hAnsi="宋体" w:eastAsia="宋体" w:cs="宋体"/>
          <w:color w:val="auto"/>
          <w:kern w:val="0"/>
          <w:sz w:val="24"/>
          <w:szCs w:val="24"/>
          <w:highlight w:val="none"/>
        </w:rPr>
        <w:t>日内付清货款。</w:t>
      </w:r>
    </w:p>
    <w:p>
      <w:pPr>
        <w:widowControl/>
        <w:spacing w:line="276" w:lineRule="auto"/>
        <w:jc w:val="left"/>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11</w:t>
      </w:r>
      <w:r>
        <w:rPr>
          <w:rFonts w:hint="eastAsia" w:ascii="宋体" w:hAnsi="宋体" w:eastAsia="宋体" w:cs="宋体"/>
          <w:color w:val="auto"/>
          <w:kern w:val="0"/>
          <w:sz w:val="24"/>
          <w:szCs w:val="24"/>
          <w:highlight w:val="none"/>
        </w:rPr>
        <w:t>违约责任：</w:t>
      </w:r>
    </w:p>
    <w:p>
      <w:pPr>
        <w:widowControl/>
        <w:spacing w:line="276" w:lineRule="auto"/>
        <w:rPr>
          <w:rFonts w:ascii="宋体" w:hAnsi="宋体" w:eastAsia="宋体" w:cs="宋体"/>
          <w:color w:val="auto"/>
          <w:kern w:val="0"/>
          <w:sz w:val="24"/>
          <w:szCs w:val="24"/>
          <w:highlight w:val="none"/>
        </w:rPr>
      </w:pPr>
      <w:r>
        <w:rPr>
          <w:rFonts w:ascii="宋体" w:hAnsi="宋体" w:eastAsia="宋体" w:cs="宋体"/>
          <w:color w:val="auto"/>
          <w:kern w:val="0"/>
          <w:sz w:val="24"/>
          <w:szCs w:val="24"/>
          <w:highlight w:val="none"/>
        </w:rPr>
        <w:t>11.1</w:t>
      </w:r>
      <w:r>
        <w:rPr>
          <w:rFonts w:hint="eastAsia" w:ascii="宋体" w:hAnsi="宋体" w:eastAsia="宋体" w:cs="宋体"/>
          <w:color w:val="auto"/>
          <w:kern w:val="0"/>
          <w:sz w:val="24"/>
          <w:szCs w:val="24"/>
          <w:highlight w:val="none"/>
        </w:rPr>
        <w:t>我司将根据煤炭质量的奖惩标准进行验收，不符合质量要求的，我司有权拒收；若存在以次充好、弄虚作假的，我司将暂停其三次谈判资格。</w:t>
      </w:r>
    </w:p>
    <w:p>
      <w:pPr>
        <w:widowControl/>
        <w:spacing w:line="276" w:lineRule="auto"/>
        <w:rPr>
          <w:rFonts w:asciiTheme="minorEastAsia" w:hAnsiTheme="minorEastAsia" w:cstheme="minorEastAsia"/>
          <w:color w:val="auto"/>
          <w:sz w:val="24"/>
          <w:highlight w:val="none"/>
        </w:rPr>
      </w:pPr>
      <w:r>
        <w:rPr>
          <w:rFonts w:hint="eastAsia" w:asciiTheme="minorEastAsia" w:hAnsiTheme="minorEastAsia" w:cstheme="minorEastAsia"/>
          <w:color w:val="auto"/>
          <w:kern w:val="0"/>
          <w:sz w:val="24"/>
          <w:szCs w:val="24"/>
          <w:highlight w:val="none"/>
        </w:rPr>
        <w:t>11.2成交供应商</w:t>
      </w:r>
      <w:r>
        <w:rPr>
          <w:rFonts w:hint="eastAsia" w:asciiTheme="minorEastAsia" w:hAnsiTheme="minorEastAsia" w:cstheme="minorEastAsia"/>
          <w:color w:val="auto"/>
          <w:sz w:val="24"/>
          <w:highlight w:val="none"/>
        </w:rPr>
        <w:t>在合同期限内按合同约定的供应数量完成供货。乙方在合同期限内供应的数量不得低于合同数量的95％，如乙方未能按照合同约定的条款执行，低于合同数量95%的不足供应量，乙方应按不足部分向甲方支付100元/吨的违约金，并及时补足。因乙方未能交付足额数量煤炭，造成甲方其它损失的，乙方应承担甲方的直接损失。</w:t>
      </w:r>
    </w:p>
    <w:p>
      <w:pPr>
        <w:widowControl/>
        <w:spacing w:line="276" w:lineRule="auto"/>
        <w:rPr>
          <w:rFonts w:ascii="宋体" w:hAnsi="宋体"/>
          <w:color w:val="auto"/>
          <w:sz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bookmarkStart w:id="45" w:name="_Toc3940_WPSOffice_Level1"/>
      <w:bookmarkStart w:id="46" w:name="_Toc8176"/>
      <w:bookmarkStart w:id="47" w:name="_Toc15618_WPSOffice_Level1"/>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hint="eastAsia" w:ascii="宋体" w:hAnsi="宋体" w:eastAsia="宋体"/>
          <w:color w:val="auto"/>
          <w:sz w:val="24"/>
          <w:szCs w:val="24"/>
          <w:highlight w:val="none"/>
        </w:rPr>
      </w:pP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auto"/>
          <w:sz w:val="36"/>
          <w:szCs w:val="36"/>
          <w:highlight w:val="none"/>
        </w:rPr>
      </w:pPr>
      <w:r>
        <w:rPr>
          <w:rFonts w:hint="eastAsia" w:ascii="宋体" w:hAnsi="宋体" w:eastAsia="宋体"/>
          <w:color w:val="auto"/>
          <w:sz w:val="24"/>
          <w:szCs w:val="24"/>
          <w:highlight w:val="none"/>
        </w:rPr>
        <w:t xml:space="preserve"> </w:t>
      </w: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auto"/>
          <w:sz w:val="36"/>
          <w:szCs w:val="36"/>
          <w:highlight w:val="none"/>
        </w:rPr>
      </w:pPr>
      <w:r>
        <w:rPr>
          <w:rFonts w:hint="eastAsia" w:ascii="宋体" w:hAnsi="宋体" w:eastAsia="宋体"/>
          <w:bCs/>
          <w:color w:val="auto"/>
          <w:sz w:val="36"/>
          <w:szCs w:val="36"/>
          <w:highlight w:val="none"/>
        </w:rPr>
        <w:t>第四</w:t>
      </w:r>
      <w:r>
        <w:rPr>
          <w:rFonts w:ascii="宋体" w:hAnsi="宋体" w:eastAsia="宋体"/>
          <w:bCs/>
          <w:color w:val="auto"/>
          <w:sz w:val="36"/>
          <w:szCs w:val="36"/>
          <w:highlight w:val="none"/>
        </w:rPr>
        <w:t>部分</w:t>
      </w:r>
      <w:r>
        <w:rPr>
          <w:rFonts w:hint="eastAsia" w:ascii="宋体" w:hAnsi="宋体" w:eastAsia="宋体"/>
          <w:bCs/>
          <w:color w:val="auto"/>
          <w:sz w:val="36"/>
          <w:szCs w:val="36"/>
          <w:highlight w:val="none"/>
        </w:rPr>
        <w:t>合同主要条款</w:t>
      </w:r>
    </w:p>
    <w:tbl>
      <w:tblPr>
        <w:tblStyle w:val="10"/>
        <w:tblW w:w="89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12" w:hRule="atLeast"/>
        </w:trPr>
        <w:tc>
          <w:tcPr>
            <w:tcW w:w="8970" w:type="dxa"/>
          </w:tcPr>
          <w:p>
            <w:pPr>
              <w:kinsoku w:val="0"/>
              <w:overflowPunct w:val="0"/>
              <w:snapToGrid w:val="0"/>
              <w:spacing w:line="276" w:lineRule="auto"/>
              <w:rPr>
                <w:rFonts w:ascii="宋体" w:hAnsi="宋体" w:cs="宋体"/>
                <w:color w:val="auto"/>
                <w:sz w:val="24"/>
                <w:szCs w:val="24"/>
                <w:highlight w:val="none"/>
              </w:rPr>
            </w:pPr>
            <w:r>
              <w:rPr>
                <w:rFonts w:hint="eastAsia" w:ascii="宋体" w:hAnsi="宋体" w:cs="宋体"/>
                <w:color w:val="auto"/>
                <w:sz w:val="24"/>
                <w:szCs w:val="24"/>
                <w:highlight w:val="none"/>
              </w:rPr>
              <w:t xml:space="preserve">注释： </w:t>
            </w:r>
          </w:p>
          <w:p>
            <w:pPr>
              <w:kinsoku w:val="0"/>
              <w:overflowPunct w:val="0"/>
              <w:snapToGrid w:val="0"/>
              <w:spacing w:line="276"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本格式条款仅作为双方签订合同的参考，为阐明各方的权利和义务，经协商可增加新的条款、修改相关条款， 但不得与采购文件、报价文件的实质性内容相背离。</w:t>
            </w:r>
          </w:p>
        </w:tc>
      </w:tr>
    </w:tbl>
    <w:p>
      <w:pPr>
        <w:snapToGrid w:val="0"/>
        <w:jc w:val="center"/>
        <w:outlineLvl w:val="1"/>
        <w:rPr>
          <w:rFonts w:ascii="黑体" w:hAnsi="宋体" w:eastAsia="黑体"/>
          <w:b/>
          <w:bCs/>
          <w:color w:val="auto"/>
          <w:sz w:val="44"/>
          <w:szCs w:val="44"/>
          <w:highlight w:val="none"/>
        </w:rPr>
      </w:pPr>
      <w:r>
        <w:rPr>
          <w:rFonts w:hint="eastAsia" w:ascii="黑体" w:hAnsi="宋体" w:eastAsia="黑体"/>
          <w:b/>
          <w:bCs/>
          <w:color w:val="auto"/>
          <w:sz w:val="44"/>
          <w:szCs w:val="44"/>
          <w:highlight w:val="none"/>
        </w:rPr>
        <w:t>煤炭供应合同</w:t>
      </w:r>
    </w:p>
    <w:p>
      <w:pPr>
        <w:snapToGrid w:val="0"/>
        <w:ind w:right="840" w:firstLine="1050" w:firstLineChars="500"/>
        <w:rPr>
          <w:rFonts w:ascii="宋体" w:hAnsi="宋体"/>
          <w:color w:val="auto"/>
          <w:highlight w:val="none"/>
        </w:rPr>
      </w:pPr>
    </w:p>
    <w:p>
      <w:pPr>
        <w:snapToGrid w:val="0"/>
        <w:ind w:right="446" w:firstLine="5760" w:firstLineChars="2400"/>
        <w:rPr>
          <w:rFonts w:ascii="宋体" w:hAnsi="宋体"/>
          <w:color w:val="auto"/>
          <w:sz w:val="24"/>
          <w:highlight w:val="none"/>
        </w:rPr>
      </w:pPr>
    </w:p>
    <w:p>
      <w:pPr>
        <w:snapToGrid w:val="0"/>
        <w:spacing w:line="5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甲方：厦门同集热</w:t>
      </w:r>
      <w:r>
        <w:rPr>
          <w:rFonts w:hint="eastAsia" w:ascii="仿宋_GB2312" w:hAnsi="宋体" w:eastAsia="仿宋_GB2312" w:cs="宋体"/>
          <w:color w:val="auto"/>
          <w:sz w:val="24"/>
          <w:highlight w:val="none"/>
        </w:rPr>
        <w:t>电有限公司               合同编号：</w:t>
      </w:r>
    </w:p>
    <w:p>
      <w:pPr>
        <w:snapToGrid w:val="0"/>
        <w:spacing w:line="5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乙方：  </w:t>
      </w:r>
      <w:r>
        <w:rPr>
          <w:rFonts w:hint="eastAsia" w:ascii="仿宋_GB2312" w:hAnsi="宋体" w:eastAsia="仿宋_GB2312" w:cs="宋体"/>
          <w:color w:val="auto"/>
          <w:sz w:val="24"/>
          <w:highlight w:val="none"/>
        </w:rPr>
        <w:t xml:space="preserve">                                 </w:t>
      </w:r>
      <w:r>
        <w:rPr>
          <w:rFonts w:hint="eastAsia" w:ascii="仿宋_GB2312" w:hAnsi="宋体" w:eastAsia="仿宋_GB2312"/>
          <w:color w:val="auto"/>
          <w:sz w:val="24"/>
          <w:highlight w:val="none"/>
        </w:rPr>
        <w:t>签约时间：   年  月  日</w:t>
      </w:r>
    </w:p>
    <w:p>
      <w:pPr>
        <w:snapToGrid w:val="0"/>
        <w:spacing w:line="5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　　　　甲、乙双方经充分协商，本着自愿及平等互利的原则，订立本合同，以供双方共同遵守。</w:t>
      </w:r>
    </w:p>
    <w:p>
      <w:pPr>
        <w:snapToGrid w:val="0"/>
        <w:spacing w:line="500" w:lineRule="exact"/>
        <w:rPr>
          <w:rFonts w:ascii="仿宋_GB2312" w:hAnsi="宋体" w:eastAsia="仿宋_GB2312"/>
          <w:b/>
          <w:color w:val="auto"/>
          <w:sz w:val="24"/>
          <w:highlight w:val="none"/>
        </w:rPr>
      </w:pPr>
      <w:r>
        <w:rPr>
          <w:rFonts w:hint="eastAsia" w:ascii="仿宋_GB2312" w:hAnsi="宋体" w:eastAsia="仿宋_GB2312"/>
          <w:b/>
          <w:color w:val="auto"/>
          <w:sz w:val="24"/>
          <w:highlight w:val="none"/>
        </w:rPr>
        <w:t xml:space="preserve">第一条 名称、数量、价格 </w:t>
      </w:r>
    </w:p>
    <w:p>
      <w:pPr>
        <w:snapToGrid w:val="0"/>
        <w:spacing w:line="500" w:lineRule="exact"/>
        <w:ind w:firstLine="420"/>
        <w:rPr>
          <w:rFonts w:ascii="仿宋_GB2312" w:hAnsi="宋体" w:eastAsia="仿宋_GB2312"/>
          <w:color w:val="auto"/>
          <w:sz w:val="24"/>
          <w:highlight w:val="none"/>
        </w:rPr>
      </w:pPr>
      <w:r>
        <w:rPr>
          <w:rFonts w:hint="eastAsia" w:ascii="仿宋_GB2312" w:hAnsi="宋体" w:eastAsia="仿宋_GB2312"/>
          <w:color w:val="auto"/>
          <w:sz w:val="24"/>
          <w:highlight w:val="none"/>
        </w:rPr>
        <w:t>1、产品名称：无烟煤；</w:t>
      </w:r>
    </w:p>
    <w:p>
      <w:pPr>
        <w:snapToGrid w:val="0"/>
        <w:spacing w:line="500" w:lineRule="exact"/>
        <w:ind w:firstLine="420"/>
        <w:rPr>
          <w:rFonts w:ascii="仿宋_GB2312" w:eastAsia="仿宋_GB2312"/>
          <w:color w:val="auto"/>
          <w:sz w:val="24"/>
          <w:highlight w:val="none"/>
          <w:u w:val="single"/>
        </w:rPr>
      </w:pPr>
      <w:r>
        <w:rPr>
          <w:rFonts w:hint="eastAsia" w:ascii="仿宋_GB2312" w:hAnsi="宋体" w:eastAsia="仿宋_GB2312"/>
          <w:color w:val="auto"/>
          <w:sz w:val="24"/>
          <w:highlight w:val="none"/>
        </w:rPr>
        <w:t>2、</w:t>
      </w:r>
      <w:r>
        <w:rPr>
          <w:rFonts w:hint="eastAsia" w:ascii="仿宋_GB2312" w:eastAsia="仿宋_GB2312"/>
          <w:color w:val="auto"/>
          <w:sz w:val="24"/>
          <w:highlight w:val="none"/>
        </w:rPr>
        <w:t>数量：经甲、乙双方 月份共同确认，甲方向乙方采购煤炭500吨。</w:t>
      </w:r>
    </w:p>
    <w:p>
      <w:pPr>
        <w:spacing w:line="500" w:lineRule="exact"/>
        <w:ind w:left="639" w:leftChars="190" w:hanging="240" w:hangingChars="100"/>
        <w:rPr>
          <w:rFonts w:ascii="仿宋_GB2312" w:eastAsia="仿宋_GB2312"/>
          <w:color w:val="auto"/>
          <w:sz w:val="24"/>
          <w:highlight w:val="none"/>
        </w:rPr>
      </w:pPr>
      <w:r>
        <w:rPr>
          <w:rFonts w:hint="eastAsia" w:ascii="仿宋_GB2312" w:eastAsia="仿宋_GB2312"/>
          <w:color w:val="auto"/>
          <w:sz w:val="24"/>
          <w:highlight w:val="none"/>
        </w:rPr>
        <w:t>3、总价及基础单价：总价为</w:t>
      </w:r>
      <w:r>
        <w:rPr>
          <w:rFonts w:hint="eastAsia" w:ascii="仿宋_GB2312" w:eastAsia="仿宋_GB2312"/>
          <w:color w:val="auto"/>
          <w:sz w:val="24"/>
          <w:highlight w:val="none"/>
          <w:u w:val="single"/>
        </w:rPr>
        <w:t xml:space="preserve">     </w:t>
      </w:r>
      <w:r>
        <w:rPr>
          <w:rFonts w:hint="eastAsia" w:ascii="仿宋_GB2312" w:eastAsia="仿宋_GB2312"/>
          <w:color w:val="auto"/>
          <w:sz w:val="24"/>
          <w:highlight w:val="none"/>
        </w:rPr>
        <w:t>元；一票含税到厂价为</w:t>
      </w:r>
      <w:r>
        <w:rPr>
          <w:rFonts w:hint="eastAsia" w:ascii="仿宋_GB2312" w:eastAsia="仿宋_GB2312"/>
          <w:color w:val="auto"/>
          <w:sz w:val="24"/>
          <w:highlight w:val="none"/>
          <w:u w:val="single"/>
        </w:rPr>
        <w:t xml:space="preserve">   </w:t>
      </w:r>
      <w:r>
        <w:rPr>
          <w:rFonts w:hint="eastAsia" w:ascii="仿宋_GB2312" w:eastAsia="仿宋_GB2312"/>
          <w:color w:val="auto"/>
          <w:sz w:val="24"/>
          <w:highlight w:val="none"/>
        </w:rPr>
        <w:t>元/吨（</w:t>
      </w:r>
      <w:r>
        <w:rPr>
          <w:rFonts w:hint="eastAsia" w:ascii="仿宋_GB2312" w:eastAsia="仿宋_GB2312"/>
          <w:color w:val="auto"/>
          <w:sz w:val="24"/>
          <w:highlight w:val="none"/>
          <w:u w:val="single"/>
        </w:rPr>
        <w:t xml:space="preserve">    </w:t>
      </w:r>
      <w:r>
        <w:rPr>
          <w:rFonts w:hint="eastAsia" w:ascii="仿宋_GB2312" w:eastAsia="仿宋_GB2312"/>
          <w:color w:val="auto"/>
          <w:sz w:val="24"/>
          <w:highlight w:val="none"/>
        </w:rPr>
        <w:t>元/大卡,含13</w:t>
      </w:r>
      <w:r>
        <w:rPr>
          <w:rFonts w:ascii="仿宋_GB2312" w:eastAsia="仿宋_GB2312"/>
          <w:color w:val="auto"/>
          <w:sz w:val="24"/>
          <w:highlight w:val="none"/>
        </w:rPr>
        <w:t>%增值税</w:t>
      </w:r>
      <w:r>
        <w:rPr>
          <w:rFonts w:hint="eastAsia" w:ascii="仿宋_GB2312" w:eastAsia="仿宋_GB2312"/>
          <w:color w:val="auto"/>
          <w:sz w:val="24"/>
          <w:highlight w:val="none"/>
        </w:rPr>
        <w:t>），若税率调整，单价须作相应调整。</w:t>
      </w:r>
    </w:p>
    <w:p>
      <w:pPr>
        <w:spacing w:line="500" w:lineRule="exact"/>
        <w:ind w:left="639" w:leftChars="190" w:hanging="240" w:hangingChars="100"/>
        <w:rPr>
          <w:rFonts w:ascii="仿宋_GB2312" w:eastAsia="仿宋_GB2312"/>
          <w:color w:val="auto"/>
          <w:sz w:val="24"/>
          <w:highlight w:val="none"/>
        </w:rPr>
      </w:pPr>
      <w:r>
        <w:rPr>
          <w:rFonts w:hint="eastAsia" w:ascii="仿宋_GB2312" w:eastAsia="仿宋_GB2312"/>
          <w:color w:val="auto"/>
          <w:sz w:val="24"/>
          <w:highlight w:val="none"/>
        </w:rPr>
        <w:t>4、履约金：乙方原投标保证金人民币壹万元整转为合同履约金。履约金在乙方履行完合同后五个工作日内退还；若乙方未能履约，将按乙方供应煤炭数量比例扣减该履约金，并按违约责任条款收取相应的违约金。</w:t>
      </w:r>
    </w:p>
    <w:p>
      <w:pPr>
        <w:snapToGrid w:val="0"/>
        <w:spacing w:line="500" w:lineRule="exact"/>
        <w:rPr>
          <w:rFonts w:ascii="仿宋_GB2312" w:hAnsi="宋体" w:eastAsia="仿宋_GB2312"/>
          <w:color w:val="auto"/>
          <w:sz w:val="24"/>
          <w:highlight w:val="none"/>
        </w:rPr>
      </w:pPr>
      <w:r>
        <w:rPr>
          <w:rFonts w:hint="eastAsia" w:ascii="仿宋_GB2312" w:hAnsi="宋体" w:eastAsia="仿宋_GB2312"/>
          <w:b/>
          <w:color w:val="auto"/>
          <w:sz w:val="24"/>
          <w:highlight w:val="none"/>
        </w:rPr>
        <w:t xml:space="preserve">第二条 交货时间、地点： </w:t>
      </w:r>
    </w:p>
    <w:p>
      <w:pPr>
        <w:snapToGrid w:val="0"/>
        <w:spacing w:line="500" w:lineRule="exact"/>
        <w:rPr>
          <w:rFonts w:ascii="仿宋_GB2312" w:hAnsi="宋体" w:eastAsia="仿宋_GB2312"/>
          <w:color w:val="auto"/>
          <w:sz w:val="24"/>
          <w:highlight w:val="none"/>
          <w:u w:val="single"/>
        </w:rPr>
      </w:pPr>
      <w:r>
        <w:rPr>
          <w:rFonts w:hint="eastAsia" w:ascii="仿宋_GB2312" w:hAnsi="宋体" w:eastAsia="仿宋_GB2312"/>
          <w:color w:val="auto"/>
          <w:sz w:val="24"/>
          <w:highlight w:val="none"/>
        </w:rPr>
        <w:t>　　1.合同期限及供货时间：合同有效期自</w:t>
      </w:r>
      <w:r>
        <w:rPr>
          <w:rFonts w:hint="eastAsia" w:ascii="仿宋_GB2312" w:hAnsi="宋体" w:eastAsia="仿宋_GB2312"/>
          <w:color w:val="auto"/>
          <w:sz w:val="24"/>
          <w:highlight w:val="none"/>
          <w:u w:val="single"/>
        </w:rPr>
        <w:t>合同签订</w:t>
      </w:r>
      <w:r>
        <w:rPr>
          <w:rFonts w:ascii="仿宋_GB2312" w:hAnsi="宋体" w:eastAsia="仿宋_GB2312"/>
          <w:color w:val="auto"/>
          <w:sz w:val="24"/>
          <w:highlight w:val="none"/>
          <w:u w:val="single"/>
        </w:rPr>
        <w:t>之日起</w:t>
      </w:r>
      <w:r>
        <w:rPr>
          <w:rFonts w:hint="eastAsia" w:ascii="仿宋_GB2312" w:hAnsi="宋体" w:eastAsia="仿宋_GB2312"/>
          <w:color w:val="auto"/>
          <w:sz w:val="24"/>
          <w:highlight w:val="none"/>
          <w:u w:val="single"/>
        </w:rPr>
        <w:t>至</w:t>
      </w:r>
      <w:r>
        <w:rPr>
          <w:rFonts w:ascii="仿宋_GB2312" w:hAnsi="宋体" w:eastAsia="仿宋_GB2312"/>
          <w:color w:val="auto"/>
          <w:sz w:val="24"/>
          <w:highlight w:val="none"/>
          <w:u w:val="single"/>
        </w:rPr>
        <w:t>2024</w:t>
      </w:r>
      <w:r>
        <w:rPr>
          <w:rFonts w:hint="eastAsia" w:ascii="仿宋_GB2312" w:hAnsi="宋体" w:eastAsia="仿宋_GB2312"/>
          <w:color w:val="auto"/>
          <w:sz w:val="24"/>
          <w:highlight w:val="none"/>
        </w:rPr>
        <w:t>年</w:t>
      </w:r>
      <w:r>
        <w:rPr>
          <w:rFonts w:hint="eastAsia" w:ascii="仿宋_GB2312" w:hAnsi="宋体" w:eastAsia="仿宋_GB2312"/>
          <w:color w:val="auto"/>
          <w:sz w:val="24"/>
          <w:highlight w:val="none"/>
          <w:u w:val="single"/>
          <w:lang w:val="en-US" w:eastAsia="zh-CN"/>
        </w:rPr>
        <w:t>6</w:t>
      </w:r>
      <w:r>
        <w:rPr>
          <w:rFonts w:hint="eastAsia" w:ascii="仿宋_GB2312" w:hAnsi="宋体" w:eastAsia="仿宋_GB2312"/>
          <w:color w:val="auto"/>
          <w:sz w:val="24"/>
          <w:highlight w:val="none"/>
        </w:rPr>
        <w:t>月</w:t>
      </w:r>
      <w:r>
        <w:rPr>
          <w:rFonts w:hint="eastAsia" w:ascii="仿宋_GB2312" w:hAnsi="宋体" w:eastAsia="仿宋_GB2312"/>
          <w:color w:val="auto"/>
          <w:sz w:val="24"/>
          <w:highlight w:val="none"/>
          <w:u w:val="single"/>
          <w:lang w:val="en-US" w:eastAsia="zh-CN"/>
        </w:rPr>
        <w:t>15</w:t>
      </w:r>
      <w:r>
        <w:rPr>
          <w:rFonts w:hint="eastAsia" w:ascii="仿宋_GB2312" w:hAnsi="宋体" w:eastAsia="仿宋_GB2312"/>
          <w:color w:val="auto"/>
          <w:sz w:val="24"/>
          <w:highlight w:val="none"/>
        </w:rPr>
        <w:t>日，甲方自合同签订之日起7日内通知乙方进煤，乙方须在收到通知后1</w:t>
      </w:r>
      <w:r>
        <w:rPr>
          <w:rFonts w:ascii="仿宋_GB2312" w:hAnsi="宋体" w:eastAsia="仿宋_GB2312"/>
          <w:color w:val="auto"/>
          <w:sz w:val="24"/>
          <w:highlight w:val="none"/>
        </w:rPr>
        <w:t>4日内按甲方要求</w:t>
      </w:r>
      <w:r>
        <w:rPr>
          <w:rFonts w:hint="eastAsia" w:ascii="仿宋_GB2312" w:hAnsi="宋体" w:eastAsia="仿宋_GB2312"/>
          <w:color w:val="auto"/>
          <w:sz w:val="24"/>
          <w:highlight w:val="none"/>
        </w:rPr>
        <w:t>均匀向甲方供货。</w:t>
      </w:r>
    </w:p>
    <w:p>
      <w:pPr>
        <w:snapToGrid w:val="0"/>
        <w:spacing w:line="500" w:lineRule="exact"/>
        <w:ind w:firstLine="480" w:firstLineChars="200"/>
        <w:rPr>
          <w:rFonts w:ascii="仿宋_GB2312" w:hAnsi="宋体" w:eastAsia="仿宋_GB2312"/>
          <w:color w:val="auto"/>
          <w:sz w:val="24"/>
          <w:highlight w:val="none"/>
        </w:rPr>
      </w:pPr>
      <w:r>
        <w:rPr>
          <w:rFonts w:hint="eastAsia" w:ascii="仿宋_GB2312" w:hAnsi="宋体" w:eastAsia="仿宋_GB2312"/>
          <w:color w:val="auto"/>
          <w:sz w:val="24"/>
          <w:highlight w:val="none"/>
        </w:rPr>
        <w:t>2.交货地点：厦门市同安区美禾三路399号</w:t>
      </w:r>
      <w:r>
        <w:rPr>
          <w:rFonts w:hint="eastAsia" w:ascii="仿宋_GB2312" w:eastAsia="仿宋_GB2312"/>
          <w:color w:val="auto"/>
          <w:sz w:val="24"/>
          <w:highlight w:val="none"/>
        </w:rPr>
        <w:t>甲方煤炭仓库</w:t>
      </w:r>
      <w:r>
        <w:rPr>
          <w:rFonts w:hint="eastAsia" w:ascii="仿宋_GB2312" w:hAnsi="宋体" w:eastAsia="仿宋_GB2312"/>
          <w:color w:val="auto"/>
          <w:sz w:val="24"/>
          <w:highlight w:val="none"/>
        </w:rPr>
        <w:t xml:space="preserve">。 </w:t>
      </w:r>
    </w:p>
    <w:p>
      <w:pPr>
        <w:spacing w:line="500" w:lineRule="exact"/>
        <w:rPr>
          <w:rFonts w:ascii="仿宋_GB2312" w:eastAsia="仿宋_GB2312"/>
          <w:b/>
          <w:color w:val="auto"/>
          <w:sz w:val="24"/>
          <w:highlight w:val="none"/>
        </w:rPr>
      </w:pPr>
      <w:r>
        <w:rPr>
          <w:rFonts w:hint="eastAsia" w:ascii="仿宋_GB2312" w:hAnsi="宋体" w:eastAsia="仿宋_GB2312"/>
          <w:b/>
          <w:color w:val="auto"/>
          <w:sz w:val="24"/>
          <w:highlight w:val="none"/>
        </w:rPr>
        <w:t xml:space="preserve">第三条  </w:t>
      </w:r>
      <w:r>
        <w:rPr>
          <w:rFonts w:hint="eastAsia" w:ascii="仿宋_GB2312" w:eastAsia="仿宋_GB2312"/>
          <w:b/>
          <w:color w:val="auto"/>
          <w:sz w:val="24"/>
          <w:highlight w:val="none"/>
        </w:rPr>
        <w:t>验收方式</w:t>
      </w:r>
    </w:p>
    <w:p>
      <w:pPr>
        <w:spacing w:line="500" w:lineRule="exact"/>
        <w:ind w:firstLine="240" w:firstLineChars="100"/>
        <w:rPr>
          <w:rFonts w:ascii="仿宋_GB2312" w:eastAsia="仿宋_GB2312"/>
          <w:color w:val="auto"/>
          <w:sz w:val="24"/>
          <w:highlight w:val="none"/>
        </w:rPr>
      </w:pPr>
      <w:r>
        <w:rPr>
          <w:rFonts w:hint="eastAsia" w:ascii="仿宋_GB2312" w:eastAsia="仿宋_GB2312"/>
          <w:color w:val="auto"/>
          <w:sz w:val="24"/>
          <w:highlight w:val="none"/>
        </w:rPr>
        <w:t>1、数量验收：</w:t>
      </w:r>
      <w:r>
        <w:rPr>
          <w:rFonts w:hint="eastAsia" w:ascii="仿宋_GB2312" w:hAnsi="宋体" w:eastAsia="仿宋_GB2312"/>
          <w:color w:val="auto"/>
          <w:sz w:val="24"/>
          <w:highlight w:val="none"/>
        </w:rPr>
        <w:t>以甲方厂内电子汽车衡的计量数据为准，双方共同监磅，并作为结算依据。如乙方需要，可以委托第三方进行过磅校验，费用由乙方负责。</w:t>
      </w:r>
    </w:p>
    <w:p>
      <w:pPr>
        <w:spacing w:line="500" w:lineRule="exact"/>
        <w:ind w:firstLine="240" w:firstLineChars="100"/>
        <w:rPr>
          <w:rFonts w:ascii="仿宋_GB2312" w:eastAsia="仿宋_GB2312"/>
          <w:color w:val="auto"/>
          <w:sz w:val="24"/>
          <w:highlight w:val="none"/>
        </w:rPr>
      </w:pPr>
      <w:r>
        <w:rPr>
          <w:rFonts w:hint="eastAsia" w:ascii="仿宋_GB2312" w:eastAsia="仿宋_GB2312"/>
          <w:color w:val="auto"/>
          <w:sz w:val="24"/>
          <w:highlight w:val="none"/>
        </w:rPr>
        <w:t>2、质量验收：</w:t>
      </w:r>
    </w:p>
    <w:p>
      <w:pPr>
        <w:spacing w:line="500" w:lineRule="exact"/>
        <w:ind w:firstLine="240" w:firstLineChars="100"/>
        <w:rPr>
          <w:rFonts w:ascii="仿宋_GB2312" w:eastAsia="仿宋_GB2312"/>
          <w:color w:val="auto"/>
          <w:sz w:val="24"/>
          <w:highlight w:val="none"/>
        </w:rPr>
      </w:pPr>
      <w:r>
        <w:rPr>
          <w:rFonts w:hint="eastAsia" w:ascii="仿宋_GB2312" w:eastAsia="仿宋_GB2312"/>
          <w:color w:val="auto"/>
          <w:sz w:val="24"/>
          <w:highlight w:val="none"/>
        </w:rPr>
        <w:t>（1）乙方提供给甲方的煤炭，甲方过磅后如发现恶意掺混煤矸石及其他杂质（水分、铁块、石块），有权进行扣重或者拒收，经警告后未做整改，甲方有权终止合同的执行，并追究相应的赔偿。</w:t>
      </w:r>
    </w:p>
    <w:p>
      <w:pPr>
        <w:spacing w:line="500" w:lineRule="exact"/>
        <w:ind w:firstLine="240" w:firstLineChars="100"/>
        <w:rPr>
          <w:rFonts w:ascii="仿宋_GB2312" w:eastAsia="仿宋_GB2312"/>
          <w:color w:val="auto"/>
          <w:sz w:val="24"/>
          <w:highlight w:val="none"/>
        </w:rPr>
      </w:pPr>
      <w:r>
        <w:rPr>
          <w:rFonts w:hint="eastAsia" w:ascii="仿宋_GB2312" w:eastAsia="仿宋_GB2312"/>
          <w:color w:val="auto"/>
          <w:sz w:val="24"/>
          <w:highlight w:val="none"/>
        </w:rPr>
        <w:t>（2）煤炭验收指标按甲方的招标文件公告及本合同条款执行。</w:t>
      </w:r>
    </w:p>
    <w:p>
      <w:pPr>
        <w:spacing w:line="500" w:lineRule="exact"/>
        <w:ind w:firstLine="240" w:firstLineChars="100"/>
        <w:rPr>
          <w:rFonts w:ascii="仿宋_GB2312" w:eastAsia="仿宋_GB2312"/>
          <w:color w:val="auto"/>
          <w:sz w:val="24"/>
          <w:highlight w:val="none"/>
        </w:rPr>
      </w:pPr>
      <w:r>
        <w:rPr>
          <w:rFonts w:hint="eastAsia" w:ascii="仿宋_GB2312" w:eastAsia="仿宋_GB2312"/>
          <w:color w:val="auto"/>
          <w:sz w:val="24"/>
          <w:highlight w:val="none"/>
        </w:rPr>
        <w:t>（3）双方应共同委托代表对煤炭的初检、采样、制样进行监督确认，原则上每进场五车作为一批次进行集中采样，当天不足五车的以实际进场车数为准；若甲方发现煤炭品质异常，有权调整取样车数。其中煤炭的综合样本乙方留存一份。乙方未经甲方许可不得进入干煤棚干预取样工作。若乙方未派代表则视为认可甲方取制样过程。</w:t>
      </w:r>
    </w:p>
    <w:p>
      <w:pPr>
        <w:spacing w:line="500" w:lineRule="exact"/>
        <w:ind w:firstLine="240" w:firstLineChars="100"/>
        <w:rPr>
          <w:rFonts w:ascii="仿宋_GB2312" w:eastAsia="仿宋_GB2312"/>
          <w:color w:val="auto"/>
          <w:sz w:val="24"/>
          <w:highlight w:val="none"/>
        </w:rPr>
      </w:pPr>
      <w:r>
        <w:rPr>
          <w:rFonts w:hint="eastAsia" w:ascii="仿宋_GB2312" w:eastAsia="仿宋_GB2312"/>
          <w:color w:val="auto"/>
          <w:sz w:val="24"/>
          <w:highlight w:val="none"/>
        </w:rPr>
        <w:t>（</w:t>
      </w:r>
      <w:r>
        <w:rPr>
          <w:rFonts w:ascii="仿宋_GB2312" w:eastAsia="仿宋_GB2312"/>
          <w:color w:val="auto"/>
          <w:sz w:val="24"/>
          <w:highlight w:val="none"/>
        </w:rPr>
        <w:t>4</w:t>
      </w:r>
      <w:r>
        <w:rPr>
          <w:rFonts w:hint="eastAsia" w:ascii="仿宋_GB2312" w:eastAsia="仿宋_GB2312"/>
          <w:color w:val="auto"/>
          <w:sz w:val="24"/>
          <w:highlight w:val="none"/>
        </w:rPr>
        <w:t>）煤样化验由甲方化验室化验人员按照现有的设备进行化验，并以化验出来的结果作为结算依据，如乙方对化验数据有异议，可以在收到结果后三日内要求具有C</w:t>
      </w:r>
      <w:r>
        <w:rPr>
          <w:rFonts w:ascii="仿宋_GB2312" w:eastAsia="仿宋_GB2312"/>
          <w:color w:val="auto"/>
          <w:sz w:val="24"/>
          <w:highlight w:val="none"/>
        </w:rPr>
        <w:t>MA认证的第三方</w:t>
      </w:r>
      <w:r>
        <w:rPr>
          <w:rFonts w:hint="eastAsia" w:ascii="仿宋_GB2312" w:eastAsia="仿宋_GB2312"/>
          <w:color w:val="auto"/>
          <w:sz w:val="24"/>
          <w:highlight w:val="none"/>
        </w:rPr>
        <w:t>质量</w:t>
      </w:r>
      <w:r>
        <w:rPr>
          <w:rFonts w:ascii="仿宋_GB2312" w:eastAsia="仿宋_GB2312"/>
          <w:color w:val="auto"/>
          <w:sz w:val="24"/>
          <w:highlight w:val="none"/>
        </w:rPr>
        <w:t>检验机构进行</w:t>
      </w:r>
      <w:r>
        <w:rPr>
          <w:rFonts w:hint="eastAsia" w:ascii="仿宋_GB2312" w:eastAsia="仿宋_GB2312"/>
          <w:color w:val="auto"/>
          <w:sz w:val="24"/>
          <w:highlight w:val="none"/>
        </w:rPr>
        <w:t>复检，超过三日视为对结果无异议。复检收到基热值相差在70kc</w:t>
      </w:r>
      <w:r>
        <w:rPr>
          <w:rFonts w:ascii="仿宋_GB2312" w:eastAsia="仿宋_GB2312"/>
          <w:color w:val="auto"/>
          <w:sz w:val="24"/>
          <w:highlight w:val="none"/>
        </w:rPr>
        <w:t>al</w:t>
      </w:r>
      <w:r>
        <w:rPr>
          <w:rFonts w:hint="eastAsia" w:ascii="仿宋_GB2312" w:eastAsia="仿宋_GB2312"/>
          <w:color w:val="auto"/>
          <w:sz w:val="24"/>
          <w:highlight w:val="none"/>
        </w:rPr>
        <w:t>/kg（含70kc</w:t>
      </w:r>
      <w:r>
        <w:rPr>
          <w:rFonts w:ascii="仿宋_GB2312" w:eastAsia="仿宋_GB2312"/>
          <w:color w:val="auto"/>
          <w:sz w:val="24"/>
          <w:highlight w:val="none"/>
        </w:rPr>
        <w:t>al</w:t>
      </w:r>
      <w:r>
        <w:rPr>
          <w:rFonts w:hint="eastAsia" w:ascii="仿宋_GB2312" w:eastAsia="仿宋_GB2312"/>
          <w:color w:val="auto"/>
          <w:sz w:val="24"/>
          <w:highlight w:val="none"/>
        </w:rPr>
        <w:t>/kg）以内的，应按原化验结果结算；若相差超过70kc</w:t>
      </w:r>
      <w:r>
        <w:rPr>
          <w:rFonts w:ascii="仿宋_GB2312" w:eastAsia="仿宋_GB2312"/>
          <w:color w:val="auto"/>
          <w:sz w:val="24"/>
          <w:highlight w:val="none"/>
        </w:rPr>
        <w:t>al</w:t>
      </w:r>
      <w:r>
        <w:rPr>
          <w:rFonts w:hint="eastAsia" w:ascii="仿宋_GB2312" w:eastAsia="仿宋_GB2312"/>
          <w:color w:val="auto"/>
          <w:sz w:val="24"/>
          <w:highlight w:val="none"/>
        </w:rPr>
        <w:t>/kg的，则按质量检验机构检验结果结算。其他指标复检结果在GB/T213-2003允许的标准误差内，以原化验数据为结算依据，复检结果在国家允许的标准误差外，以复检数据为结算依据；复检费用由责任方承担。</w:t>
      </w:r>
    </w:p>
    <w:p>
      <w:pPr>
        <w:spacing w:line="500" w:lineRule="exact"/>
        <w:ind w:firstLine="241" w:firstLineChars="100"/>
        <w:rPr>
          <w:rFonts w:ascii="仿宋_GB2312" w:eastAsia="仿宋_GB2312"/>
          <w:color w:val="auto"/>
          <w:sz w:val="24"/>
          <w:highlight w:val="none"/>
        </w:rPr>
      </w:pPr>
      <w:r>
        <w:rPr>
          <w:rFonts w:hint="eastAsia" w:ascii="仿宋_GB2312" w:eastAsia="仿宋_GB2312"/>
          <w:b/>
          <w:color w:val="auto"/>
          <w:sz w:val="24"/>
          <w:highlight w:val="none"/>
        </w:rPr>
        <w:t xml:space="preserve">第四条  </w:t>
      </w:r>
      <w:r>
        <w:rPr>
          <w:rFonts w:hint="eastAsia" w:ascii="仿宋_GB2312" w:hAnsi="宋体" w:eastAsia="仿宋_GB2312"/>
          <w:b/>
          <w:color w:val="auto"/>
          <w:sz w:val="24"/>
          <w:highlight w:val="none"/>
        </w:rPr>
        <w:t>质量标准（见表一）</w:t>
      </w:r>
    </w:p>
    <w:p>
      <w:pPr>
        <w:snapToGrid w:val="0"/>
        <w:spacing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表一：</w:t>
      </w:r>
    </w:p>
    <w:tbl>
      <w:tblPr>
        <w:tblStyle w:val="10"/>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880"/>
        <w:gridCol w:w="2340"/>
        <w:gridCol w:w="24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828"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序号</w:t>
            </w:r>
          </w:p>
        </w:tc>
        <w:tc>
          <w:tcPr>
            <w:tcW w:w="2880"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质量项目</w:t>
            </w:r>
          </w:p>
        </w:tc>
        <w:tc>
          <w:tcPr>
            <w:tcW w:w="2340"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标准</w:t>
            </w:r>
          </w:p>
        </w:tc>
        <w:tc>
          <w:tcPr>
            <w:tcW w:w="2474"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828"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1</w:t>
            </w:r>
          </w:p>
        </w:tc>
        <w:tc>
          <w:tcPr>
            <w:tcW w:w="2880" w:type="dxa"/>
            <w:vAlign w:val="center"/>
          </w:tcPr>
          <w:p>
            <w:pPr>
              <w:rPr>
                <w:rFonts w:ascii="仿宋_GB2312" w:eastAsia="仿宋_GB2312"/>
                <w:color w:val="auto"/>
                <w:sz w:val="24"/>
                <w:highlight w:val="none"/>
              </w:rPr>
            </w:pPr>
            <w:r>
              <w:rPr>
                <w:rFonts w:hint="eastAsia" w:ascii="仿宋_GB2312" w:eastAsia="仿宋_GB2312"/>
                <w:color w:val="auto"/>
                <w:sz w:val="24"/>
                <w:highlight w:val="none"/>
              </w:rPr>
              <w:t>收到基低位热量</w:t>
            </w:r>
          </w:p>
        </w:tc>
        <w:tc>
          <w:tcPr>
            <w:tcW w:w="2340" w:type="dxa"/>
          </w:tcPr>
          <w:p>
            <w:pPr>
              <w:jc w:val="center"/>
              <w:rPr>
                <w:rFonts w:ascii="仿宋_GB2312" w:eastAsia="仿宋_GB2312"/>
                <w:color w:val="auto"/>
                <w:sz w:val="24"/>
                <w:highlight w:val="none"/>
              </w:rPr>
            </w:pPr>
            <w:r>
              <w:rPr>
                <w:rFonts w:hint="eastAsia" w:ascii="宋体" w:hAnsi="宋体" w:cs="宋体"/>
                <w:color w:val="auto"/>
                <w:sz w:val="24"/>
                <w:szCs w:val="24"/>
                <w:highlight w:val="none"/>
              </w:rPr>
              <w:t>5000±200 cal/g</w:t>
            </w:r>
          </w:p>
        </w:tc>
        <w:tc>
          <w:tcPr>
            <w:tcW w:w="2474" w:type="dxa"/>
            <w:vMerge w:val="restart"/>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考核项</w:t>
            </w:r>
          </w:p>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828"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2</w:t>
            </w:r>
          </w:p>
        </w:tc>
        <w:tc>
          <w:tcPr>
            <w:tcW w:w="2880" w:type="dxa"/>
            <w:vAlign w:val="center"/>
          </w:tcPr>
          <w:p>
            <w:pPr>
              <w:rPr>
                <w:rFonts w:ascii="仿宋_GB2312" w:eastAsia="仿宋_GB2312"/>
                <w:color w:val="auto"/>
                <w:sz w:val="24"/>
                <w:highlight w:val="none"/>
              </w:rPr>
            </w:pPr>
            <w:r>
              <w:rPr>
                <w:rFonts w:hint="eastAsia" w:ascii="仿宋_GB2312" w:eastAsia="仿宋_GB2312"/>
                <w:color w:val="auto"/>
                <w:sz w:val="24"/>
                <w:highlight w:val="none"/>
              </w:rPr>
              <w:t>全硫分</w:t>
            </w:r>
          </w:p>
        </w:tc>
        <w:tc>
          <w:tcPr>
            <w:tcW w:w="2340" w:type="dxa"/>
          </w:tcPr>
          <w:p>
            <w:pPr>
              <w:jc w:val="center"/>
              <w:rPr>
                <w:rFonts w:ascii="仿宋_GB2312" w:eastAsia="仿宋_GB2312"/>
                <w:color w:val="auto"/>
                <w:sz w:val="24"/>
                <w:highlight w:val="none"/>
              </w:rPr>
            </w:pPr>
            <w:r>
              <w:rPr>
                <w:rFonts w:hint="eastAsia" w:ascii="宋体" w:hAnsi="宋体" w:cs="宋体"/>
                <w:color w:val="auto"/>
                <w:sz w:val="24"/>
                <w:szCs w:val="24"/>
                <w:highlight w:val="none"/>
              </w:rPr>
              <w:t>S≤0.5%</w:t>
            </w:r>
          </w:p>
        </w:tc>
        <w:tc>
          <w:tcPr>
            <w:tcW w:w="2474" w:type="dxa"/>
            <w:vMerge w:val="continue"/>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828"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3</w:t>
            </w:r>
          </w:p>
        </w:tc>
        <w:tc>
          <w:tcPr>
            <w:tcW w:w="2880" w:type="dxa"/>
            <w:vAlign w:val="center"/>
          </w:tcPr>
          <w:p>
            <w:pPr>
              <w:rPr>
                <w:rFonts w:ascii="仿宋_GB2312" w:eastAsia="仿宋_GB2312"/>
                <w:color w:val="auto"/>
                <w:sz w:val="24"/>
                <w:highlight w:val="none"/>
              </w:rPr>
            </w:pPr>
            <w:r>
              <w:rPr>
                <w:rFonts w:hint="eastAsia" w:ascii="仿宋_GB2312" w:eastAsia="仿宋_GB2312"/>
                <w:color w:val="auto"/>
                <w:sz w:val="24"/>
                <w:highlight w:val="none"/>
              </w:rPr>
              <w:t>收到基水分</w:t>
            </w:r>
          </w:p>
        </w:tc>
        <w:tc>
          <w:tcPr>
            <w:tcW w:w="2340" w:type="dxa"/>
          </w:tcPr>
          <w:p>
            <w:pPr>
              <w:jc w:val="center"/>
              <w:rPr>
                <w:rFonts w:ascii="仿宋_GB2312" w:eastAsia="仿宋_GB2312"/>
                <w:color w:val="auto"/>
                <w:sz w:val="24"/>
                <w:highlight w:val="none"/>
              </w:rPr>
            </w:pPr>
            <w:r>
              <w:rPr>
                <w:rFonts w:hint="eastAsia"/>
                <w:color w:val="auto"/>
                <w:highlight w:val="none"/>
              </w:rPr>
              <w:t>≤8%</w:t>
            </w:r>
          </w:p>
        </w:tc>
        <w:tc>
          <w:tcPr>
            <w:tcW w:w="2474" w:type="dxa"/>
            <w:vMerge w:val="continue"/>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828"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4</w:t>
            </w:r>
          </w:p>
        </w:tc>
        <w:tc>
          <w:tcPr>
            <w:tcW w:w="2880" w:type="dxa"/>
            <w:vAlign w:val="center"/>
          </w:tcPr>
          <w:p>
            <w:pPr>
              <w:rPr>
                <w:rFonts w:ascii="仿宋_GB2312" w:eastAsia="仿宋_GB2312"/>
                <w:color w:val="auto"/>
                <w:sz w:val="24"/>
                <w:highlight w:val="none"/>
              </w:rPr>
            </w:pPr>
            <w:r>
              <w:rPr>
                <w:rFonts w:hint="eastAsia" w:ascii="仿宋_GB2312" w:eastAsia="仿宋_GB2312"/>
                <w:color w:val="auto"/>
                <w:sz w:val="24"/>
                <w:highlight w:val="none"/>
              </w:rPr>
              <w:t>空干基挥发分</w:t>
            </w:r>
          </w:p>
        </w:tc>
        <w:tc>
          <w:tcPr>
            <w:tcW w:w="2340" w:type="dxa"/>
          </w:tcPr>
          <w:p>
            <w:pPr>
              <w:jc w:val="center"/>
              <w:rPr>
                <w:rFonts w:ascii="仿宋_GB2312" w:hAnsi="宋体" w:eastAsia="仿宋_GB2312"/>
                <w:color w:val="auto"/>
                <w:sz w:val="24"/>
                <w:highlight w:val="none"/>
              </w:rPr>
            </w:pPr>
            <w:r>
              <w:rPr>
                <w:rFonts w:hint="eastAsia"/>
                <w:color w:val="auto"/>
                <w:highlight w:val="none"/>
              </w:rPr>
              <w:t>＜6%</w:t>
            </w:r>
          </w:p>
        </w:tc>
        <w:tc>
          <w:tcPr>
            <w:tcW w:w="2474" w:type="dxa"/>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828"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5</w:t>
            </w:r>
          </w:p>
        </w:tc>
        <w:tc>
          <w:tcPr>
            <w:tcW w:w="2880" w:type="dxa"/>
            <w:vAlign w:val="center"/>
          </w:tcPr>
          <w:p>
            <w:pPr>
              <w:rPr>
                <w:rFonts w:ascii="仿宋_GB2312" w:eastAsia="仿宋_GB2312"/>
                <w:color w:val="auto"/>
                <w:sz w:val="24"/>
                <w:highlight w:val="none"/>
              </w:rPr>
            </w:pPr>
            <w:r>
              <w:rPr>
                <w:rFonts w:hint="eastAsia" w:ascii="仿宋_GB2312" w:eastAsia="仿宋_GB2312"/>
                <w:color w:val="auto"/>
                <w:sz w:val="24"/>
                <w:highlight w:val="none"/>
              </w:rPr>
              <w:t>空干基灰分</w:t>
            </w:r>
          </w:p>
        </w:tc>
        <w:tc>
          <w:tcPr>
            <w:tcW w:w="2340" w:type="dxa"/>
          </w:tcPr>
          <w:p>
            <w:pPr>
              <w:jc w:val="center"/>
              <w:rPr>
                <w:rFonts w:ascii="仿宋_GB2312" w:eastAsia="仿宋_GB2312"/>
                <w:color w:val="auto"/>
                <w:sz w:val="24"/>
                <w:highlight w:val="none"/>
              </w:rPr>
            </w:pPr>
            <w:r>
              <w:rPr>
                <w:rFonts w:hint="eastAsia"/>
                <w:color w:val="auto"/>
                <w:highlight w:val="none"/>
              </w:rPr>
              <w:t>≤30%</w:t>
            </w:r>
          </w:p>
        </w:tc>
        <w:tc>
          <w:tcPr>
            <w:tcW w:w="2474" w:type="dxa"/>
            <w:vMerge w:val="restart"/>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exact"/>
          <w:jc w:val="center"/>
        </w:trPr>
        <w:tc>
          <w:tcPr>
            <w:tcW w:w="828" w:type="dxa"/>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6</w:t>
            </w:r>
          </w:p>
        </w:tc>
        <w:tc>
          <w:tcPr>
            <w:tcW w:w="2880" w:type="dxa"/>
            <w:vAlign w:val="center"/>
          </w:tcPr>
          <w:p>
            <w:pPr>
              <w:rPr>
                <w:rFonts w:ascii="仿宋_GB2312" w:eastAsia="仿宋_GB2312"/>
                <w:color w:val="auto"/>
                <w:sz w:val="24"/>
                <w:highlight w:val="none"/>
              </w:rPr>
            </w:pPr>
            <w:r>
              <w:rPr>
                <w:rFonts w:hint="eastAsia" w:ascii="仿宋_GB2312" w:eastAsia="仿宋_GB2312"/>
                <w:color w:val="auto"/>
                <w:sz w:val="24"/>
                <w:highlight w:val="none"/>
              </w:rPr>
              <w:t>机械杂质</w:t>
            </w:r>
          </w:p>
        </w:tc>
        <w:tc>
          <w:tcPr>
            <w:tcW w:w="4814" w:type="dxa"/>
            <w:gridSpan w:val="2"/>
            <w:vAlign w:val="center"/>
          </w:tcPr>
          <w:p>
            <w:pPr>
              <w:jc w:val="center"/>
              <w:rPr>
                <w:rFonts w:ascii="仿宋_GB2312" w:eastAsia="仿宋_GB2312"/>
                <w:color w:val="auto"/>
                <w:sz w:val="24"/>
                <w:highlight w:val="none"/>
              </w:rPr>
            </w:pPr>
            <w:r>
              <w:rPr>
                <w:rFonts w:hint="eastAsia" w:ascii="仿宋_GB2312" w:eastAsia="仿宋_GB2312"/>
                <w:color w:val="auto"/>
                <w:sz w:val="24"/>
                <w:highlight w:val="none"/>
              </w:rPr>
              <w:t>无大块石块，木块，铁块、无杂质</w:t>
            </w:r>
          </w:p>
        </w:tc>
      </w:tr>
    </w:tbl>
    <w:p>
      <w:pPr>
        <w:spacing w:line="500" w:lineRule="exact"/>
        <w:rPr>
          <w:rFonts w:ascii="仿宋_GB2312" w:eastAsia="仿宋_GB2312"/>
          <w:b/>
          <w:color w:val="auto"/>
          <w:sz w:val="24"/>
          <w:highlight w:val="none"/>
        </w:rPr>
      </w:pPr>
      <w:r>
        <w:rPr>
          <w:rFonts w:hint="eastAsia" w:ascii="仿宋_GB2312" w:eastAsia="仿宋_GB2312"/>
          <w:b/>
          <w:color w:val="auto"/>
          <w:sz w:val="24"/>
          <w:highlight w:val="none"/>
        </w:rPr>
        <w:t>第五条  结算方式</w:t>
      </w:r>
    </w:p>
    <w:p>
      <w:pPr>
        <w:spacing w:line="500" w:lineRule="exact"/>
        <w:ind w:left="240"/>
        <w:rPr>
          <w:rFonts w:ascii="仿宋_GB2312" w:eastAsia="仿宋_GB2312"/>
          <w:color w:val="auto"/>
          <w:sz w:val="24"/>
          <w:highlight w:val="none"/>
        </w:rPr>
      </w:pPr>
      <w:r>
        <w:rPr>
          <w:rFonts w:hint="eastAsia" w:ascii="仿宋_GB2312" w:eastAsia="仿宋_GB2312"/>
          <w:color w:val="auto"/>
          <w:sz w:val="24"/>
          <w:highlight w:val="none"/>
        </w:rPr>
        <w:t>1、结算</w:t>
      </w:r>
      <w:r>
        <w:rPr>
          <w:rFonts w:hint="eastAsia" w:ascii="仿宋_GB2312" w:eastAsia="仿宋_GB2312"/>
          <w:color w:val="auto"/>
          <w:sz w:val="24"/>
          <w:highlight w:val="none"/>
          <w:lang w:val="en-US" w:eastAsia="zh-CN"/>
        </w:rPr>
        <w:t>周期</w:t>
      </w:r>
      <w:r>
        <w:rPr>
          <w:rFonts w:hint="eastAsia" w:ascii="仿宋_GB2312" w:eastAsia="仿宋_GB2312"/>
          <w:color w:val="auto"/>
          <w:sz w:val="24"/>
          <w:highlight w:val="none"/>
        </w:rPr>
        <w:t>：</w:t>
      </w:r>
      <w:r>
        <w:rPr>
          <w:rFonts w:hint="eastAsia" w:ascii="仿宋_GB2312" w:eastAsia="仿宋_GB2312"/>
          <w:color w:val="auto"/>
          <w:sz w:val="24"/>
          <w:highlight w:val="none"/>
          <w:lang w:val="en-US" w:eastAsia="zh-CN"/>
        </w:rPr>
        <w:t>累计进煤</w:t>
      </w:r>
      <w:r>
        <w:rPr>
          <w:rFonts w:hint="eastAsia" w:ascii="仿宋_GB2312" w:eastAsia="仿宋_GB2312"/>
          <w:color w:val="auto"/>
          <w:sz w:val="24"/>
          <w:highlight w:val="none"/>
        </w:rPr>
        <w:t>十天核算一次，</w:t>
      </w:r>
      <w:r>
        <w:rPr>
          <w:rFonts w:hint="eastAsia" w:ascii="仿宋_GB2312" w:eastAsia="仿宋_GB2312"/>
          <w:color w:val="auto"/>
          <w:sz w:val="24"/>
          <w:highlight w:val="none"/>
          <w:lang w:val="en-US" w:eastAsia="zh-CN"/>
        </w:rPr>
        <w:t>或进煤不足十天合同完成核算一次</w:t>
      </w:r>
      <w:r>
        <w:rPr>
          <w:rFonts w:hint="eastAsia" w:ascii="仿宋_GB2312" w:eastAsia="仿宋_GB2312"/>
          <w:color w:val="auto"/>
          <w:sz w:val="24"/>
          <w:highlight w:val="none"/>
        </w:rPr>
        <w:t>。</w:t>
      </w:r>
    </w:p>
    <w:p>
      <w:pPr>
        <w:spacing w:line="500" w:lineRule="exact"/>
        <w:ind w:firstLine="240" w:firstLineChars="100"/>
        <w:rPr>
          <w:rFonts w:ascii="仿宋_GB2312" w:eastAsia="仿宋_GB2312"/>
          <w:color w:val="auto"/>
          <w:sz w:val="24"/>
          <w:highlight w:val="none"/>
        </w:rPr>
      </w:pPr>
      <w:r>
        <w:rPr>
          <w:rFonts w:hint="eastAsia" w:ascii="仿宋_GB2312" w:eastAsia="仿宋_GB2312"/>
          <w:color w:val="auto"/>
          <w:sz w:val="24"/>
          <w:highlight w:val="none"/>
        </w:rPr>
        <w:t>2、结算办法：在基价的基础上实行以质论价、质价联动的计算方法，质量考核浮动单价表见表二。</w:t>
      </w:r>
    </w:p>
    <w:p>
      <w:pPr>
        <w:spacing w:line="500" w:lineRule="exact"/>
        <w:ind w:firstLine="240" w:firstLineChars="100"/>
        <w:rPr>
          <w:rFonts w:ascii="仿宋_GB2312" w:eastAsia="仿宋_GB2312"/>
          <w:color w:val="auto"/>
          <w:sz w:val="24"/>
          <w:highlight w:val="none"/>
        </w:rPr>
      </w:pPr>
      <w:r>
        <w:rPr>
          <w:rFonts w:hint="eastAsia" w:ascii="仿宋_GB2312" w:eastAsia="仿宋_GB2312"/>
          <w:color w:val="auto"/>
          <w:sz w:val="24"/>
          <w:highlight w:val="none"/>
        </w:rPr>
        <w:t>3、若在执行合同期间，乙方当月无法完成的，经甲方书面同意可将合同量顺延至下月，若市场价格下降则应按下降后价格执行结算，价格上升时则按原合同价执行。</w:t>
      </w:r>
    </w:p>
    <w:p>
      <w:pPr>
        <w:spacing w:line="500" w:lineRule="exact"/>
        <w:ind w:firstLine="240" w:firstLineChars="100"/>
        <w:rPr>
          <w:rFonts w:ascii="仿宋_GB2312" w:eastAsia="仿宋_GB2312"/>
          <w:color w:val="auto"/>
          <w:sz w:val="24"/>
          <w:highlight w:val="none"/>
        </w:rPr>
      </w:pPr>
      <w:r>
        <w:rPr>
          <w:rFonts w:hint="eastAsia" w:ascii="仿宋_GB2312" w:eastAsia="仿宋_GB2312"/>
          <w:color w:val="auto"/>
          <w:sz w:val="24"/>
          <w:highlight w:val="none"/>
        </w:rPr>
        <w:t>表二：煤质考核结算表</w:t>
      </w:r>
    </w:p>
    <w:tbl>
      <w:tblPr>
        <w:tblStyle w:val="10"/>
        <w:tblpPr w:leftFromText="180" w:rightFromText="180" w:vertAnchor="text" w:horzAnchor="page" w:tblpX="1867" w:tblpY="241"/>
        <w:tblOverlap w:val="never"/>
        <w:tblW w:w="862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3060"/>
        <w:gridCol w:w="3240"/>
        <w:gridCol w:w="9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1368" w:type="dxa"/>
            <w:vAlign w:val="center"/>
          </w:tcPr>
          <w:p>
            <w:pPr>
              <w:spacing w:line="500" w:lineRule="exact"/>
              <w:jc w:val="left"/>
              <w:rPr>
                <w:rFonts w:ascii="宋体" w:hAnsi="宋体"/>
                <w:color w:val="auto"/>
                <w:sz w:val="24"/>
                <w:highlight w:val="none"/>
              </w:rPr>
            </w:pPr>
            <w:r>
              <w:rPr>
                <w:rFonts w:hint="eastAsia" w:ascii="仿宋_GB2312" w:eastAsia="仿宋_GB2312"/>
                <w:color w:val="auto"/>
                <w:sz w:val="24"/>
                <w:highlight w:val="none"/>
              </w:rPr>
              <w:t xml:space="preserve"> </w:t>
            </w:r>
            <w:r>
              <w:rPr>
                <w:rFonts w:hint="eastAsia" w:ascii="宋体" w:hAnsi="宋体"/>
                <w:color w:val="auto"/>
                <w:sz w:val="24"/>
                <w:highlight w:val="none"/>
              </w:rPr>
              <w:t>质量项目</w:t>
            </w:r>
          </w:p>
        </w:tc>
        <w:tc>
          <w:tcPr>
            <w:tcW w:w="3060" w:type="dxa"/>
            <w:vAlign w:val="center"/>
          </w:tcPr>
          <w:p>
            <w:pPr>
              <w:spacing w:line="500" w:lineRule="exact"/>
              <w:jc w:val="left"/>
              <w:rPr>
                <w:rFonts w:ascii="宋体" w:hAnsi="宋体"/>
                <w:color w:val="auto"/>
                <w:sz w:val="24"/>
                <w:highlight w:val="none"/>
              </w:rPr>
            </w:pPr>
            <w:r>
              <w:rPr>
                <w:rFonts w:hint="eastAsia" w:ascii="宋体" w:hAnsi="宋体"/>
                <w:color w:val="auto"/>
                <w:sz w:val="24"/>
                <w:highlight w:val="none"/>
              </w:rPr>
              <w:t>标准</w:t>
            </w:r>
          </w:p>
        </w:tc>
        <w:tc>
          <w:tcPr>
            <w:tcW w:w="3240" w:type="dxa"/>
            <w:vAlign w:val="center"/>
          </w:tcPr>
          <w:p>
            <w:pPr>
              <w:spacing w:line="500" w:lineRule="exact"/>
              <w:jc w:val="left"/>
              <w:rPr>
                <w:rFonts w:ascii="宋体" w:hAnsi="宋体"/>
                <w:color w:val="auto"/>
                <w:sz w:val="24"/>
                <w:highlight w:val="none"/>
              </w:rPr>
            </w:pPr>
            <w:r>
              <w:rPr>
                <w:rFonts w:hint="eastAsia" w:ascii="宋体" w:hAnsi="宋体"/>
                <w:color w:val="auto"/>
                <w:sz w:val="24"/>
                <w:highlight w:val="none"/>
              </w:rPr>
              <w:t>结算价</w:t>
            </w:r>
          </w:p>
        </w:tc>
        <w:tc>
          <w:tcPr>
            <w:tcW w:w="956" w:type="dxa"/>
            <w:vAlign w:val="center"/>
          </w:tcPr>
          <w:p>
            <w:pPr>
              <w:spacing w:line="500" w:lineRule="exact"/>
              <w:jc w:val="left"/>
              <w:rPr>
                <w:rFonts w:ascii="仿宋_GB2312" w:eastAsia="仿宋_GB2312"/>
                <w:color w:val="auto"/>
                <w:sz w:val="24"/>
                <w:highlight w:val="none"/>
              </w:rPr>
            </w:pPr>
            <w:r>
              <w:rPr>
                <w:rFonts w:hint="eastAsia" w:ascii="仿宋_GB2312" w:eastAsia="仿宋_GB2312"/>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9" w:hRule="exact"/>
        </w:trPr>
        <w:tc>
          <w:tcPr>
            <w:tcW w:w="1368" w:type="dxa"/>
            <w:vMerge w:val="restart"/>
            <w:vAlign w:val="center"/>
          </w:tcPr>
          <w:p>
            <w:pPr>
              <w:jc w:val="center"/>
              <w:rPr>
                <w:rFonts w:ascii="宋体" w:hAnsi="宋体"/>
                <w:color w:val="auto"/>
                <w:sz w:val="24"/>
                <w:highlight w:val="none"/>
              </w:rPr>
            </w:pPr>
            <w:r>
              <w:rPr>
                <w:rFonts w:hint="eastAsia" w:ascii="宋体" w:hAnsi="宋体"/>
                <w:color w:val="auto"/>
                <w:sz w:val="24"/>
                <w:highlight w:val="none"/>
              </w:rPr>
              <w:t>单样热值（大卡/千克）</w:t>
            </w:r>
          </w:p>
        </w:tc>
        <w:tc>
          <w:tcPr>
            <w:tcW w:w="3060" w:type="dxa"/>
            <w:vAlign w:val="center"/>
          </w:tcPr>
          <w:p>
            <w:pPr>
              <w:jc w:val="center"/>
              <w:rPr>
                <w:rFonts w:ascii="宋体" w:hAnsi="宋体"/>
                <w:color w:val="auto"/>
                <w:sz w:val="24"/>
                <w:highlight w:val="none"/>
              </w:rPr>
            </w:pPr>
            <w:r>
              <w:rPr>
                <w:rFonts w:hint="eastAsia" w:ascii="宋体" w:hAnsi="宋体"/>
                <w:color w:val="auto"/>
                <w:sz w:val="24"/>
                <w:highlight w:val="none"/>
              </w:rPr>
              <w:t>单样热值＞5200</w:t>
            </w:r>
          </w:p>
        </w:tc>
        <w:tc>
          <w:tcPr>
            <w:tcW w:w="3240" w:type="dxa"/>
            <w:vAlign w:val="center"/>
          </w:tcPr>
          <w:p>
            <w:pPr>
              <w:jc w:val="center"/>
              <w:rPr>
                <w:rFonts w:ascii="宋体" w:hAnsi="宋体"/>
                <w:color w:val="auto"/>
                <w:sz w:val="24"/>
                <w:highlight w:val="none"/>
              </w:rPr>
            </w:pPr>
            <w:r>
              <w:rPr>
                <w:rFonts w:hint="eastAsia" w:ascii="宋体" w:hAnsi="宋体"/>
                <w:color w:val="auto"/>
                <w:sz w:val="24"/>
                <w:highlight w:val="none"/>
              </w:rPr>
              <w:t>(5200/5000)×合同基价；</w:t>
            </w:r>
          </w:p>
        </w:tc>
        <w:tc>
          <w:tcPr>
            <w:tcW w:w="956" w:type="dxa"/>
            <w:vMerge w:val="restart"/>
            <w:vAlign w:val="center"/>
          </w:tcPr>
          <w:p>
            <w:pPr>
              <w:rPr>
                <w:rFonts w:ascii="宋体" w:hAnsi="宋体"/>
                <w:color w:val="auto"/>
                <w:sz w:val="24"/>
                <w:highlight w:val="none"/>
              </w:rPr>
            </w:pPr>
            <w:r>
              <w:rPr>
                <w:rFonts w:hint="eastAsia" w:ascii="宋体" w:hAnsi="宋体"/>
                <w:color w:val="auto"/>
                <w:sz w:val="24"/>
                <w:highlight w:val="none"/>
              </w:rPr>
              <w:t>考核指标中的水分、硫分、热值均以单样为依据，价款均为含税价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9" w:hRule="atLeast"/>
        </w:trPr>
        <w:tc>
          <w:tcPr>
            <w:tcW w:w="1368" w:type="dxa"/>
            <w:vMerge w:val="continue"/>
            <w:vAlign w:val="center"/>
          </w:tcPr>
          <w:p>
            <w:pPr>
              <w:jc w:val="center"/>
              <w:rPr>
                <w:rFonts w:ascii="宋体" w:hAnsi="宋体"/>
                <w:color w:val="auto"/>
                <w:sz w:val="24"/>
                <w:highlight w:val="none"/>
              </w:rPr>
            </w:pPr>
          </w:p>
        </w:tc>
        <w:tc>
          <w:tcPr>
            <w:tcW w:w="3060" w:type="dxa"/>
          </w:tcPr>
          <w:p>
            <w:pPr>
              <w:jc w:val="center"/>
              <w:rPr>
                <w:rFonts w:ascii="宋体" w:hAnsi="宋体"/>
                <w:color w:val="auto"/>
                <w:sz w:val="24"/>
                <w:highlight w:val="none"/>
              </w:rPr>
            </w:pPr>
            <w:r>
              <w:rPr>
                <w:rFonts w:hint="eastAsia" w:ascii="宋体" w:hAnsi="宋体"/>
                <w:color w:val="auto"/>
                <w:sz w:val="24"/>
                <w:highlight w:val="none"/>
              </w:rPr>
              <w:t>4800≤单样热值≤5200</w:t>
            </w:r>
          </w:p>
        </w:tc>
        <w:tc>
          <w:tcPr>
            <w:tcW w:w="3240" w:type="dxa"/>
          </w:tcPr>
          <w:p>
            <w:pPr>
              <w:jc w:val="center"/>
              <w:rPr>
                <w:rFonts w:ascii="宋体" w:hAnsi="宋体"/>
                <w:color w:val="auto"/>
                <w:sz w:val="24"/>
                <w:highlight w:val="none"/>
              </w:rPr>
            </w:pPr>
            <w:r>
              <w:rPr>
                <w:rFonts w:hint="eastAsia" w:ascii="宋体" w:hAnsi="宋体"/>
                <w:color w:val="auto"/>
                <w:sz w:val="24"/>
                <w:highlight w:val="none"/>
              </w:rPr>
              <w:t>（单样热值/5000）×合同基价</w:t>
            </w:r>
          </w:p>
        </w:tc>
        <w:tc>
          <w:tcPr>
            <w:tcW w:w="956" w:type="dxa"/>
            <w:vMerge w:val="continue"/>
            <w:vAlign w:val="center"/>
          </w:tcPr>
          <w:p>
            <w:pP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3" w:hRule="atLeast"/>
        </w:trPr>
        <w:tc>
          <w:tcPr>
            <w:tcW w:w="1368" w:type="dxa"/>
            <w:vMerge w:val="continue"/>
            <w:vAlign w:val="center"/>
          </w:tcPr>
          <w:p>
            <w:pPr>
              <w:jc w:val="center"/>
              <w:rPr>
                <w:rFonts w:ascii="宋体" w:hAnsi="宋体"/>
                <w:color w:val="auto"/>
                <w:sz w:val="24"/>
                <w:highlight w:val="none"/>
              </w:rPr>
            </w:pPr>
          </w:p>
        </w:tc>
        <w:tc>
          <w:tcPr>
            <w:tcW w:w="3060" w:type="dxa"/>
          </w:tcPr>
          <w:p>
            <w:pPr>
              <w:jc w:val="center"/>
              <w:rPr>
                <w:rFonts w:ascii="宋体" w:hAnsi="宋体"/>
                <w:color w:val="auto"/>
                <w:sz w:val="24"/>
                <w:highlight w:val="none"/>
              </w:rPr>
            </w:pPr>
            <w:r>
              <w:rPr>
                <w:rFonts w:hint="eastAsia" w:ascii="宋体" w:hAnsi="宋体"/>
                <w:color w:val="auto"/>
                <w:sz w:val="24"/>
                <w:highlight w:val="none"/>
              </w:rPr>
              <w:t>单样热值＜4800</w:t>
            </w:r>
          </w:p>
        </w:tc>
        <w:tc>
          <w:tcPr>
            <w:tcW w:w="3240" w:type="dxa"/>
          </w:tcPr>
          <w:p>
            <w:pPr>
              <w:jc w:val="center"/>
              <w:rPr>
                <w:rFonts w:ascii="宋体" w:hAnsi="宋体"/>
                <w:color w:val="auto"/>
                <w:sz w:val="24"/>
                <w:highlight w:val="none"/>
              </w:rPr>
            </w:pPr>
            <w:r>
              <w:rPr>
                <w:rFonts w:hint="eastAsia" w:ascii="宋体" w:hAnsi="宋体"/>
                <w:color w:val="auto"/>
                <w:sz w:val="24"/>
                <w:highlight w:val="none"/>
              </w:rPr>
              <w:t>(单样热值/5000)×合同基价另加扣20元/吨</w:t>
            </w:r>
          </w:p>
        </w:tc>
        <w:tc>
          <w:tcPr>
            <w:tcW w:w="956" w:type="dxa"/>
            <w:vMerge w:val="continue"/>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3" w:hRule="atLeast"/>
        </w:trPr>
        <w:tc>
          <w:tcPr>
            <w:tcW w:w="1368" w:type="dxa"/>
            <w:vMerge w:val="continue"/>
            <w:vAlign w:val="center"/>
          </w:tcPr>
          <w:p>
            <w:pPr>
              <w:jc w:val="center"/>
              <w:rPr>
                <w:rFonts w:ascii="宋体" w:hAnsi="宋体"/>
                <w:color w:val="auto"/>
                <w:sz w:val="24"/>
                <w:highlight w:val="none"/>
              </w:rPr>
            </w:pPr>
          </w:p>
        </w:tc>
        <w:tc>
          <w:tcPr>
            <w:tcW w:w="3060" w:type="dxa"/>
            <w:vAlign w:val="center"/>
          </w:tcPr>
          <w:p>
            <w:pPr>
              <w:jc w:val="center"/>
              <w:rPr>
                <w:rFonts w:ascii="宋体" w:hAnsi="宋体"/>
                <w:color w:val="auto"/>
                <w:sz w:val="24"/>
                <w:highlight w:val="none"/>
              </w:rPr>
            </w:pPr>
            <w:r>
              <w:rPr>
                <w:rFonts w:hint="eastAsia" w:ascii="宋体" w:hAnsi="宋体"/>
                <w:color w:val="auto"/>
                <w:sz w:val="24"/>
                <w:highlight w:val="none"/>
              </w:rPr>
              <w:t>单样热值＜</w:t>
            </w:r>
            <w:r>
              <w:rPr>
                <w:rFonts w:ascii="宋体" w:hAnsi="宋体"/>
                <w:color w:val="auto"/>
                <w:sz w:val="24"/>
                <w:highlight w:val="none"/>
              </w:rPr>
              <w:t>46</w:t>
            </w:r>
            <w:r>
              <w:rPr>
                <w:rFonts w:hint="eastAsia" w:ascii="宋体" w:hAnsi="宋体"/>
                <w:color w:val="auto"/>
                <w:sz w:val="24"/>
                <w:highlight w:val="none"/>
              </w:rPr>
              <w:t>00</w:t>
            </w:r>
          </w:p>
        </w:tc>
        <w:tc>
          <w:tcPr>
            <w:tcW w:w="3240" w:type="dxa"/>
          </w:tcPr>
          <w:p>
            <w:pPr>
              <w:jc w:val="center"/>
              <w:rPr>
                <w:rFonts w:ascii="宋体" w:hAnsi="宋体"/>
                <w:color w:val="auto"/>
                <w:sz w:val="24"/>
                <w:highlight w:val="none"/>
              </w:rPr>
            </w:pPr>
            <w:r>
              <w:rPr>
                <w:rFonts w:hint="eastAsia" w:ascii="宋体" w:hAnsi="宋体"/>
                <w:color w:val="auto"/>
                <w:sz w:val="24"/>
                <w:highlight w:val="none"/>
              </w:rPr>
              <w:t>(单样热值/5000)×合同基价另加扣</w:t>
            </w:r>
            <w:r>
              <w:rPr>
                <w:rFonts w:ascii="宋体" w:hAnsi="宋体"/>
                <w:color w:val="auto"/>
                <w:sz w:val="24"/>
                <w:highlight w:val="none"/>
              </w:rPr>
              <w:t>4</w:t>
            </w:r>
            <w:r>
              <w:rPr>
                <w:rFonts w:hint="eastAsia" w:ascii="宋体" w:hAnsi="宋体"/>
                <w:color w:val="auto"/>
                <w:sz w:val="24"/>
                <w:highlight w:val="none"/>
              </w:rPr>
              <w:t>0元/吨</w:t>
            </w:r>
          </w:p>
        </w:tc>
        <w:tc>
          <w:tcPr>
            <w:tcW w:w="956" w:type="dxa"/>
            <w:vMerge w:val="continue"/>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2" w:hRule="atLeast"/>
        </w:trPr>
        <w:tc>
          <w:tcPr>
            <w:tcW w:w="1368" w:type="dxa"/>
            <w:vAlign w:val="center"/>
          </w:tcPr>
          <w:p>
            <w:pPr>
              <w:jc w:val="center"/>
              <w:rPr>
                <w:rFonts w:ascii="宋体" w:hAnsi="宋体"/>
                <w:color w:val="auto"/>
                <w:sz w:val="24"/>
                <w:highlight w:val="none"/>
              </w:rPr>
            </w:pPr>
            <w:r>
              <w:rPr>
                <w:rFonts w:hint="eastAsia" w:ascii="宋体" w:hAnsi="宋体"/>
                <w:color w:val="auto"/>
                <w:sz w:val="24"/>
                <w:highlight w:val="none"/>
              </w:rPr>
              <w:t>全水分</w:t>
            </w:r>
          </w:p>
        </w:tc>
        <w:tc>
          <w:tcPr>
            <w:tcW w:w="3060" w:type="dxa"/>
            <w:vAlign w:val="center"/>
          </w:tcPr>
          <w:p>
            <w:pPr>
              <w:rPr>
                <w:rFonts w:ascii="宋体" w:hAnsi="宋体"/>
                <w:color w:val="auto"/>
                <w:sz w:val="24"/>
                <w:highlight w:val="none"/>
              </w:rPr>
            </w:pPr>
            <w:r>
              <w:rPr>
                <w:rFonts w:hint="eastAsia" w:ascii="宋体" w:hAnsi="宋体"/>
                <w:color w:val="auto"/>
                <w:sz w:val="28"/>
                <w:szCs w:val="28"/>
                <w:highlight w:val="none"/>
              </w:rPr>
              <w:t>&gt;</w:t>
            </w:r>
            <w:r>
              <w:rPr>
                <w:rFonts w:hint="eastAsia" w:ascii="宋体" w:hAnsi="宋体"/>
                <w:color w:val="auto"/>
                <w:sz w:val="24"/>
                <w:highlight w:val="none"/>
              </w:rPr>
              <w:t>8％</w:t>
            </w:r>
          </w:p>
        </w:tc>
        <w:tc>
          <w:tcPr>
            <w:tcW w:w="3240" w:type="dxa"/>
            <w:vAlign w:val="center"/>
          </w:tcPr>
          <w:p>
            <w:pPr>
              <w:jc w:val="center"/>
              <w:rPr>
                <w:rFonts w:ascii="宋体" w:hAnsi="宋体"/>
                <w:color w:val="auto"/>
                <w:sz w:val="24"/>
                <w:highlight w:val="none"/>
              </w:rPr>
            </w:pPr>
            <w:r>
              <w:rPr>
                <w:rFonts w:hint="eastAsia" w:ascii="宋体" w:hAnsi="宋体"/>
                <w:color w:val="auto"/>
                <w:sz w:val="24"/>
                <w:highlight w:val="none"/>
              </w:rPr>
              <w:t>结算重量＝过磅重量×（1－实际全水份）/（1－8％）</w:t>
            </w:r>
          </w:p>
        </w:tc>
        <w:tc>
          <w:tcPr>
            <w:tcW w:w="956" w:type="dxa"/>
            <w:vMerge w:val="continue"/>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1" w:hRule="atLeast"/>
        </w:trPr>
        <w:tc>
          <w:tcPr>
            <w:tcW w:w="1368" w:type="dxa"/>
            <w:vMerge w:val="restart"/>
            <w:vAlign w:val="center"/>
          </w:tcPr>
          <w:p>
            <w:pPr>
              <w:jc w:val="center"/>
              <w:rPr>
                <w:rFonts w:ascii="宋体" w:hAnsi="宋体"/>
                <w:color w:val="auto"/>
                <w:sz w:val="24"/>
                <w:highlight w:val="none"/>
              </w:rPr>
            </w:pPr>
            <w:r>
              <w:rPr>
                <w:rFonts w:hint="eastAsia" w:ascii="宋体" w:hAnsi="宋体"/>
                <w:color w:val="auto"/>
                <w:sz w:val="24"/>
                <w:highlight w:val="none"/>
              </w:rPr>
              <w:t>全硫分</w:t>
            </w:r>
          </w:p>
        </w:tc>
        <w:tc>
          <w:tcPr>
            <w:tcW w:w="3060" w:type="dxa"/>
            <w:vAlign w:val="center"/>
          </w:tcPr>
          <w:p>
            <w:pPr>
              <w:rPr>
                <w:rFonts w:ascii="宋体" w:hAnsi="宋体"/>
                <w:color w:val="auto"/>
                <w:sz w:val="24"/>
                <w:highlight w:val="none"/>
              </w:rPr>
            </w:pPr>
            <w:r>
              <w:rPr>
                <w:rFonts w:hint="eastAsia" w:ascii="宋体" w:hAnsi="宋体"/>
                <w:color w:val="auto"/>
                <w:sz w:val="24"/>
                <w:highlight w:val="none"/>
              </w:rPr>
              <w:t>0.5%＜硫≤0.55%</w:t>
            </w:r>
          </w:p>
        </w:tc>
        <w:tc>
          <w:tcPr>
            <w:tcW w:w="3240" w:type="dxa"/>
            <w:vAlign w:val="center"/>
          </w:tcPr>
          <w:p>
            <w:pPr>
              <w:jc w:val="center"/>
              <w:rPr>
                <w:rFonts w:ascii="宋体" w:hAnsi="宋体"/>
                <w:color w:val="auto"/>
                <w:sz w:val="24"/>
                <w:highlight w:val="none"/>
              </w:rPr>
            </w:pPr>
            <w:r>
              <w:rPr>
                <w:rFonts w:hint="eastAsia" w:ascii="宋体" w:hAnsi="宋体"/>
                <w:color w:val="auto"/>
                <w:sz w:val="24"/>
                <w:highlight w:val="none"/>
              </w:rPr>
              <w:t>扣：（单样值-0.5）×</w:t>
            </w:r>
            <w:r>
              <w:rPr>
                <w:rFonts w:ascii="宋体" w:hAnsi="宋体"/>
                <w:color w:val="auto"/>
                <w:sz w:val="24"/>
                <w:highlight w:val="none"/>
              </w:rPr>
              <w:t>1</w:t>
            </w:r>
            <w:r>
              <w:rPr>
                <w:rFonts w:hint="eastAsia" w:ascii="宋体" w:hAnsi="宋体"/>
                <w:color w:val="auto"/>
                <w:sz w:val="24"/>
                <w:highlight w:val="none"/>
              </w:rPr>
              <w:t>00 元/吨</w:t>
            </w:r>
          </w:p>
        </w:tc>
        <w:tc>
          <w:tcPr>
            <w:tcW w:w="956" w:type="dxa"/>
            <w:vMerge w:val="continue"/>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1" w:hRule="atLeast"/>
        </w:trPr>
        <w:tc>
          <w:tcPr>
            <w:tcW w:w="1368" w:type="dxa"/>
            <w:vMerge w:val="continue"/>
            <w:vAlign w:val="center"/>
          </w:tcPr>
          <w:p>
            <w:pPr>
              <w:jc w:val="center"/>
              <w:rPr>
                <w:rFonts w:ascii="宋体" w:hAnsi="宋体"/>
                <w:color w:val="auto"/>
                <w:sz w:val="24"/>
                <w:highlight w:val="none"/>
              </w:rPr>
            </w:pPr>
          </w:p>
        </w:tc>
        <w:tc>
          <w:tcPr>
            <w:tcW w:w="3060" w:type="dxa"/>
          </w:tcPr>
          <w:p>
            <w:pPr>
              <w:rPr>
                <w:rFonts w:ascii="宋体" w:hAnsi="宋体"/>
                <w:color w:val="auto"/>
                <w:sz w:val="24"/>
                <w:highlight w:val="none"/>
              </w:rPr>
            </w:pPr>
            <w:r>
              <w:rPr>
                <w:rFonts w:hint="eastAsia" w:ascii="宋体" w:hAnsi="宋体"/>
                <w:color w:val="auto"/>
                <w:sz w:val="24"/>
                <w:highlight w:val="none"/>
              </w:rPr>
              <w:t>0.55%＜硫≤0.6%</w:t>
            </w:r>
          </w:p>
        </w:tc>
        <w:tc>
          <w:tcPr>
            <w:tcW w:w="3240" w:type="dxa"/>
          </w:tcPr>
          <w:p>
            <w:pPr>
              <w:jc w:val="center"/>
              <w:rPr>
                <w:rFonts w:ascii="宋体" w:hAnsi="宋体"/>
                <w:color w:val="auto"/>
                <w:sz w:val="24"/>
                <w:highlight w:val="none"/>
              </w:rPr>
            </w:pPr>
            <w:r>
              <w:rPr>
                <w:rFonts w:hint="eastAsia" w:ascii="宋体" w:hAnsi="宋体"/>
                <w:color w:val="auto"/>
                <w:sz w:val="24"/>
                <w:highlight w:val="none"/>
              </w:rPr>
              <w:t>扣：（单样值-0.5）×</w:t>
            </w:r>
            <w:r>
              <w:rPr>
                <w:rFonts w:ascii="宋体" w:hAnsi="宋体"/>
                <w:color w:val="auto"/>
                <w:sz w:val="24"/>
                <w:highlight w:val="none"/>
              </w:rPr>
              <w:t>2</w:t>
            </w:r>
            <w:r>
              <w:rPr>
                <w:rFonts w:hint="eastAsia" w:ascii="宋体" w:hAnsi="宋体"/>
                <w:color w:val="auto"/>
                <w:sz w:val="24"/>
                <w:highlight w:val="none"/>
              </w:rPr>
              <w:t>00 元/吨</w:t>
            </w:r>
          </w:p>
        </w:tc>
        <w:tc>
          <w:tcPr>
            <w:tcW w:w="956" w:type="dxa"/>
            <w:vMerge w:val="continue"/>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4" w:hRule="atLeast"/>
        </w:trPr>
        <w:tc>
          <w:tcPr>
            <w:tcW w:w="1368" w:type="dxa"/>
            <w:vMerge w:val="continue"/>
            <w:vAlign w:val="center"/>
          </w:tcPr>
          <w:p>
            <w:pPr>
              <w:jc w:val="center"/>
              <w:rPr>
                <w:rFonts w:ascii="宋体" w:hAnsi="宋体"/>
                <w:color w:val="auto"/>
                <w:sz w:val="24"/>
                <w:highlight w:val="none"/>
              </w:rPr>
            </w:pPr>
          </w:p>
        </w:tc>
        <w:tc>
          <w:tcPr>
            <w:tcW w:w="3060" w:type="dxa"/>
            <w:vAlign w:val="center"/>
          </w:tcPr>
          <w:p>
            <w:pPr>
              <w:rPr>
                <w:rFonts w:ascii="宋体" w:hAnsi="宋体"/>
                <w:color w:val="auto"/>
                <w:sz w:val="24"/>
                <w:highlight w:val="none"/>
              </w:rPr>
            </w:pPr>
            <w:r>
              <w:rPr>
                <w:rFonts w:hint="eastAsia" w:ascii="宋体" w:hAnsi="宋体"/>
                <w:color w:val="auto"/>
                <w:sz w:val="24"/>
                <w:highlight w:val="none"/>
              </w:rPr>
              <w:t>0.</w:t>
            </w:r>
            <w:r>
              <w:rPr>
                <w:rFonts w:ascii="宋体" w:hAnsi="宋体"/>
                <w:color w:val="auto"/>
                <w:sz w:val="24"/>
                <w:highlight w:val="none"/>
              </w:rPr>
              <w:t>6%</w:t>
            </w:r>
            <w:r>
              <w:rPr>
                <w:rFonts w:hint="eastAsia" w:ascii="宋体" w:hAnsi="宋体"/>
                <w:color w:val="auto"/>
                <w:sz w:val="24"/>
                <w:highlight w:val="none"/>
              </w:rPr>
              <w:t>＜硫≤0.</w:t>
            </w:r>
            <w:r>
              <w:rPr>
                <w:rFonts w:ascii="宋体" w:hAnsi="宋体"/>
                <w:color w:val="auto"/>
                <w:sz w:val="24"/>
                <w:highlight w:val="none"/>
              </w:rPr>
              <w:t>65%</w:t>
            </w:r>
          </w:p>
        </w:tc>
        <w:tc>
          <w:tcPr>
            <w:tcW w:w="3240" w:type="dxa"/>
          </w:tcPr>
          <w:p>
            <w:pPr>
              <w:jc w:val="center"/>
              <w:rPr>
                <w:rFonts w:ascii="宋体" w:hAnsi="宋体"/>
                <w:color w:val="auto"/>
                <w:sz w:val="24"/>
                <w:highlight w:val="none"/>
              </w:rPr>
            </w:pPr>
            <w:r>
              <w:rPr>
                <w:rFonts w:hint="eastAsia" w:ascii="宋体" w:hAnsi="宋体"/>
                <w:color w:val="auto"/>
                <w:sz w:val="24"/>
                <w:highlight w:val="none"/>
              </w:rPr>
              <w:t>扣：（单样值-0.5）×400 元/吨</w:t>
            </w:r>
          </w:p>
        </w:tc>
        <w:tc>
          <w:tcPr>
            <w:tcW w:w="956" w:type="dxa"/>
            <w:vMerge w:val="continue"/>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4" w:hRule="atLeast"/>
        </w:trPr>
        <w:tc>
          <w:tcPr>
            <w:tcW w:w="1368" w:type="dxa"/>
            <w:vMerge w:val="continue"/>
            <w:vAlign w:val="center"/>
          </w:tcPr>
          <w:p>
            <w:pPr>
              <w:jc w:val="center"/>
              <w:rPr>
                <w:rFonts w:ascii="宋体" w:hAnsi="宋体"/>
                <w:color w:val="auto"/>
                <w:sz w:val="24"/>
                <w:highlight w:val="none"/>
              </w:rPr>
            </w:pPr>
          </w:p>
        </w:tc>
        <w:tc>
          <w:tcPr>
            <w:tcW w:w="3060" w:type="dxa"/>
          </w:tcPr>
          <w:p>
            <w:pPr>
              <w:rPr>
                <w:rFonts w:ascii="宋体" w:hAnsi="宋体"/>
                <w:color w:val="auto"/>
                <w:sz w:val="24"/>
                <w:highlight w:val="none"/>
              </w:rPr>
            </w:pPr>
            <w:r>
              <w:rPr>
                <w:rFonts w:hint="eastAsia" w:ascii="宋体" w:hAnsi="宋体"/>
                <w:color w:val="auto"/>
                <w:sz w:val="24"/>
                <w:highlight w:val="none"/>
              </w:rPr>
              <w:t>0.</w:t>
            </w:r>
            <w:r>
              <w:rPr>
                <w:rFonts w:ascii="宋体" w:hAnsi="宋体"/>
                <w:color w:val="auto"/>
                <w:sz w:val="24"/>
                <w:highlight w:val="none"/>
              </w:rPr>
              <w:t>65%</w:t>
            </w:r>
            <w:r>
              <w:rPr>
                <w:rFonts w:hint="eastAsia" w:ascii="宋体" w:hAnsi="宋体"/>
                <w:color w:val="auto"/>
                <w:sz w:val="24"/>
                <w:highlight w:val="none"/>
              </w:rPr>
              <w:t>＜硫≤0.</w:t>
            </w:r>
            <w:r>
              <w:rPr>
                <w:rFonts w:ascii="宋体" w:hAnsi="宋体"/>
                <w:color w:val="auto"/>
                <w:sz w:val="24"/>
                <w:highlight w:val="none"/>
              </w:rPr>
              <w:t>7%</w:t>
            </w:r>
          </w:p>
        </w:tc>
        <w:tc>
          <w:tcPr>
            <w:tcW w:w="3240" w:type="dxa"/>
          </w:tcPr>
          <w:p>
            <w:pPr>
              <w:jc w:val="center"/>
              <w:rPr>
                <w:rFonts w:ascii="宋体" w:hAnsi="宋体"/>
                <w:color w:val="auto"/>
                <w:sz w:val="24"/>
                <w:highlight w:val="none"/>
              </w:rPr>
            </w:pPr>
            <w:r>
              <w:rPr>
                <w:rFonts w:hint="eastAsia" w:ascii="宋体" w:hAnsi="宋体"/>
                <w:color w:val="auto"/>
                <w:sz w:val="24"/>
                <w:highlight w:val="none"/>
              </w:rPr>
              <w:t>扣：（单样值-0.5）×</w:t>
            </w:r>
            <w:r>
              <w:rPr>
                <w:rFonts w:ascii="宋体" w:hAnsi="宋体"/>
                <w:color w:val="auto"/>
                <w:sz w:val="24"/>
                <w:highlight w:val="none"/>
              </w:rPr>
              <w:t>5</w:t>
            </w:r>
            <w:r>
              <w:rPr>
                <w:rFonts w:hint="eastAsia" w:ascii="宋体" w:hAnsi="宋体"/>
                <w:color w:val="auto"/>
                <w:sz w:val="24"/>
                <w:highlight w:val="none"/>
              </w:rPr>
              <w:t>00 元/吨</w:t>
            </w:r>
          </w:p>
        </w:tc>
        <w:tc>
          <w:tcPr>
            <w:tcW w:w="956" w:type="dxa"/>
            <w:vAlign w:val="center"/>
          </w:tcPr>
          <w:p>
            <w:pPr>
              <w:jc w:val="center"/>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4" w:hRule="atLeast"/>
        </w:trPr>
        <w:tc>
          <w:tcPr>
            <w:tcW w:w="1368" w:type="dxa"/>
            <w:vMerge w:val="continue"/>
            <w:vAlign w:val="center"/>
          </w:tcPr>
          <w:p>
            <w:pPr>
              <w:jc w:val="center"/>
              <w:rPr>
                <w:rFonts w:ascii="宋体" w:hAnsi="宋体"/>
                <w:color w:val="auto"/>
                <w:sz w:val="24"/>
                <w:highlight w:val="none"/>
              </w:rPr>
            </w:pPr>
          </w:p>
        </w:tc>
        <w:tc>
          <w:tcPr>
            <w:tcW w:w="3060" w:type="dxa"/>
            <w:vAlign w:val="center"/>
          </w:tcPr>
          <w:p>
            <w:pPr>
              <w:rPr>
                <w:rFonts w:ascii="宋体" w:hAnsi="宋体"/>
                <w:color w:val="auto"/>
                <w:sz w:val="24"/>
                <w:highlight w:val="none"/>
              </w:rPr>
            </w:pPr>
            <w:r>
              <w:rPr>
                <w:rFonts w:hint="eastAsia" w:ascii="宋体" w:hAnsi="宋体"/>
                <w:color w:val="auto"/>
                <w:sz w:val="24"/>
                <w:highlight w:val="none"/>
              </w:rPr>
              <w:t>硫</w:t>
            </w:r>
            <w:r>
              <w:rPr>
                <w:rFonts w:ascii="宋体" w:hAnsi="宋体"/>
                <w:color w:val="auto"/>
                <w:sz w:val="24"/>
                <w:highlight w:val="none"/>
              </w:rPr>
              <w:t>&gt;</w:t>
            </w:r>
            <w:r>
              <w:rPr>
                <w:rFonts w:hint="eastAsia" w:ascii="宋体" w:hAnsi="宋体"/>
                <w:color w:val="auto"/>
                <w:sz w:val="24"/>
                <w:highlight w:val="none"/>
              </w:rPr>
              <w:t>0.</w:t>
            </w:r>
            <w:r>
              <w:rPr>
                <w:rFonts w:ascii="宋体" w:hAnsi="宋体"/>
                <w:color w:val="auto"/>
                <w:sz w:val="24"/>
                <w:highlight w:val="none"/>
              </w:rPr>
              <w:t>7</w:t>
            </w:r>
            <w:r>
              <w:rPr>
                <w:rFonts w:hint="eastAsia" w:ascii="宋体" w:hAnsi="宋体"/>
                <w:color w:val="auto"/>
                <w:sz w:val="24"/>
                <w:highlight w:val="none"/>
              </w:rPr>
              <w:t>％</w:t>
            </w:r>
          </w:p>
        </w:tc>
        <w:tc>
          <w:tcPr>
            <w:tcW w:w="3240" w:type="dxa"/>
          </w:tcPr>
          <w:p>
            <w:pPr>
              <w:jc w:val="center"/>
              <w:rPr>
                <w:rFonts w:ascii="宋体" w:hAnsi="宋体"/>
                <w:color w:val="auto"/>
                <w:sz w:val="24"/>
                <w:highlight w:val="none"/>
              </w:rPr>
            </w:pPr>
            <w:r>
              <w:rPr>
                <w:rFonts w:hint="eastAsia" w:ascii="宋体" w:hAnsi="宋体"/>
                <w:color w:val="auto"/>
                <w:sz w:val="24"/>
                <w:highlight w:val="none"/>
              </w:rPr>
              <w:t>扣：（单样值-0.5）×</w:t>
            </w:r>
            <w:r>
              <w:rPr>
                <w:rFonts w:ascii="宋体" w:hAnsi="宋体"/>
                <w:color w:val="auto"/>
                <w:sz w:val="24"/>
                <w:highlight w:val="none"/>
              </w:rPr>
              <w:t>6</w:t>
            </w:r>
            <w:r>
              <w:rPr>
                <w:rFonts w:hint="eastAsia" w:ascii="宋体" w:hAnsi="宋体"/>
                <w:color w:val="auto"/>
                <w:sz w:val="24"/>
                <w:highlight w:val="none"/>
              </w:rPr>
              <w:t>00 元/吨</w:t>
            </w:r>
          </w:p>
        </w:tc>
        <w:tc>
          <w:tcPr>
            <w:tcW w:w="956" w:type="dxa"/>
            <w:vAlign w:val="center"/>
          </w:tcPr>
          <w:p>
            <w:pPr>
              <w:jc w:val="center"/>
              <w:rPr>
                <w:rFonts w:ascii="仿宋_GB2312" w:eastAsia="仿宋_GB2312"/>
                <w:color w:val="auto"/>
                <w:sz w:val="24"/>
                <w:highlight w:val="none"/>
              </w:rPr>
            </w:pPr>
          </w:p>
        </w:tc>
      </w:tr>
    </w:tbl>
    <w:p>
      <w:pPr>
        <w:spacing w:line="500" w:lineRule="exact"/>
        <w:ind w:firstLine="360" w:firstLineChars="150"/>
        <w:rPr>
          <w:rFonts w:hint="eastAsia" w:ascii="仿宋_GB2312" w:eastAsia="仿宋_GB2312"/>
          <w:color w:val="auto"/>
          <w:sz w:val="24"/>
          <w:highlight w:val="none"/>
        </w:rPr>
      </w:pPr>
      <w:r>
        <w:rPr>
          <w:rFonts w:ascii="仿宋_GB2312" w:eastAsia="仿宋_GB2312"/>
          <w:color w:val="auto"/>
          <w:sz w:val="24"/>
          <w:highlight w:val="none"/>
        </w:rPr>
        <w:t>4</w:t>
      </w:r>
      <w:r>
        <w:rPr>
          <w:rFonts w:hint="eastAsia" w:ascii="仿宋_GB2312" w:eastAsia="仿宋_GB2312"/>
          <w:color w:val="auto"/>
          <w:sz w:val="24"/>
          <w:highlight w:val="none"/>
        </w:rPr>
        <w:t>、若出现单样热值小于3800大卡/千克，采购方有权对该批次煤炭进行罚没；含水量明显不符要求的，甲方有权拒收。</w:t>
      </w:r>
    </w:p>
    <w:p>
      <w:pPr>
        <w:spacing w:line="500" w:lineRule="exact"/>
        <w:ind w:firstLine="360" w:firstLineChars="150"/>
        <w:rPr>
          <w:rFonts w:hint="eastAsia" w:ascii="仿宋_GB2312" w:eastAsia="仿宋_GB2312"/>
          <w:color w:val="auto"/>
          <w:sz w:val="24"/>
          <w:highlight w:val="none"/>
        </w:rPr>
      </w:pPr>
      <w:r>
        <w:rPr>
          <w:rFonts w:hint="eastAsia" w:ascii="仿宋_GB2312" w:eastAsia="仿宋_GB2312"/>
          <w:color w:val="auto"/>
          <w:sz w:val="24"/>
          <w:highlight w:val="none"/>
        </w:rPr>
        <w:t>5、发现1米以上编织袋（防尘布）扣500元/次，发现大于0.3米铁块扣500元/次。</w:t>
      </w:r>
    </w:p>
    <w:p>
      <w:pPr>
        <w:spacing w:line="500" w:lineRule="exact"/>
        <w:rPr>
          <w:rFonts w:ascii="仿宋_GB2312" w:eastAsia="仿宋_GB2312"/>
          <w:b/>
          <w:color w:val="auto"/>
          <w:sz w:val="24"/>
          <w:highlight w:val="none"/>
        </w:rPr>
      </w:pPr>
      <w:r>
        <w:rPr>
          <w:rFonts w:hint="eastAsia" w:ascii="仿宋_GB2312" w:eastAsia="仿宋_GB2312"/>
          <w:b/>
          <w:color w:val="auto"/>
          <w:sz w:val="24"/>
          <w:highlight w:val="none"/>
        </w:rPr>
        <w:t>第六条  付款方式</w:t>
      </w:r>
    </w:p>
    <w:p>
      <w:pPr>
        <w:spacing w:line="500" w:lineRule="exact"/>
        <w:ind w:firstLine="360" w:firstLineChars="150"/>
        <w:rPr>
          <w:rFonts w:hint="eastAsia" w:ascii="仿宋_GB2312" w:eastAsia="仿宋_GB2312"/>
          <w:color w:val="auto"/>
          <w:sz w:val="24"/>
          <w:highlight w:val="none"/>
        </w:rPr>
      </w:pPr>
      <w:r>
        <w:rPr>
          <w:rFonts w:hint="eastAsia" w:ascii="仿宋_GB2312" w:eastAsia="仿宋_GB2312"/>
          <w:color w:val="auto"/>
          <w:sz w:val="24"/>
          <w:highlight w:val="none"/>
        </w:rPr>
        <w:t>乙方应在甲方完成煤炭验收合格并审核无误后，四天内开据相对应正规合法有效增值税专用发票送至甲方，甲方应在收到发票后书面确认货款总金额无误后20个工作日内付清货款。</w:t>
      </w:r>
    </w:p>
    <w:p>
      <w:pPr>
        <w:numPr>
          <w:ilvl w:val="0"/>
          <w:numId w:val="13"/>
        </w:numPr>
        <w:spacing w:line="500" w:lineRule="exact"/>
        <w:rPr>
          <w:rFonts w:hint="eastAsia" w:ascii="仿宋_GB2312" w:eastAsia="仿宋_GB2312"/>
          <w:b/>
          <w:color w:val="auto"/>
          <w:sz w:val="24"/>
          <w:highlight w:val="none"/>
        </w:rPr>
      </w:pPr>
      <w:r>
        <w:rPr>
          <w:rFonts w:hint="eastAsia" w:ascii="仿宋_GB2312" w:eastAsia="仿宋_GB2312"/>
          <w:b/>
          <w:color w:val="auto"/>
          <w:sz w:val="24"/>
          <w:highlight w:val="none"/>
        </w:rPr>
        <w:t xml:space="preserve"> 违约责任</w:t>
      </w:r>
    </w:p>
    <w:p>
      <w:pPr>
        <w:spacing w:line="500" w:lineRule="exact"/>
        <w:ind w:firstLine="360" w:firstLineChars="150"/>
        <w:rPr>
          <w:rFonts w:hint="eastAsia" w:ascii="仿宋_GB2312" w:eastAsia="仿宋_GB2312"/>
          <w:color w:val="auto"/>
          <w:sz w:val="24"/>
          <w:highlight w:val="none"/>
        </w:rPr>
      </w:pPr>
      <w:r>
        <w:rPr>
          <w:rFonts w:hint="eastAsia" w:ascii="仿宋_GB2312" w:eastAsia="仿宋_GB2312"/>
          <w:color w:val="auto"/>
          <w:sz w:val="24"/>
          <w:highlight w:val="none"/>
          <w:lang w:val="en-US" w:eastAsia="zh-CN"/>
        </w:rPr>
        <w:t>1、</w:t>
      </w:r>
      <w:r>
        <w:rPr>
          <w:rFonts w:hint="eastAsia" w:ascii="仿宋_GB2312" w:eastAsia="仿宋_GB2312"/>
          <w:color w:val="auto"/>
          <w:sz w:val="24"/>
          <w:highlight w:val="none"/>
        </w:rPr>
        <w:t>我司将根据煤炭质量的奖惩标准进行验收，不符合质量要求的，我司有权拒收；若存在以次充好、弄虚作假的，我司将暂停其三次谈判资格。</w:t>
      </w:r>
    </w:p>
    <w:p>
      <w:pPr>
        <w:spacing w:line="500" w:lineRule="exact"/>
        <w:ind w:firstLine="360" w:firstLineChars="150"/>
        <w:rPr>
          <w:rFonts w:ascii="仿宋_GB2312" w:eastAsia="仿宋_GB2312"/>
          <w:color w:val="auto"/>
          <w:sz w:val="24"/>
          <w:highlight w:val="none"/>
        </w:rPr>
      </w:pPr>
      <w:r>
        <w:rPr>
          <w:rFonts w:hint="eastAsia" w:ascii="仿宋_GB2312" w:eastAsia="仿宋_GB2312"/>
          <w:color w:val="auto"/>
          <w:sz w:val="24"/>
          <w:highlight w:val="none"/>
          <w:lang w:val="en-US" w:eastAsia="zh-CN"/>
        </w:rPr>
        <w:t>2</w:t>
      </w:r>
      <w:r>
        <w:rPr>
          <w:rFonts w:hint="eastAsia" w:ascii="仿宋_GB2312" w:eastAsia="仿宋_GB2312"/>
          <w:color w:val="auto"/>
          <w:sz w:val="24"/>
          <w:highlight w:val="none"/>
        </w:rPr>
        <w:t>、乙方在合同期限内供应的数量不得低于合同数量的95％，如乙方未能按照合同约定的条款执行，低于合同数量95%的不足供应量，乙方应按不足部分向甲方支付100元/吨的违约金，并及时补足。因乙方未能交付足额数量煤炭，造成甲方其它损失的，乙方应承担甲方的直接损失。</w:t>
      </w:r>
    </w:p>
    <w:p>
      <w:pPr>
        <w:spacing w:line="500" w:lineRule="exact"/>
        <w:ind w:firstLine="360" w:firstLineChars="150"/>
        <w:rPr>
          <w:rFonts w:ascii="仿宋_GB2312" w:eastAsia="仿宋_GB2312"/>
          <w:color w:val="auto"/>
          <w:sz w:val="24"/>
          <w:highlight w:val="none"/>
        </w:rPr>
      </w:pPr>
      <w:r>
        <w:rPr>
          <w:rFonts w:hint="eastAsia" w:ascii="仿宋_GB2312" w:eastAsia="仿宋_GB2312"/>
          <w:color w:val="auto"/>
          <w:sz w:val="24"/>
          <w:highlight w:val="none"/>
          <w:lang w:val="en-US" w:eastAsia="zh-CN"/>
        </w:rPr>
        <w:t>3</w:t>
      </w:r>
      <w:r>
        <w:rPr>
          <w:rFonts w:hint="eastAsia" w:ascii="仿宋_GB2312" w:eastAsia="仿宋_GB2312"/>
          <w:color w:val="auto"/>
          <w:sz w:val="24"/>
          <w:highlight w:val="none"/>
        </w:rPr>
        <w:t>、若甲方未能按照下达的计划数量进煤，应于当月前10天通知乙方将剩余数量按原价转下月供应。</w:t>
      </w:r>
    </w:p>
    <w:p>
      <w:pPr>
        <w:spacing w:line="500" w:lineRule="exact"/>
        <w:ind w:firstLine="360" w:firstLineChars="150"/>
        <w:rPr>
          <w:rFonts w:ascii="仿宋_GB2312" w:eastAsia="仿宋_GB2312"/>
          <w:color w:val="auto"/>
          <w:sz w:val="24"/>
          <w:highlight w:val="none"/>
        </w:rPr>
      </w:pPr>
      <w:r>
        <w:rPr>
          <w:rFonts w:hint="eastAsia" w:ascii="仿宋_GB2312" w:eastAsia="仿宋_GB2312"/>
          <w:color w:val="auto"/>
          <w:sz w:val="24"/>
          <w:highlight w:val="none"/>
          <w:lang w:val="en-US" w:eastAsia="zh-CN"/>
        </w:rPr>
        <w:t>4</w:t>
      </w:r>
      <w:r>
        <w:rPr>
          <w:rFonts w:hint="eastAsia" w:ascii="仿宋_GB2312" w:eastAsia="仿宋_GB2312"/>
          <w:color w:val="auto"/>
          <w:sz w:val="24"/>
          <w:highlight w:val="none"/>
        </w:rPr>
        <w:t>、乙方在执行合同中如出现恶意掺混煤炭以外的杂质（包含但不限于煤矸石），甲方有权拒收并要求乙方进行整改，如乙方未做整改，甲方有权终止合同执行，取消乙方煤炭投标资格壹年。并视情况进行5万-10万的经济惩罚。</w:t>
      </w:r>
    </w:p>
    <w:p>
      <w:pPr>
        <w:spacing w:line="500" w:lineRule="exact"/>
        <w:ind w:firstLine="360" w:firstLineChars="150"/>
        <w:rPr>
          <w:rFonts w:ascii="仿宋_GB2312" w:eastAsia="仿宋_GB2312"/>
          <w:color w:val="auto"/>
          <w:sz w:val="24"/>
          <w:highlight w:val="none"/>
        </w:rPr>
      </w:pPr>
      <w:r>
        <w:rPr>
          <w:rFonts w:hint="eastAsia" w:ascii="仿宋_GB2312" w:eastAsia="仿宋_GB2312"/>
          <w:color w:val="auto"/>
          <w:sz w:val="24"/>
          <w:highlight w:val="none"/>
          <w:lang w:val="en-US" w:eastAsia="zh-CN"/>
        </w:rPr>
        <w:t>5</w:t>
      </w:r>
      <w:r>
        <w:rPr>
          <w:rFonts w:hint="eastAsia" w:ascii="仿宋_GB2312" w:eastAsia="仿宋_GB2312"/>
          <w:color w:val="auto"/>
          <w:sz w:val="24"/>
          <w:highlight w:val="none"/>
        </w:rPr>
        <w:t>、乙方应遵守环保法及相关法律、法规，并按要求进行冲洗车辆，若在厂区内外发生的环境污染等问题，每次罚款1000元，乙方须自行承担法律责任。</w:t>
      </w:r>
    </w:p>
    <w:p>
      <w:pPr>
        <w:spacing w:line="500" w:lineRule="exact"/>
        <w:ind w:firstLine="360" w:firstLineChars="150"/>
        <w:rPr>
          <w:rFonts w:ascii="仿宋_GB2312" w:eastAsia="仿宋_GB2312"/>
          <w:color w:val="auto"/>
          <w:sz w:val="24"/>
          <w:highlight w:val="none"/>
        </w:rPr>
      </w:pPr>
      <w:r>
        <w:rPr>
          <w:rFonts w:hint="eastAsia" w:ascii="仿宋_GB2312" w:eastAsia="仿宋_GB2312"/>
          <w:color w:val="auto"/>
          <w:sz w:val="24"/>
          <w:highlight w:val="none"/>
          <w:lang w:val="en-US" w:eastAsia="zh-CN"/>
        </w:rPr>
        <w:t>6</w:t>
      </w:r>
      <w:r>
        <w:rPr>
          <w:rFonts w:hint="eastAsia" w:ascii="仿宋_GB2312" w:eastAsia="仿宋_GB2312"/>
          <w:color w:val="auto"/>
          <w:sz w:val="24"/>
          <w:highlight w:val="none"/>
        </w:rPr>
        <w:t>、若发生不可抗拒的因素影响，甲乙双方无须对对方负责任，受影响一方应在第一时间通知对方详情，并积极采取有效的措施，防止或减少双方损失，并提供事故所在地政府有关证明。</w:t>
      </w:r>
    </w:p>
    <w:p>
      <w:pPr>
        <w:snapToGrid w:val="0"/>
        <w:spacing w:line="500" w:lineRule="exact"/>
        <w:rPr>
          <w:rFonts w:ascii="仿宋_GB2312" w:hAnsi="宋体" w:eastAsia="仿宋_GB2312"/>
          <w:b/>
          <w:color w:val="auto"/>
          <w:sz w:val="24"/>
          <w:highlight w:val="none"/>
        </w:rPr>
      </w:pPr>
      <w:r>
        <w:rPr>
          <w:rFonts w:hint="eastAsia" w:ascii="仿宋_GB2312" w:hAnsi="宋体" w:eastAsia="仿宋_GB2312"/>
          <w:b/>
          <w:color w:val="auto"/>
          <w:sz w:val="24"/>
          <w:highlight w:val="none"/>
        </w:rPr>
        <w:t>第八条 争议或纠纷处理</w:t>
      </w:r>
    </w:p>
    <w:p>
      <w:pPr>
        <w:snapToGrid w:val="0"/>
        <w:spacing w:line="500" w:lineRule="exact"/>
        <w:rPr>
          <w:rFonts w:ascii="仿宋_GB2312" w:hAnsi="宋体" w:eastAsia="仿宋_GB2312"/>
          <w:b/>
          <w:color w:val="auto"/>
          <w:sz w:val="24"/>
          <w:highlight w:val="none"/>
        </w:rPr>
      </w:pPr>
      <w:r>
        <w:rPr>
          <w:rFonts w:hint="eastAsia" w:ascii="仿宋_GB2312" w:hAnsi="宋体" w:eastAsia="仿宋_GB2312"/>
          <w:b/>
          <w:color w:val="auto"/>
          <w:sz w:val="24"/>
          <w:highlight w:val="none"/>
        </w:rPr>
        <w:t xml:space="preserve">  </w:t>
      </w:r>
      <w:r>
        <w:rPr>
          <w:rFonts w:hint="eastAsia" w:ascii="仿宋_GB2312" w:eastAsia="仿宋_GB2312"/>
          <w:color w:val="auto"/>
          <w:sz w:val="24"/>
          <w:highlight w:val="none"/>
        </w:rPr>
        <w:t>经双方友好协商无法解决时，交由甲方所在地有管辖权的人民法院诉讼解决。</w:t>
      </w:r>
    </w:p>
    <w:p>
      <w:pPr>
        <w:snapToGrid w:val="0"/>
        <w:spacing w:line="500" w:lineRule="exact"/>
        <w:rPr>
          <w:rFonts w:ascii="仿宋_GB2312" w:hAnsi="宋体" w:eastAsia="仿宋_GB2312"/>
          <w:b/>
          <w:color w:val="auto"/>
          <w:sz w:val="24"/>
          <w:highlight w:val="none"/>
        </w:rPr>
      </w:pPr>
      <w:r>
        <w:rPr>
          <w:rFonts w:hint="eastAsia" w:ascii="仿宋_GB2312" w:hAnsi="宋体" w:eastAsia="仿宋_GB2312"/>
          <w:b/>
          <w:color w:val="auto"/>
          <w:sz w:val="24"/>
          <w:highlight w:val="none"/>
        </w:rPr>
        <w:t>第九条 其它</w:t>
      </w:r>
    </w:p>
    <w:p>
      <w:pPr>
        <w:snapToGrid w:val="0"/>
        <w:spacing w:line="500" w:lineRule="exact"/>
        <w:ind w:firstLine="480"/>
        <w:rPr>
          <w:rFonts w:ascii="仿宋_GB2312" w:hAnsi="宋体" w:eastAsia="仿宋_GB2312"/>
          <w:color w:val="auto"/>
          <w:sz w:val="24"/>
          <w:highlight w:val="none"/>
        </w:rPr>
      </w:pPr>
      <w:r>
        <w:rPr>
          <w:rFonts w:hint="eastAsia" w:ascii="仿宋_GB2312" w:hAnsi="宋体" w:eastAsia="仿宋_GB2312"/>
          <w:color w:val="auto"/>
          <w:sz w:val="24"/>
          <w:highlight w:val="none"/>
        </w:rPr>
        <w:t>1、招标公告中所示内容及要求的法律效力与本合同条款等同。</w:t>
      </w:r>
    </w:p>
    <w:p>
      <w:pPr>
        <w:snapToGrid w:val="0"/>
        <w:spacing w:line="500" w:lineRule="exact"/>
        <w:ind w:firstLine="480"/>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2、本合同自双方签字盖章后生效，合同如有未尽事宜，双方共同协商。 </w:t>
      </w:r>
    </w:p>
    <w:p>
      <w:pPr>
        <w:snapToGrid w:val="0"/>
        <w:spacing w:line="50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　  3、本合同正本一式</w:t>
      </w:r>
      <w:r>
        <w:rPr>
          <w:rFonts w:hint="eastAsia" w:ascii="仿宋_GB2312" w:hAnsi="宋体" w:eastAsia="仿宋_GB2312" w:cs="宋体"/>
          <w:color w:val="auto"/>
          <w:sz w:val="24"/>
          <w:highlight w:val="none"/>
        </w:rPr>
        <w:t>三份</w:t>
      </w:r>
      <w:r>
        <w:rPr>
          <w:rFonts w:hint="eastAsia" w:ascii="仿宋_GB2312" w:hAnsi="宋体" w:eastAsia="仿宋_GB2312"/>
          <w:color w:val="auto"/>
          <w:sz w:val="24"/>
          <w:highlight w:val="none"/>
        </w:rPr>
        <w:t>，甲方二份，乙方一份，具有同等法律效力。</w:t>
      </w:r>
    </w:p>
    <w:p>
      <w:pPr>
        <w:snapToGrid w:val="0"/>
        <w:spacing w:line="360" w:lineRule="auto"/>
        <w:rPr>
          <w:rFonts w:ascii="仿宋_GB2312" w:hAnsi="宋体" w:eastAsia="仿宋_GB2312"/>
          <w:color w:val="auto"/>
          <w:sz w:val="24"/>
          <w:highlight w:val="none"/>
        </w:rPr>
      </w:pPr>
    </w:p>
    <w:p>
      <w:pPr>
        <w:snapToGrid w:val="0"/>
        <w:spacing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甲方：厦门同集热</w:t>
      </w:r>
      <w:r>
        <w:rPr>
          <w:rFonts w:hint="eastAsia" w:ascii="仿宋_GB2312" w:hAnsi="宋体" w:eastAsia="仿宋_GB2312" w:cs="宋体"/>
          <w:color w:val="auto"/>
          <w:sz w:val="24"/>
          <w:highlight w:val="none"/>
        </w:rPr>
        <w:t>电有限公司</w:t>
      </w:r>
      <w:r>
        <w:rPr>
          <w:rFonts w:hint="eastAsia" w:ascii="仿宋_GB2312" w:hAnsi="宋体" w:eastAsia="仿宋_GB2312"/>
          <w:color w:val="auto"/>
          <w:sz w:val="24"/>
          <w:highlight w:val="none"/>
        </w:rPr>
        <w:t xml:space="preserve">           乙方： </w:t>
      </w:r>
    </w:p>
    <w:p>
      <w:pPr>
        <w:snapToGrid w:val="0"/>
        <w:spacing w:line="360" w:lineRule="auto"/>
        <w:rPr>
          <w:rFonts w:ascii="仿宋_GB2312" w:hAnsi="宋体" w:eastAsia="仿宋_GB2312" w:cs="宋体"/>
          <w:color w:val="auto"/>
          <w:sz w:val="24"/>
          <w:highlight w:val="none"/>
          <w:u w:val="single"/>
        </w:rPr>
      </w:pPr>
      <w:r>
        <w:rPr>
          <w:rFonts w:hint="eastAsia" w:ascii="仿宋_GB2312" w:hAnsi="宋体" w:eastAsia="仿宋_GB2312"/>
          <w:color w:val="auto"/>
          <w:sz w:val="24"/>
          <w:highlight w:val="none"/>
        </w:rPr>
        <w:t xml:space="preserve"> 代表：</w:t>
      </w:r>
      <w:r>
        <w:rPr>
          <w:rFonts w:hint="eastAsia" w:ascii="仿宋_GB2312" w:hAnsi="宋体" w:eastAsia="仿宋_GB2312" w:cs="宋体"/>
          <w:color w:val="auto"/>
          <w:sz w:val="24"/>
          <w:highlight w:val="none"/>
          <w:u w:val="single"/>
        </w:rPr>
        <w:t xml:space="preserve">                      </w:t>
      </w:r>
      <w:r>
        <w:rPr>
          <w:rFonts w:hint="eastAsia" w:ascii="仿宋_GB2312" w:hAnsi="宋体" w:eastAsia="仿宋_GB2312"/>
          <w:color w:val="auto"/>
          <w:sz w:val="24"/>
          <w:highlight w:val="none"/>
        </w:rPr>
        <w:t xml:space="preserve">         代表：</w:t>
      </w:r>
      <w:r>
        <w:rPr>
          <w:rFonts w:hint="eastAsia" w:ascii="仿宋_GB2312" w:hAnsi="宋体" w:eastAsia="仿宋_GB2312" w:cs="宋体"/>
          <w:color w:val="auto"/>
          <w:sz w:val="24"/>
          <w:highlight w:val="none"/>
          <w:u w:val="single"/>
        </w:rPr>
        <w:t xml:space="preserve">                 </w:t>
      </w:r>
    </w:p>
    <w:p>
      <w:pPr>
        <w:snapToGrid w:val="0"/>
        <w:spacing w:line="360" w:lineRule="auto"/>
        <w:rPr>
          <w:rFonts w:ascii="仿宋_GB2312" w:hAnsi="宋体" w:eastAsia="仿宋_GB2312"/>
          <w:color w:val="auto"/>
          <w:sz w:val="24"/>
          <w:highlight w:val="none"/>
        </w:rPr>
      </w:pPr>
      <w:r>
        <w:rPr>
          <w:rFonts w:hint="eastAsia" w:ascii="仿宋_GB2312" w:hAnsi="宋体" w:eastAsia="仿宋_GB2312" w:cs="宋体"/>
          <w:color w:val="auto"/>
          <w:sz w:val="24"/>
          <w:highlight w:val="none"/>
        </w:rPr>
        <w:t>住所地：厦门市同安区美禾三路399号   住所地：</w:t>
      </w:r>
    </w:p>
    <w:p>
      <w:pPr>
        <w:snapToGrid w:val="0"/>
        <w:spacing w:line="360" w:lineRule="auto"/>
        <w:rPr>
          <w:rFonts w:ascii="仿宋_GB2312" w:hAnsi="宋体" w:eastAsia="仿宋_GB2312"/>
          <w:color w:val="auto"/>
          <w:sz w:val="24"/>
          <w:highlight w:val="none"/>
        </w:rPr>
      </w:pPr>
      <w:r>
        <w:rPr>
          <w:rFonts w:hint="eastAsia" w:ascii="仿宋_GB2312" w:hAnsi="宋体" w:eastAsia="仿宋_GB2312"/>
          <w:color w:val="auto"/>
          <w:sz w:val="24"/>
          <w:highlight w:val="none"/>
        </w:rPr>
        <w:t>时间：2024年   月   日　             时间：2024年   月   日</w:t>
      </w:r>
    </w:p>
    <w:p>
      <w:pPr>
        <w:snapToGrid w:val="0"/>
        <w:spacing w:line="360" w:lineRule="auto"/>
        <w:rPr>
          <w:rFonts w:ascii="仿宋_GB2312" w:hAnsi="宋体" w:eastAsia="仿宋_GB2312"/>
          <w:color w:val="auto"/>
          <w:sz w:val="24"/>
          <w:highlight w:val="none"/>
        </w:rPr>
      </w:pPr>
    </w:p>
    <w:p>
      <w:pPr>
        <w:snapToGrid w:val="0"/>
        <w:spacing w:line="360" w:lineRule="auto"/>
        <w:rPr>
          <w:rFonts w:ascii="仿宋_GB2312" w:hAnsi="宋体" w:eastAsia="仿宋_GB2312"/>
          <w:color w:val="auto"/>
          <w:sz w:val="24"/>
          <w:highlight w:val="none"/>
        </w:rPr>
      </w:pPr>
    </w:p>
    <w:p>
      <w:pPr>
        <w:snapToGrid w:val="0"/>
        <w:spacing w:line="360" w:lineRule="auto"/>
        <w:rPr>
          <w:rFonts w:ascii="仿宋_GB2312" w:hAnsi="宋体" w:eastAsia="仿宋_GB2312"/>
          <w:color w:val="auto"/>
          <w:sz w:val="24"/>
          <w:highlight w:val="none"/>
        </w:rPr>
      </w:pPr>
    </w:p>
    <w:p>
      <w:pPr>
        <w:snapToGrid w:val="0"/>
        <w:spacing w:line="360" w:lineRule="auto"/>
        <w:rPr>
          <w:rFonts w:ascii="仿宋_GB2312" w:hAnsi="宋体" w:eastAsia="仿宋_GB2312"/>
          <w:b/>
          <w:color w:val="auto"/>
          <w:sz w:val="24"/>
          <w:highlight w:val="none"/>
        </w:rPr>
      </w:pPr>
      <w:r>
        <w:rPr>
          <w:rFonts w:hint="eastAsia" w:ascii="仿宋_GB2312" w:hAnsi="宋体" w:eastAsia="仿宋_GB2312"/>
          <w:color w:val="auto"/>
          <w:sz w:val="24"/>
          <w:highlight w:val="none"/>
        </w:rPr>
        <w:t>附件</w:t>
      </w:r>
    </w:p>
    <w:p>
      <w:pPr>
        <w:jc w:val="center"/>
        <w:rPr>
          <w:rFonts w:ascii="宋体" w:hAnsi="宋体"/>
          <w:b/>
          <w:color w:val="auto"/>
          <w:sz w:val="32"/>
          <w:szCs w:val="32"/>
          <w:highlight w:val="none"/>
        </w:rPr>
      </w:pPr>
      <w:r>
        <w:rPr>
          <w:rFonts w:hint="eastAsia" w:ascii="宋体" w:hAnsi="宋体"/>
          <w:b/>
          <w:color w:val="auto"/>
          <w:sz w:val="32"/>
          <w:szCs w:val="32"/>
          <w:highlight w:val="none"/>
        </w:rPr>
        <w:t>廉政责任书</w:t>
      </w:r>
    </w:p>
    <w:p>
      <w:pPr>
        <w:spacing w:line="440" w:lineRule="exact"/>
        <w:rPr>
          <w:rFonts w:ascii="宋体" w:hAnsi="宋体"/>
          <w:color w:val="auto"/>
          <w:sz w:val="24"/>
          <w:szCs w:val="24"/>
          <w:highlight w:val="none"/>
        </w:rPr>
      </w:pPr>
      <w:r>
        <w:rPr>
          <w:rFonts w:hint="eastAsia" w:ascii="宋体" w:hAnsi="宋体"/>
          <w:color w:val="auto"/>
          <w:sz w:val="24"/>
          <w:szCs w:val="24"/>
          <w:highlight w:val="none"/>
        </w:rPr>
        <w:t>甲方：厦门同集热电有限公司</w:t>
      </w:r>
    </w:p>
    <w:p>
      <w:pPr>
        <w:spacing w:line="440" w:lineRule="exact"/>
        <w:rPr>
          <w:rFonts w:ascii="宋体" w:hAnsi="宋体"/>
          <w:color w:val="auto"/>
          <w:sz w:val="24"/>
          <w:szCs w:val="24"/>
          <w:highlight w:val="none"/>
        </w:rPr>
      </w:pPr>
      <w:r>
        <w:rPr>
          <w:rFonts w:hint="eastAsia" w:ascii="宋体" w:hAnsi="宋体"/>
          <w:color w:val="auto"/>
          <w:sz w:val="24"/>
          <w:szCs w:val="24"/>
          <w:highlight w:val="none"/>
        </w:rPr>
        <w:t xml:space="preserve">乙方： </w:t>
      </w:r>
    </w:p>
    <w:p>
      <w:pPr>
        <w:spacing w:line="440" w:lineRule="exact"/>
        <w:rPr>
          <w:rFonts w:ascii="宋体" w:hAnsi="宋体"/>
          <w:color w:val="auto"/>
          <w:sz w:val="24"/>
          <w:szCs w:val="24"/>
          <w:highlight w:val="none"/>
        </w:rPr>
      </w:pPr>
      <w:r>
        <w:rPr>
          <w:rFonts w:hint="eastAsia" w:ascii="宋体" w:hAnsi="宋体"/>
          <w:color w:val="auto"/>
          <w:sz w:val="24"/>
          <w:szCs w:val="24"/>
          <w:highlight w:val="none"/>
        </w:rPr>
        <w:t>为了保证甲、乙双方在煤炭招投标、物资采购等经济活动往来中遵纪守法、廉洁自律，特制定本廉政责任书。</w:t>
      </w:r>
    </w:p>
    <w:p>
      <w:pPr>
        <w:spacing w:line="44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一、甲、乙双方应自觉遵守国家、行业、地方各项法律法规及规章制度，严格按照有关规定管理好各项工作，按照经济合同规定，履行各项义务。</w:t>
      </w:r>
    </w:p>
    <w:p>
      <w:pPr>
        <w:spacing w:line="44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二、甲方在和乙方的业务交往活动中，应严格按所签订的经济合同条款办事，不得推诿责任或借故刁难乙方人员；不得在履行业务中“吃、拿、卡、要”或发生其它任何不廉洁行为。一经发现，由海发纪委视其情节轻重对有关人员做出处理。海发能源公司监督部门应切实履行监督检查职能，加强对甲方人员的监督，随时教育甲方人员在与乙方开展的经济活动中，保持密切合作，廉洁奉公，不谋私利。</w:t>
      </w:r>
    </w:p>
    <w:p>
      <w:pPr>
        <w:spacing w:line="440" w:lineRule="exact"/>
        <w:ind w:left="120" w:leftChars="57" w:firstLine="360" w:firstLineChars="150"/>
        <w:rPr>
          <w:rFonts w:ascii="宋体" w:hAnsi="宋体"/>
          <w:color w:val="auto"/>
          <w:sz w:val="24"/>
          <w:szCs w:val="24"/>
          <w:highlight w:val="none"/>
        </w:rPr>
      </w:pPr>
      <w:r>
        <w:rPr>
          <w:rFonts w:hint="eastAsia" w:ascii="宋体" w:hAnsi="宋体"/>
          <w:color w:val="auto"/>
          <w:sz w:val="24"/>
          <w:szCs w:val="24"/>
          <w:highlight w:val="none"/>
        </w:rPr>
        <w:t>三、乙方不得以任何理由向甲方人员送钱、送物或采用其他变相行向甲方行贿。否则，甲方有权终止经济合同，不承担违约责任，并将其列入此后参与海发能源公司各项经济活动的禁入名单；触犯刑事法律法规的移交司法机关处理。</w:t>
      </w:r>
    </w:p>
    <w:p>
      <w:pPr>
        <w:spacing w:line="44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四、甲方人员不得私自向乙方推销经济活动中的有关产品或推介经营单位。</w:t>
      </w:r>
    </w:p>
    <w:p>
      <w:pPr>
        <w:spacing w:line="44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五、甲、乙双方工作人员发现上述情形之一，应及时向</w:t>
      </w:r>
      <w:r>
        <w:rPr>
          <w:rFonts w:hint="eastAsia" w:ascii="宋体" w:hAnsi="宋体"/>
          <w:color w:val="auto"/>
          <w:sz w:val="24"/>
          <w:highlight w:val="none"/>
        </w:rPr>
        <w:t>海发纪委举报（</w:t>
      </w:r>
      <w:r>
        <w:rPr>
          <w:rFonts w:hint="eastAsia" w:ascii="宋体" w:hAnsi="宋体"/>
          <w:b/>
          <w:color w:val="auto"/>
          <w:sz w:val="24"/>
          <w:highlight w:val="none"/>
        </w:rPr>
        <w:t>举报电话：</w:t>
      </w:r>
      <w:r>
        <w:rPr>
          <w:rFonts w:hint="eastAsia" w:ascii="宋体" w:hAnsi="宋体"/>
          <w:b/>
          <w:color w:val="auto"/>
          <w:kern w:val="0"/>
          <w:sz w:val="24"/>
          <w:highlight w:val="none"/>
        </w:rPr>
        <w:t>0592-680</w:t>
      </w:r>
      <w:r>
        <w:rPr>
          <w:rFonts w:ascii="宋体" w:hAnsi="宋体"/>
          <w:b/>
          <w:color w:val="auto"/>
          <w:kern w:val="0"/>
          <w:sz w:val="24"/>
          <w:highlight w:val="none"/>
        </w:rPr>
        <w:t>0131、</w:t>
      </w:r>
      <w:r>
        <w:rPr>
          <w:rFonts w:hint="eastAsia" w:ascii="宋体" w:hAnsi="宋体"/>
          <w:b/>
          <w:color w:val="auto"/>
          <w:kern w:val="0"/>
          <w:sz w:val="24"/>
          <w:highlight w:val="none"/>
        </w:rPr>
        <w:t>6</w:t>
      </w:r>
      <w:r>
        <w:rPr>
          <w:rFonts w:ascii="宋体" w:hAnsi="宋体"/>
          <w:b/>
          <w:color w:val="auto"/>
          <w:kern w:val="0"/>
          <w:sz w:val="24"/>
          <w:highlight w:val="none"/>
        </w:rPr>
        <w:t>807596</w:t>
      </w:r>
      <w:r>
        <w:rPr>
          <w:rFonts w:hint="eastAsia" w:ascii="宋体" w:hAnsi="宋体"/>
          <w:color w:val="auto"/>
          <w:sz w:val="24"/>
          <w:highlight w:val="none"/>
        </w:rPr>
        <w:t>）</w:t>
      </w:r>
      <w:r>
        <w:rPr>
          <w:rFonts w:hint="eastAsia" w:ascii="宋体" w:hAnsi="宋体"/>
          <w:color w:val="auto"/>
          <w:sz w:val="24"/>
          <w:szCs w:val="24"/>
          <w:highlight w:val="none"/>
        </w:rPr>
        <w:t>，纪委应及时受理举报案件，并提出查处意见。</w:t>
      </w:r>
    </w:p>
    <w:p>
      <w:pPr>
        <w:spacing w:line="44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六、甲、乙双方项目负责人必须签订廉政责任书。</w:t>
      </w:r>
    </w:p>
    <w:p>
      <w:pPr>
        <w:spacing w:line="440" w:lineRule="exact"/>
        <w:ind w:firstLine="480" w:firstLineChars="200"/>
        <w:rPr>
          <w:rFonts w:hint="eastAsia" w:ascii="宋体" w:hAnsi="宋体"/>
          <w:color w:val="auto"/>
          <w:sz w:val="24"/>
          <w:szCs w:val="24"/>
          <w:highlight w:val="none"/>
        </w:rPr>
      </w:pPr>
      <w:r>
        <w:rPr>
          <w:rFonts w:hint="eastAsia" w:ascii="宋体" w:hAnsi="宋体"/>
          <w:color w:val="auto"/>
          <w:sz w:val="24"/>
          <w:szCs w:val="24"/>
          <w:highlight w:val="none"/>
        </w:rPr>
        <w:t>七、本责任书一式三份，甲方二份，乙方一份。</w:t>
      </w:r>
    </w:p>
    <w:p>
      <w:pPr>
        <w:spacing w:line="44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八、本责任书自签订之日起生效。</w:t>
      </w:r>
    </w:p>
    <w:p>
      <w:pPr>
        <w:spacing w:line="440" w:lineRule="exact"/>
        <w:rPr>
          <w:rFonts w:ascii="宋体" w:hAnsi="宋体"/>
          <w:color w:val="auto"/>
          <w:sz w:val="24"/>
          <w:szCs w:val="24"/>
          <w:highlight w:val="none"/>
        </w:rPr>
      </w:pPr>
    </w:p>
    <w:p>
      <w:pPr>
        <w:spacing w:line="440" w:lineRule="exact"/>
        <w:rPr>
          <w:rFonts w:ascii="宋体" w:hAnsi="宋体"/>
          <w:color w:val="auto"/>
          <w:sz w:val="24"/>
          <w:szCs w:val="24"/>
          <w:highlight w:val="none"/>
        </w:rPr>
      </w:pPr>
      <w:r>
        <w:rPr>
          <w:rFonts w:hint="eastAsia" w:ascii="宋体" w:hAnsi="宋体"/>
          <w:color w:val="auto"/>
          <w:sz w:val="24"/>
          <w:szCs w:val="24"/>
          <w:highlight w:val="none"/>
        </w:rPr>
        <w:t>甲方 (单位盖章)：                      乙方(单位盖章)：</w:t>
      </w:r>
    </w:p>
    <w:p>
      <w:pPr>
        <w:spacing w:line="440" w:lineRule="exact"/>
        <w:rPr>
          <w:rFonts w:ascii="宋体" w:hAnsi="宋体"/>
          <w:color w:val="auto"/>
          <w:sz w:val="24"/>
          <w:szCs w:val="24"/>
          <w:highlight w:val="none"/>
        </w:rPr>
      </w:pPr>
    </w:p>
    <w:p>
      <w:pPr>
        <w:spacing w:line="440" w:lineRule="exact"/>
        <w:rPr>
          <w:rFonts w:ascii="宋体" w:hAnsi="宋体"/>
          <w:color w:val="auto"/>
          <w:sz w:val="24"/>
          <w:szCs w:val="24"/>
          <w:highlight w:val="none"/>
        </w:rPr>
      </w:pPr>
      <w:r>
        <w:rPr>
          <w:rFonts w:hint="eastAsia" w:ascii="宋体" w:hAnsi="宋体"/>
          <w:color w:val="auto"/>
          <w:sz w:val="24"/>
          <w:szCs w:val="24"/>
          <w:highlight w:val="none"/>
        </w:rPr>
        <w:t xml:space="preserve">甲方项目负责人：                       乙方项目负责人： </w:t>
      </w:r>
    </w:p>
    <w:p>
      <w:pPr>
        <w:spacing w:line="440" w:lineRule="exact"/>
        <w:rPr>
          <w:rFonts w:ascii="宋体" w:hAnsi="宋体"/>
          <w:color w:val="auto"/>
          <w:sz w:val="24"/>
          <w:szCs w:val="24"/>
          <w:highlight w:val="none"/>
        </w:rPr>
      </w:pPr>
    </w:p>
    <w:p>
      <w:pPr>
        <w:spacing w:line="440" w:lineRule="exact"/>
        <w:rPr>
          <w:rFonts w:ascii="宋体" w:hAnsi="宋体"/>
          <w:color w:val="auto"/>
          <w:sz w:val="24"/>
          <w:szCs w:val="24"/>
          <w:highlight w:val="none"/>
        </w:rPr>
      </w:pPr>
    </w:p>
    <w:p>
      <w:pPr>
        <w:rPr>
          <w:rFonts w:ascii="Times New Roman" w:hAnsi="Times New Roman"/>
          <w:color w:val="auto"/>
          <w:szCs w:val="24"/>
          <w:highlight w:val="none"/>
        </w:rPr>
      </w:pPr>
      <w:r>
        <w:rPr>
          <w:rFonts w:hint="eastAsia" w:ascii="宋体" w:hAnsi="宋体"/>
          <w:color w:val="auto"/>
          <w:sz w:val="24"/>
          <w:szCs w:val="24"/>
          <w:highlight w:val="none"/>
        </w:rPr>
        <w:t xml:space="preserve">                                    签订日期：   年  月</w:t>
      </w:r>
      <w:r>
        <w:rPr>
          <w:rFonts w:ascii="宋体" w:hAnsi="宋体"/>
          <w:color w:val="auto"/>
          <w:sz w:val="24"/>
          <w:szCs w:val="24"/>
          <w:highlight w:val="none"/>
        </w:rPr>
        <w:t xml:space="preserve">  </w:t>
      </w:r>
      <w:r>
        <w:rPr>
          <w:rFonts w:hint="eastAsia" w:ascii="宋体" w:hAnsi="宋体"/>
          <w:color w:val="auto"/>
          <w:sz w:val="24"/>
          <w:szCs w:val="24"/>
          <w:highlight w:val="none"/>
        </w:rPr>
        <w:t>日</w:t>
      </w:r>
    </w:p>
    <w:p>
      <w:pPr>
        <w:rPr>
          <w:color w:val="auto"/>
          <w:highlight w:val="none"/>
        </w:rPr>
      </w:pPr>
    </w:p>
    <w:p>
      <w:pPr>
        <w:rPr>
          <w:rFonts w:ascii="宋体" w:hAnsi="宋体"/>
          <w:b/>
          <w:color w:val="auto"/>
          <w:sz w:val="32"/>
          <w:szCs w:val="32"/>
          <w:highlight w:val="none"/>
        </w:rPr>
      </w:pPr>
    </w:p>
    <w:p>
      <w:pPr>
        <w:rPr>
          <w:rFonts w:ascii="宋体" w:hAnsi="宋体"/>
          <w:b/>
          <w:color w:val="auto"/>
          <w:sz w:val="32"/>
          <w:szCs w:val="32"/>
          <w:highlight w:val="none"/>
        </w:rPr>
      </w:pPr>
      <w:r>
        <w:rPr>
          <w:rFonts w:hint="eastAsia" w:ascii="宋体" w:hAnsi="宋体"/>
          <w:b/>
          <w:color w:val="auto"/>
          <w:sz w:val="32"/>
          <w:szCs w:val="32"/>
          <w:highlight w:val="none"/>
        </w:rPr>
        <w:t>附件</w:t>
      </w: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auto"/>
          <w:sz w:val="36"/>
          <w:szCs w:val="36"/>
          <w:highlight w:val="none"/>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auto"/>
          <w:sz w:val="36"/>
          <w:szCs w:val="36"/>
          <w:highlight w:val="none"/>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auto"/>
          <w:sz w:val="36"/>
          <w:szCs w:val="36"/>
          <w:highlight w:val="none"/>
        </w:rPr>
      </w:pPr>
      <w:r>
        <w:rPr>
          <w:rFonts w:hint="eastAsia" w:ascii="宋体" w:hAnsi="宋体" w:eastAsia="宋体"/>
          <w:bCs/>
          <w:color w:val="auto"/>
          <w:sz w:val="36"/>
          <w:szCs w:val="36"/>
          <w:highlight w:val="none"/>
        </w:rPr>
        <w:t>第五</w:t>
      </w:r>
      <w:r>
        <w:rPr>
          <w:rFonts w:ascii="宋体" w:hAnsi="宋体" w:eastAsia="宋体"/>
          <w:bCs/>
          <w:color w:val="auto"/>
          <w:sz w:val="36"/>
          <w:szCs w:val="36"/>
          <w:highlight w:val="none"/>
        </w:rPr>
        <w:t>部分</w:t>
      </w:r>
      <w:r>
        <w:rPr>
          <w:rFonts w:hint="eastAsia" w:ascii="宋体" w:hAnsi="宋体" w:eastAsia="宋体"/>
          <w:bCs/>
          <w:color w:val="auto"/>
          <w:sz w:val="36"/>
          <w:szCs w:val="36"/>
          <w:highlight w:val="none"/>
        </w:rPr>
        <w:t>报价文件格式</w:t>
      </w:r>
      <w:bookmarkEnd w:id="45"/>
      <w:bookmarkEnd w:id="46"/>
      <w:bookmarkEnd w:id="47"/>
    </w:p>
    <w:tbl>
      <w:tblPr>
        <w:tblStyle w:val="10"/>
        <w:tblW w:w="89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8970" w:type="dxa"/>
          </w:tcPr>
          <w:p>
            <w:pPr>
              <w:spacing w:line="360" w:lineRule="auto"/>
              <w:rPr>
                <w:rFonts w:ascii="宋体" w:hAnsi="宋体"/>
                <w:color w:val="auto"/>
                <w:sz w:val="24"/>
                <w:highlight w:val="none"/>
              </w:rPr>
            </w:pPr>
            <w:r>
              <w:rPr>
                <w:rFonts w:hint="eastAsia" w:ascii="宋体" w:hAnsi="宋体"/>
                <w:color w:val="auto"/>
                <w:sz w:val="24"/>
                <w:highlight w:val="none"/>
              </w:rPr>
              <w:t xml:space="preserve">注释： </w:t>
            </w:r>
          </w:p>
          <w:p>
            <w:pPr>
              <w:spacing w:line="360" w:lineRule="auto"/>
              <w:ind w:left="492" w:right="132" w:firstLine="480"/>
              <w:rPr>
                <w:rFonts w:ascii="宋体" w:hAnsi="宋体"/>
                <w:color w:val="auto"/>
                <w:sz w:val="24"/>
                <w:highlight w:val="none"/>
              </w:rPr>
            </w:pPr>
            <w:r>
              <w:rPr>
                <w:rFonts w:hint="eastAsia" w:ascii="宋体" w:hAnsi="宋体"/>
                <w:color w:val="auto"/>
                <w:sz w:val="24"/>
                <w:highlight w:val="none"/>
              </w:rPr>
              <w:t>《报价文件格式》是报价方的部分报价文件格式和签订合同时所需资料的格式。报价方参照这些格式文件制作报价文件。</w:t>
            </w:r>
          </w:p>
        </w:tc>
      </w:tr>
    </w:tbl>
    <w:p>
      <w:pPr>
        <w:spacing w:line="360" w:lineRule="auto"/>
        <w:jc w:val="center"/>
        <w:outlineLvl w:val="0"/>
        <w:rPr>
          <w:rFonts w:ascii="宋体" w:hAnsi="宋体"/>
          <w:b/>
          <w:color w:val="auto"/>
          <w:sz w:val="52"/>
          <w:highlight w:val="none"/>
        </w:rPr>
      </w:pPr>
      <w:r>
        <w:rPr>
          <w:rFonts w:hint="eastAsia" w:ascii="宋体" w:hAnsi="宋体"/>
          <w:b/>
          <w:color w:val="auto"/>
          <w:sz w:val="52"/>
          <w:highlight w:val="none"/>
        </w:rPr>
        <w:t>厦门海发环保能源股份有限公司</w:t>
      </w:r>
    </w:p>
    <w:p>
      <w:pPr>
        <w:spacing w:line="360" w:lineRule="auto"/>
        <w:jc w:val="center"/>
        <w:outlineLvl w:val="0"/>
        <w:rPr>
          <w:rFonts w:ascii="宋体" w:hAnsi="宋体"/>
          <w:b/>
          <w:color w:val="auto"/>
          <w:sz w:val="52"/>
          <w:highlight w:val="none"/>
        </w:rPr>
      </w:pPr>
      <w:bookmarkStart w:id="48" w:name="_Toc28305"/>
      <w:bookmarkStart w:id="49" w:name="_Toc30894"/>
      <w:bookmarkStart w:id="50" w:name="_Toc3580"/>
      <w:r>
        <w:rPr>
          <w:rFonts w:hint="eastAsia"/>
          <w:b/>
          <w:color w:val="auto"/>
          <w:sz w:val="36"/>
          <w:szCs w:val="36"/>
          <w:highlight w:val="none"/>
        </w:rPr>
        <w:t>同集事业部无烟煤采购</w:t>
      </w:r>
      <w:r>
        <w:rPr>
          <w:rFonts w:hint="eastAsia"/>
          <w:color w:val="auto"/>
          <w:sz w:val="36"/>
          <w:szCs w:val="36"/>
          <w:highlight w:val="none"/>
        </w:rPr>
        <w:t xml:space="preserve"> </w:t>
      </w:r>
    </w:p>
    <w:bookmarkEnd w:id="48"/>
    <w:bookmarkEnd w:id="49"/>
    <w:bookmarkEnd w:id="50"/>
    <w:p>
      <w:pPr>
        <w:spacing w:line="360" w:lineRule="auto"/>
        <w:jc w:val="center"/>
        <w:outlineLvl w:val="0"/>
        <w:rPr>
          <w:rFonts w:ascii="宋体" w:hAnsi="宋体"/>
          <w:b/>
          <w:color w:val="auto"/>
          <w:sz w:val="52"/>
          <w:highlight w:val="none"/>
        </w:rPr>
      </w:pPr>
      <w:r>
        <w:rPr>
          <w:rFonts w:hint="eastAsia" w:ascii="宋体" w:hAnsi="宋体"/>
          <w:b/>
          <w:color w:val="auto"/>
          <w:sz w:val="52"/>
          <w:highlight w:val="none"/>
        </w:rPr>
        <w:t>报价文件</w:t>
      </w:r>
    </w:p>
    <w:p>
      <w:pPr>
        <w:spacing w:line="360" w:lineRule="auto"/>
        <w:rPr>
          <w:rFonts w:ascii="宋体" w:hAnsi="宋体"/>
          <w:b/>
          <w:color w:val="auto"/>
          <w:sz w:val="36"/>
          <w:highlight w:val="none"/>
        </w:rPr>
      </w:pPr>
    </w:p>
    <w:p>
      <w:pPr>
        <w:spacing w:before="156" w:beforeLines="50" w:line="400" w:lineRule="atLeast"/>
        <w:ind w:firstLine="602" w:firstLineChars="200"/>
        <w:jc w:val="left"/>
        <w:outlineLvl w:val="0"/>
        <w:rPr>
          <w:rFonts w:ascii="宋体" w:hAnsi="宋体"/>
          <w:b/>
          <w:bCs/>
          <w:color w:val="auto"/>
          <w:sz w:val="30"/>
          <w:szCs w:val="30"/>
          <w:highlight w:val="none"/>
          <w:u w:val="single"/>
        </w:rPr>
      </w:pPr>
      <w:bookmarkStart w:id="51" w:name="_Toc26010"/>
      <w:bookmarkStart w:id="52" w:name="_Toc10610"/>
      <w:bookmarkStart w:id="53" w:name="_Toc12676"/>
      <w:bookmarkStart w:id="54" w:name="_Toc31210"/>
      <w:bookmarkStart w:id="55" w:name="_Toc27454"/>
      <w:r>
        <w:rPr>
          <w:rFonts w:hint="eastAsia" w:ascii="宋体" w:hAnsi="宋体"/>
          <w:b/>
          <w:bCs/>
          <w:color w:val="auto"/>
          <w:sz w:val="30"/>
          <w:szCs w:val="30"/>
          <w:highlight w:val="none"/>
        </w:rPr>
        <w:t>报价单位：</w:t>
      </w:r>
      <w:r>
        <w:rPr>
          <w:rFonts w:hint="eastAsia" w:ascii="宋体" w:hAnsi="宋体"/>
          <w:b/>
          <w:bCs/>
          <w:color w:val="auto"/>
          <w:sz w:val="30"/>
          <w:szCs w:val="30"/>
          <w:highlight w:val="none"/>
          <w:u w:val="single"/>
        </w:rPr>
        <w:t xml:space="preserve">                           （盖公章）</w:t>
      </w:r>
      <w:bookmarkEnd w:id="51"/>
      <w:bookmarkEnd w:id="52"/>
      <w:bookmarkEnd w:id="53"/>
      <w:bookmarkEnd w:id="54"/>
      <w:bookmarkEnd w:id="55"/>
    </w:p>
    <w:p>
      <w:pPr>
        <w:spacing w:before="156" w:beforeLines="50" w:line="400" w:lineRule="atLeast"/>
        <w:jc w:val="left"/>
        <w:rPr>
          <w:rFonts w:ascii="宋体" w:hAnsi="宋体"/>
          <w:b/>
          <w:bCs/>
          <w:color w:val="auto"/>
          <w:sz w:val="30"/>
          <w:szCs w:val="30"/>
          <w:highlight w:val="none"/>
          <w:u w:val="single"/>
        </w:rPr>
      </w:pPr>
    </w:p>
    <w:p>
      <w:pPr>
        <w:spacing w:before="156" w:beforeLines="50" w:line="400" w:lineRule="atLeast"/>
        <w:ind w:firstLine="602" w:firstLineChars="200"/>
        <w:jc w:val="left"/>
        <w:outlineLvl w:val="0"/>
        <w:rPr>
          <w:rFonts w:ascii="宋体" w:hAnsi="宋体"/>
          <w:b/>
          <w:bCs/>
          <w:color w:val="auto"/>
          <w:sz w:val="30"/>
          <w:szCs w:val="30"/>
          <w:highlight w:val="none"/>
          <w:u w:val="single"/>
        </w:rPr>
      </w:pPr>
      <w:bookmarkStart w:id="56" w:name="_Toc26421"/>
      <w:bookmarkStart w:id="57" w:name="_Toc16600"/>
      <w:bookmarkStart w:id="58" w:name="_Toc28416"/>
      <w:bookmarkStart w:id="59" w:name="_Toc2110"/>
      <w:bookmarkStart w:id="60" w:name="_Toc22504"/>
      <w:r>
        <w:rPr>
          <w:rFonts w:hint="eastAsia" w:ascii="宋体" w:hAnsi="宋体"/>
          <w:b/>
          <w:bCs/>
          <w:color w:val="auto"/>
          <w:sz w:val="30"/>
          <w:szCs w:val="30"/>
          <w:highlight w:val="none"/>
        </w:rPr>
        <w:t>法定代表人或其委托代理人：</w:t>
      </w:r>
      <w:bookmarkEnd w:id="56"/>
      <w:bookmarkEnd w:id="57"/>
      <w:bookmarkEnd w:id="58"/>
      <w:bookmarkEnd w:id="59"/>
      <w:bookmarkEnd w:id="60"/>
    </w:p>
    <w:p>
      <w:pPr>
        <w:spacing w:before="156" w:beforeLines="50" w:line="400" w:lineRule="atLeast"/>
        <w:ind w:firstLine="1687" w:firstLineChars="600"/>
        <w:jc w:val="center"/>
        <w:rPr>
          <w:rFonts w:ascii="宋体" w:hAnsi="宋体"/>
          <w:b/>
          <w:bCs/>
          <w:color w:val="auto"/>
          <w:sz w:val="28"/>
          <w:szCs w:val="28"/>
          <w:highlight w:val="none"/>
        </w:rPr>
      </w:pPr>
    </w:p>
    <w:p>
      <w:pPr>
        <w:spacing w:before="156" w:beforeLines="50" w:line="400" w:lineRule="atLeast"/>
        <w:ind w:firstLine="562" w:firstLineChars="200"/>
        <w:outlineLvl w:val="0"/>
        <w:rPr>
          <w:rFonts w:hint="eastAsia" w:ascii="宋体" w:hAnsi="宋体"/>
          <w:b/>
          <w:bCs/>
          <w:color w:val="auto"/>
          <w:sz w:val="28"/>
          <w:szCs w:val="28"/>
          <w:highlight w:val="none"/>
        </w:rPr>
      </w:pPr>
      <w:bookmarkStart w:id="61" w:name="_Toc7142"/>
      <w:bookmarkStart w:id="62" w:name="_Toc7425"/>
      <w:bookmarkStart w:id="63" w:name="_Toc14233"/>
      <w:bookmarkStart w:id="64" w:name="_Toc24026"/>
      <w:bookmarkStart w:id="65" w:name="_Toc19182"/>
      <w:r>
        <w:rPr>
          <w:rFonts w:hint="eastAsia" w:ascii="宋体" w:hAnsi="宋体"/>
          <w:b/>
          <w:bCs/>
          <w:color w:val="auto"/>
          <w:sz w:val="28"/>
          <w:szCs w:val="28"/>
          <w:highlight w:val="none"/>
        </w:rPr>
        <w:t>报价日期：2024年  月   日</w:t>
      </w:r>
      <w:bookmarkEnd w:id="61"/>
      <w:bookmarkEnd w:id="62"/>
      <w:bookmarkEnd w:id="63"/>
      <w:bookmarkEnd w:id="64"/>
      <w:bookmarkEnd w:id="65"/>
    </w:p>
    <w:p>
      <w:pPr>
        <w:spacing w:before="156" w:beforeLines="50" w:line="400" w:lineRule="atLeast"/>
        <w:ind w:firstLine="562" w:firstLineChars="200"/>
        <w:outlineLvl w:val="0"/>
        <w:rPr>
          <w:rFonts w:hint="eastAsia" w:ascii="宋体" w:hAnsi="宋体"/>
          <w:b/>
          <w:bCs/>
          <w:color w:val="auto"/>
          <w:sz w:val="28"/>
          <w:szCs w:val="28"/>
          <w:highlight w:val="none"/>
        </w:rPr>
      </w:pPr>
    </w:p>
    <w:p>
      <w:pPr>
        <w:spacing w:before="156" w:beforeLines="50" w:line="400" w:lineRule="atLeast"/>
        <w:ind w:firstLine="562" w:firstLineChars="200"/>
        <w:outlineLvl w:val="0"/>
        <w:rPr>
          <w:rFonts w:hint="eastAsia" w:ascii="宋体" w:hAnsi="宋体"/>
          <w:b/>
          <w:bCs/>
          <w:color w:val="auto"/>
          <w:sz w:val="28"/>
          <w:szCs w:val="28"/>
          <w:highlight w:val="none"/>
        </w:rPr>
      </w:pPr>
    </w:p>
    <w:p>
      <w:pPr>
        <w:spacing w:before="156" w:beforeLines="50" w:line="400" w:lineRule="atLeast"/>
        <w:ind w:firstLine="562" w:firstLineChars="200"/>
        <w:outlineLvl w:val="0"/>
        <w:rPr>
          <w:rFonts w:hint="eastAsia" w:ascii="宋体" w:hAnsi="宋体"/>
          <w:b/>
          <w:bCs/>
          <w:color w:val="auto"/>
          <w:sz w:val="28"/>
          <w:szCs w:val="28"/>
          <w:highlight w:val="none"/>
        </w:rPr>
      </w:pPr>
    </w:p>
    <w:p>
      <w:pPr>
        <w:spacing w:before="156" w:beforeLines="50" w:line="400" w:lineRule="atLeast"/>
        <w:outlineLvl w:val="0"/>
        <w:rPr>
          <w:rFonts w:ascii="宋体" w:hAnsi="宋体"/>
          <w:b/>
          <w:bCs/>
          <w:color w:val="auto"/>
          <w:sz w:val="28"/>
          <w:szCs w:val="28"/>
          <w:highlight w:val="none"/>
        </w:rPr>
      </w:pPr>
      <w:r>
        <w:rPr>
          <w:rFonts w:hint="eastAsia" w:ascii="宋体" w:hAnsi="宋体"/>
          <w:b/>
          <w:bCs/>
          <w:color w:val="auto"/>
          <w:sz w:val="28"/>
          <w:szCs w:val="28"/>
          <w:highlight w:val="none"/>
        </w:rPr>
        <w:t>报价文件</w:t>
      </w:r>
      <w:r>
        <w:rPr>
          <w:rFonts w:ascii="宋体" w:hAnsi="宋体"/>
          <w:b/>
          <w:bCs/>
          <w:color w:val="auto"/>
          <w:sz w:val="28"/>
          <w:szCs w:val="28"/>
          <w:highlight w:val="none"/>
        </w:rPr>
        <w:t>目录</w:t>
      </w:r>
    </w:p>
    <w:p>
      <w:pPr>
        <w:numPr>
          <w:ilvl w:val="0"/>
          <w:numId w:val="14"/>
        </w:numPr>
        <w:kinsoku w:val="0"/>
        <w:overflowPunct w:val="0"/>
        <w:adjustRightInd w:val="0"/>
        <w:snapToGrid w:val="0"/>
        <w:spacing w:line="400" w:lineRule="atLeast"/>
        <w:outlineLvl w:val="0"/>
        <w:rPr>
          <w:rFonts w:ascii="宋体" w:hAnsi="宋体"/>
          <w:color w:val="auto"/>
          <w:sz w:val="24"/>
          <w:szCs w:val="24"/>
          <w:highlight w:val="none"/>
        </w:rPr>
      </w:pPr>
      <w:bookmarkStart w:id="66" w:name="_Toc13090"/>
      <w:r>
        <w:rPr>
          <w:rFonts w:hint="eastAsia" w:ascii="宋体" w:hAnsi="宋体"/>
          <w:color w:val="auto"/>
          <w:sz w:val="24"/>
          <w:szCs w:val="24"/>
          <w:highlight w:val="none"/>
        </w:rPr>
        <w:t>响应函（见附件1）；</w:t>
      </w:r>
      <w:bookmarkEnd w:id="66"/>
    </w:p>
    <w:p>
      <w:pPr>
        <w:numPr>
          <w:ilvl w:val="0"/>
          <w:numId w:val="14"/>
        </w:numPr>
        <w:kinsoku w:val="0"/>
        <w:overflowPunct w:val="0"/>
        <w:adjustRightInd w:val="0"/>
        <w:snapToGrid w:val="0"/>
        <w:spacing w:line="400" w:lineRule="atLeast"/>
        <w:outlineLvl w:val="0"/>
        <w:rPr>
          <w:rFonts w:ascii="宋体" w:hAnsi="宋体"/>
          <w:color w:val="auto"/>
          <w:sz w:val="24"/>
          <w:szCs w:val="24"/>
          <w:highlight w:val="none"/>
        </w:rPr>
      </w:pPr>
      <w:bookmarkStart w:id="67" w:name="_Toc27762"/>
      <w:r>
        <w:rPr>
          <w:rFonts w:hint="eastAsia" w:ascii="宋体" w:hAnsi="宋体"/>
          <w:color w:val="auto"/>
          <w:sz w:val="24"/>
          <w:szCs w:val="24"/>
          <w:highlight w:val="none"/>
        </w:rPr>
        <w:t>谈判报价</w:t>
      </w:r>
      <w:r>
        <w:rPr>
          <w:rFonts w:ascii="宋体" w:hAnsi="宋体"/>
          <w:color w:val="auto"/>
          <w:sz w:val="24"/>
          <w:szCs w:val="24"/>
          <w:highlight w:val="none"/>
        </w:rPr>
        <w:t>书</w:t>
      </w:r>
      <w:r>
        <w:rPr>
          <w:rFonts w:hint="eastAsia" w:ascii="宋体" w:hAnsi="宋体"/>
          <w:color w:val="auto"/>
          <w:sz w:val="24"/>
          <w:szCs w:val="24"/>
          <w:highlight w:val="none"/>
        </w:rPr>
        <w:t>（见附件2）；</w:t>
      </w:r>
      <w:bookmarkEnd w:id="67"/>
    </w:p>
    <w:p>
      <w:pPr>
        <w:numPr>
          <w:ilvl w:val="0"/>
          <w:numId w:val="14"/>
        </w:numPr>
        <w:kinsoku w:val="0"/>
        <w:overflowPunct w:val="0"/>
        <w:adjustRightInd w:val="0"/>
        <w:snapToGrid w:val="0"/>
        <w:spacing w:line="400" w:lineRule="atLeast"/>
        <w:outlineLvl w:val="0"/>
        <w:rPr>
          <w:rFonts w:ascii="宋体" w:hAnsi="宋体"/>
          <w:color w:val="auto"/>
          <w:sz w:val="24"/>
          <w:szCs w:val="24"/>
          <w:highlight w:val="none"/>
        </w:rPr>
      </w:pPr>
      <w:bookmarkStart w:id="68" w:name="_Toc8857"/>
      <w:r>
        <w:rPr>
          <w:rFonts w:hint="eastAsia" w:ascii="宋体" w:hAnsi="宋体"/>
          <w:color w:val="auto"/>
          <w:sz w:val="24"/>
          <w:szCs w:val="24"/>
          <w:highlight w:val="none"/>
        </w:rPr>
        <w:t>法定代表人身份证（见附件3）；</w:t>
      </w:r>
    </w:p>
    <w:p>
      <w:pPr>
        <w:numPr>
          <w:ilvl w:val="0"/>
          <w:numId w:val="14"/>
        </w:numPr>
        <w:kinsoku w:val="0"/>
        <w:overflowPunct w:val="0"/>
        <w:adjustRightInd w:val="0"/>
        <w:snapToGrid w:val="0"/>
        <w:spacing w:line="400" w:lineRule="atLeast"/>
        <w:outlineLvl w:val="0"/>
        <w:rPr>
          <w:rFonts w:ascii="宋体" w:hAnsi="宋体"/>
          <w:color w:val="auto"/>
          <w:sz w:val="24"/>
          <w:szCs w:val="24"/>
          <w:highlight w:val="none"/>
        </w:rPr>
      </w:pPr>
      <w:r>
        <w:rPr>
          <w:rFonts w:hint="eastAsia" w:ascii="宋体" w:hAnsi="宋体"/>
          <w:color w:val="auto"/>
          <w:sz w:val="24"/>
          <w:szCs w:val="24"/>
          <w:highlight w:val="none"/>
        </w:rPr>
        <w:t>法人授权委托书</w:t>
      </w:r>
      <w:r>
        <w:rPr>
          <w:rFonts w:hint="eastAsia" w:ascii="宋体" w:hAnsi="宋体" w:eastAsia="宋体" w:cs="宋体"/>
          <w:color w:val="auto"/>
          <w:kern w:val="0"/>
          <w:sz w:val="24"/>
          <w:szCs w:val="24"/>
          <w:highlight w:val="none"/>
        </w:rPr>
        <w:t>及授权代表人身份证复印件</w:t>
      </w:r>
      <w:r>
        <w:rPr>
          <w:rFonts w:hint="eastAsia" w:ascii="宋体" w:hAnsi="宋体"/>
          <w:color w:val="auto"/>
          <w:sz w:val="24"/>
          <w:szCs w:val="24"/>
          <w:highlight w:val="none"/>
        </w:rPr>
        <w:t>（见附件4，</w:t>
      </w:r>
      <w:r>
        <w:rPr>
          <w:rFonts w:hint="eastAsia" w:cs="宋体"/>
          <w:b/>
          <w:color w:val="auto"/>
          <w:sz w:val="24"/>
          <w:szCs w:val="24"/>
          <w:highlight w:val="none"/>
        </w:rPr>
        <w:t>投标签字代表为法定代表人，则本附件不需要提供</w:t>
      </w:r>
      <w:r>
        <w:rPr>
          <w:rFonts w:hint="eastAsia" w:ascii="宋体" w:hAnsi="宋体"/>
          <w:color w:val="auto"/>
          <w:sz w:val="24"/>
          <w:szCs w:val="24"/>
          <w:highlight w:val="none"/>
        </w:rPr>
        <w:t>）；</w:t>
      </w:r>
      <w:bookmarkEnd w:id="68"/>
    </w:p>
    <w:p>
      <w:pPr>
        <w:numPr>
          <w:ilvl w:val="0"/>
          <w:numId w:val="14"/>
        </w:numPr>
        <w:kinsoku w:val="0"/>
        <w:overflowPunct w:val="0"/>
        <w:adjustRightInd w:val="0"/>
        <w:snapToGrid w:val="0"/>
        <w:spacing w:line="400" w:lineRule="atLeast"/>
        <w:outlineLvl w:val="0"/>
        <w:rPr>
          <w:rFonts w:ascii="宋体" w:hAnsi="宋体"/>
          <w:color w:val="auto"/>
          <w:sz w:val="24"/>
          <w:szCs w:val="24"/>
          <w:highlight w:val="none"/>
        </w:rPr>
      </w:pPr>
      <w:r>
        <w:rPr>
          <w:rFonts w:hint="eastAsia" w:ascii="宋体" w:hAnsi="宋体"/>
          <w:color w:val="auto"/>
          <w:sz w:val="24"/>
          <w:szCs w:val="24"/>
          <w:highlight w:val="none"/>
          <w:lang w:val="en-US" w:eastAsia="zh-CN"/>
        </w:rPr>
        <w:t>谈判承诺书（附件5，</w:t>
      </w:r>
      <w:r>
        <w:rPr>
          <w:rFonts w:hint="eastAsia" w:ascii="宋体" w:hAnsi="宋体"/>
          <w:b/>
          <w:bCs/>
          <w:color w:val="auto"/>
          <w:sz w:val="24"/>
          <w:szCs w:val="24"/>
          <w:highlight w:val="none"/>
          <w:lang w:val="en-US" w:eastAsia="zh-CN"/>
        </w:rPr>
        <w:t>如谈判代表未到现场，需提供</w:t>
      </w:r>
      <w:r>
        <w:rPr>
          <w:rFonts w:hint="eastAsia" w:ascii="宋体" w:hAnsi="宋体"/>
          <w:color w:val="auto"/>
          <w:sz w:val="24"/>
          <w:szCs w:val="24"/>
          <w:highlight w:val="none"/>
          <w:lang w:val="en-US" w:eastAsia="zh-CN"/>
        </w:rPr>
        <w:t>）</w:t>
      </w:r>
    </w:p>
    <w:p>
      <w:pPr>
        <w:numPr>
          <w:ilvl w:val="0"/>
          <w:numId w:val="14"/>
        </w:numPr>
        <w:kinsoku w:val="0"/>
        <w:overflowPunct w:val="0"/>
        <w:adjustRightInd w:val="0"/>
        <w:snapToGrid w:val="0"/>
        <w:spacing w:line="400" w:lineRule="atLeast"/>
        <w:outlineLvl w:val="0"/>
        <w:rPr>
          <w:rFonts w:ascii="宋体" w:hAnsi="宋体"/>
          <w:color w:val="auto"/>
          <w:sz w:val="24"/>
          <w:szCs w:val="24"/>
          <w:highlight w:val="none"/>
        </w:rPr>
      </w:pPr>
      <w:bookmarkStart w:id="69" w:name="_Toc2888"/>
      <w:r>
        <w:rPr>
          <w:rFonts w:hint="eastAsia" w:ascii="宋体" w:hAnsi="宋体"/>
          <w:color w:val="auto"/>
          <w:sz w:val="24"/>
          <w:szCs w:val="24"/>
          <w:highlight w:val="none"/>
        </w:rPr>
        <w:t>企业能有效识别二维码且加盖报价单位公章的营业执照复印件（</w:t>
      </w:r>
      <w:r>
        <w:rPr>
          <w:rFonts w:ascii="宋体" w:hAnsi="宋体"/>
          <w:color w:val="auto"/>
          <w:sz w:val="24"/>
          <w:szCs w:val="24"/>
          <w:highlight w:val="none"/>
        </w:rPr>
        <w:t>见附件</w:t>
      </w:r>
      <w:r>
        <w:rPr>
          <w:rFonts w:hint="eastAsia" w:ascii="宋体" w:hAnsi="宋体"/>
          <w:color w:val="auto"/>
          <w:sz w:val="24"/>
          <w:szCs w:val="24"/>
          <w:highlight w:val="none"/>
          <w:lang w:val="en-US" w:eastAsia="zh-CN"/>
        </w:rPr>
        <w:t>6</w:t>
      </w:r>
      <w:r>
        <w:rPr>
          <w:rFonts w:hint="eastAsia" w:ascii="宋体" w:hAnsi="宋体"/>
          <w:color w:val="auto"/>
          <w:sz w:val="24"/>
          <w:szCs w:val="24"/>
          <w:highlight w:val="none"/>
        </w:rPr>
        <w:t>）；</w:t>
      </w:r>
      <w:bookmarkEnd w:id="69"/>
    </w:p>
    <w:p>
      <w:pPr>
        <w:numPr>
          <w:ilvl w:val="0"/>
          <w:numId w:val="14"/>
        </w:numPr>
        <w:kinsoku w:val="0"/>
        <w:overflowPunct w:val="0"/>
        <w:adjustRightInd w:val="0"/>
        <w:snapToGrid w:val="0"/>
        <w:spacing w:line="400" w:lineRule="atLeast"/>
        <w:outlineLvl w:val="0"/>
        <w:rPr>
          <w:rFonts w:ascii="宋体" w:hAnsi="宋体"/>
          <w:color w:val="auto"/>
          <w:sz w:val="24"/>
          <w:szCs w:val="24"/>
          <w:highlight w:val="none"/>
        </w:rPr>
      </w:pPr>
      <w:r>
        <w:rPr>
          <w:rFonts w:hint="eastAsia" w:ascii="宋体" w:hAnsi="宋体"/>
          <w:color w:val="auto"/>
          <w:sz w:val="24"/>
          <w:szCs w:val="24"/>
          <w:highlight w:val="none"/>
        </w:rPr>
        <w:t>报价</w:t>
      </w:r>
      <w:r>
        <w:rPr>
          <w:rFonts w:ascii="宋体" w:hAnsi="宋体"/>
          <w:color w:val="auto"/>
          <w:sz w:val="24"/>
          <w:szCs w:val="24"/>
          <w:highlight w:val="none"/>
        </w:rPr>
        <w:t>方认为需要提供的其他资料</w:t>
      </w:r>
      <w:r>
        <w:rPr>
          <w:rFonts w:hint="eastAsia" w:ascii="宋体" w:hAnsi="宋体"/>
          <w:color w:val="auto"/>
          <w:sz w:val="24"/>
          <w:szCs w:val="24"/>
          <w:highlight w:val="none"/>
        </w:rPr>
        <w:t>（</w:t>
      </w:r>
      <w:r>
        <w:rPr>
          <w:rFonts w:ascii="宋体" w:hAnsi="宋体"/>
          <w:color w:val="auto"/>
          <w:sz w:val="24"/>
          <w:szCs w:val="24"/>
          <w:highlight w:val="none"/>
        </w:rPr>
        <w:t>见附件</w:t>
      </w:r>
      <w:r>
        <w:rPr>
          <w:rFonts w:hint="eastAsia" w:ascii="宋体" w:hAnsi="宋体"/>
          <w:color w:val="auto"/>
          <w:sz w:val="24"/>
          <w:szCs w:val="24"/>
          <w:highlight w:val="none"/>
          <w:lang w:val="en-US" w:eastAsia="zh-CN"/>
        </w:rPr>
        <w:t>7</w:t>
      </w:r>
      <w:r>
        <w:rPr>
          <w:rFonts w:hint="eastAsia" w:ascii="宋体" w:hAnsi="宋体"/>
          <w:color w:val="auto"/>
          <w:sz w:val="24"/>
          <w:szCs w:val="24"/>
          <w:highlight w:val="none"/>
        </w:rPr>
        <w:t>）</w:t>
      </w: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widowControl w:val="0"/>
        <w:numPr>
          <w:ilvl w:val="0"/>
          <w:numId w:val="0"/>
        </w:numPr>
        <w:tabs>
          <w:tab w:val="left" w:pos="0"/>
        </w:tabs>
        <w:kinsoku w:val="0"/>
        <w:overflowPunct w:val="0"/>
        <w:adjustRightInd w:val="0"/>
        <w:snapToGrid w:val="0"/>
        <w:spacing w:line="400" w:lineRule="atLeast"/>
        <w:jc w:val="both"/>
        <w:outlineLvl w:val="0"/>
        <w:rPr>
          <w:rFonts w:hint="eastAsia" w:ascii="宋体" w:hAnsi="宋体"/>
          <w:color w:val="auto"/>
          <w:sz w:val="24"/>
          <w:szCs w:val="24"/>
          <w:highlight w:val="none"/>
        </w:rPr>
      </w:pPr>
    </w:p>
    <w:p>
      <w:pPr>
        <w:pStyle w:val="19"/>
        <w:keepNext w:val="0"/>
        <w:keepLines w:val="0"/>
        <w:kinsoku w:val="0"/>
        <w:overflowPunct w:val="0"/>
        <w:autoSpaceDE w:val="0"/>
        <w:autoSpaceDN w:val="0"/>
        <w:snapToGrid w:val="0"/>
        <w:spacing w:before="0" w:after="0" w:line="400" w:lineRule="atLeast"/>
        <w:jc w:val="both"/>
        <w:rPr>
          <w:rFonts w:eastAsia="宋体" w:cs="宋体"/>
          <w:bCs/>
          <w:color w:val="auto"/>
          <w:szCs w:val="32"/>
          <w:highlight w:val="none"/>
        </w:rPr>
      </w:pPr>
      <w:bookmarkStart w:id="70" w:name="_Toc29175_WPSOffice_Level1"/>
      <w:bookmarkStart w:id="71" w:name="_Toc2425_WPSOffice_Level2"/>
      <w:r>
        <w:rPr>
          <w:rFonts w:hint="eastAsia" w:eastAsia="宋体" w:cs="宋体"/>
          <w:b w:val="0"/>
          <w:color w:val="auto"/>
          <w:szCs w:val="32"/>
          <w:highlight w:val="none"/>
        </w:rPr>
        <w:t>附件1</w:t>
      </w:r>
    </w:p>
    <w:p>
      <w:pPr>
        <w:pStyle w:val="19"/>
        <w:keepNext w:val="0"/>
        <w:keepLines w:val="0"/>
        <w:kinsoku w:val="0"/>
        <w:overflowPunct w:val="0"/>
        <w:autoSpaceDE w:val="0"/>
        <w:autoSpaceDN w:val="0"/>
        <w:snapToGrid w:val="0"/>
        <w:spacing w:before="0" w:after="0" w:line="400" w:lineRule="atLeast"/>
        <w:rPr>
          <w:rFonts w:eastAsia="宋体" w:cs="宋体"/>
          <w:b w:val="0"/>
          <w:bCs/>
          <w:color w:val="auto"/>
          <w:sz w:val="44"/>
          <w:szCs w:val="44"/>
          <w:highlight w:val="none"/>
        </w:rPr>
      </w:pPr>
      <w:r>
        <w:rPr>
          <w:rFonts w:hint="eastAsia" w:eastAsia="宋体" w:cs="宋体"/>
          <w:b w:val="0"/>
          <w:bCs/>
          <w:color w:val="auto"/>
          <w:sz w:val="44"/>
          <w:szCs w:val="44"/>
          <w:highlight w:val="none"/>
        </w:rPr>
        <w:t>响应函</w:t>
      </w:r>
      <w:bookmarkEnd w:id="70"/>
      <w:bookmarkEnd w:id="71"/>
    </w:p>
    <w:p>
      <w:pPr>
        <w:pStyle w:val="19"/>
        <w:keepNext w:val="0"/>
        <w:keepLines w:val="0"/>
        <w:kinsoku w:val="0"/>
        <w:overflowPunct w:val="0"/>
        <w:autoSpaceDE w:val="0"/>
        <w:autoSpaceDN w:val="0"/>
        <w:snapToGrid w:val="0"/>
        <w:spacing w:before="0" w:after="0" w:line="400" w:lineRule="atLeast"/>
        <w:rPr>
          <w:rFonts w:eastAsia="宋体" w:cs="宋体"/>
          <w:b w:val="0"/>
          <w:bCs/>
          <w:color w:val="auto"/>
          <w:sz w:val="24"/>
          <w:szCs w:val="24"/>
          <w:highlight w:val="none"/>
        </w:rPr>
      </w:pPr>
    </w:p>
    <w:p>
      <w:pPr>
        <w:kinsoku w:val="0"/>
        <w:overflowPunct w:val="0"/>
        <w:snapToGrid w:val="0"/>
        <w:spacing w:line="480" w:lineRule="auto"/>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厦门海发环保能源股份有限公司：</w:t>
      </w:r>
    </w:p>
    <w:p>
      <w:pPr>
        <w:numPr>
          <w:ilvl w:val="0"/>
          <w:numId w:val="15"/>
        </w:numPr>
        <w:autoSpaceDN w:val="0"/>
        <w:adjustRightInd w:val="0"/>
        <w:snapToGrid w:val="0"/>
        <w:spacing w:line="480" w:lineRule="auto"/>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我方已仔细研究了同集事业部无烟煤采购 项目的谈判文件全部内容，我方接受谈判文件的所有条款，报价按附件2谈判报价</w:t>
      </w:r>
      <w:r>
        <w:rPr>
          <w:rFonts w:ascii="宋体" w:hAnsi="宋体" w:cs="宋体"/>
          <w:color w:val="auto"/>
          <w:spacing w:val="-4"/>
          <w:sz w:val="24"/>
          <w:szCs w:val="24"/>
          <w:highlight w:val="none"/>
        </w:rPr>
        <w:t>书</w:t>
      </w:r>
      <w:r>
        <w:rPr>
          <w:rFonts w:hint="eastAsia" w:ascii="宋体" w:hAnsi="宋体" w:cs="宋体"/>
          <w:color w:val="auto"/>
          <w:spacing w:val="-4"/>
          <w:sz w:val="24"/>
          <w:szCs w:val="24"/>
          <w:highlight w:val="none"/>
        </w:rPr>
        <w:t>报价，报价含</w:t>
      </w:r>
      <w:r>
        <w:rPr>
          <w:rFonts w:ascii="宋体" w:hAnsi="宋体" w:cs="宋体"/>
          <w:color w:val="auto"/>
          <w:spacing w:val="-4"/>
          <w:sz w:val="24"/>
          <w:szCs w:val="24"/>
          <w:highlight w:val="none"/>
        </w:rPr>
        <w:t>13</w:t>
      </w:r>
      <w:r>
        <w:rPr>
          <w:rFonts w:hint="eastAsia" w:ascii="宋体" w:hAnsi="宋体" w:cs="宋体"/>
          <w:color w:val="auto"/>
          <w:spacing w:val="-4"/>
          <w:sz w:val="24"/>
          <w:szCs w:val="24"/>
          <w:highlight w:val="none"/>
        </w:rPr>
        <w:t>％增值税。</w:t>
      </w:r>
    </w:p>
    <w:p>
      <w:pPr>
        <w:numPr>
          <w:ilvl w:val="0"/>
          <w:numId w:val="16"/>
        </w:numPr>
        <w:kinsoku w:val="0"/>
        <w:overflowPunct w:val="0"/>
        <w:adjustRightInd w:val="0"/>
        <w:snapToGrid w:val="0"/>
        <w:spacing w:line="480" w:lineRule="auto"/>
        <w:jc w:val="left"/>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我方承诺在谈判文件规定的报价有效期内不修改、撤销报价文件。</w:t>
      </w:r>
    </w:p>
    <w:p>
      <w:pPr>
        <w:numPr>
          <w:ilvl w:val="0"/>
          <w:numId w:val="16"/>
        </w:numPr>
        <w:kinsoku w:val="0"/>
        <w:overflowPunct w:val="0"/>
        <w:adjustRightInd w:val="0"/>
        <w:snapToGrid w:val="0"/>
        <w:spacing w:line="480" w:lineRule="auto"/>
        <w:jc w:val="left"/>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如我方确定为成交供应商，我方承诺在收到成交通知书后，在成交通知书规定的期限内完成合同签订，并保证为本项目提供优质服务。</w:t>
      </w:r>
    </w:p>
    <w:p>
      <w:pPr>
        <w:numPr>
          <w:ilvl w:val="0"/>
          <w:numId w:val="16"/>
        </w:numPr>
        <w:kinsoku w:val="0"/>
        <w:overflowPunct w:val="0"/>
        <w:adjustRightInd w:val="0"/>
        <w:snapToGrid w:val="0"/>
        <w:spacing w:line="480" w:lineRule="auto"/>
        <w:jc w:val="left"/>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本响应函及报价文件属于合同文件的组成部分。</w:t>
      </w:r>
    </w:p>
    <w:p>
      <w:pPr>
        <w:numPr>
          <w:ilvl w:val="0"/>
          <w:numId w:val="16"/>
        </w:numPr>
        <w:kinsoku w:val="0"/>
        <w:overflowPunct w:val="0"/>
        <w:adjustRightInd w:val="0"/>
        <w:snapToGrid w:val="0"/>
        <w:spacing w:line="480" w:lineRule="auto"/>
        <w:jc w:val="left"/>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我方承诺按谈判文件的规定履行合同责任和义务，并在合同约定的期限内完成。</w:t>
      </w:r>
    </w:p>
    <w:p>
      <w:pPr>
        <w:numPr>
          <w:ilvl w:val="0"/>
          <w:numId w:val="16"/>
        </w:numPr>
        <w:kinsoku w:val="0"/>
        <w:overflowPunct w:val="0"/>
        <w:adjustRightInd w:val="0"/>
        <w:snapToGrid w:val="0"/>
        <w:spacing w:line="480" w:lineRule="auto"/>
        <w:jc w:val="left"/>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我方在此声明，所递交的报价文件及有关资料内容完整、真实和准确，且不存在违反谈判文件规定的任何一种条款。</w:t>
      </w:r>
    </w:p>
    <w:p>
      <w:pPr>
        <w:kinsoku w:val="0"/>
        <w:overflowPunct w:val="0"/>
        <w:snapToGrid w:val="0"/>
        <w:spacing w:line="480" w:lineRule="auto"/>
        <w:jc w:val="center"/>
        <w:rPr>
          <w:rFonts w:ascii="宋体" w:hAnsi="宋体" w:cs="宋体"/>
          <w:color w:val="auto"/>
          <w:spacing w:val="-4"/>
          <w:sz w:val="24"/>
          <w:szCs w:val="24"/>
          <w:highlight w:val="none"/>
        </w:rPr>
      </w:pPr>
    </w:p>
    <w:p>
      <w:pPr>
        <w:kinsoku w:val="0"/>
        <w:overflowPunct w:val="0"/>
        <w:snapToGrid w:val="0"/>
        <w:spacing w:line="520" w:lineRule="atLeast"/>
        <w:rPr>
          <w:rFonts w:ascii="宋体" w:hAnsi="宋体" w:cs="宋体"/>
          <w:color w:val="auto"/>
          <w:spacing w:val="-4"/>
          <w:sz w:val="24"/>
          <w:szCs w:val="24"/>
          <w:highlight w:val="none"/>
          <w:u w:val="single"/>
        </w:rPr>
      </w:pPr>
      <w:r>
        <w:rPr>
          <w:rFonts w:hint="eastAsia" w:ascii="宋体" w:hAnsi="宋体"/>
          <w:bCs/>
          <w:color w:val="auto"/>
          <w:sz w:val="24"/>
          <w:szCs w:val="24"/>
          <w:highlight w:val="none"/>
        </w:rPr>
        <w:t>报价单位（盖公章）：</w:t>
      </w:r>
    </w:p>
    <w:p>
      <w:pPr>
        <w:kinsoku w:val="0"/>
        <w:overflowPunct w:val="0"/>
        <w:snapToGrid w:val="0"/>
        <w:spacing w:line="520" w:lineRule="atLeast"/>
        <w:rPr>
          <w:rFonts w:ascii="宋体" w:hAnsi="宋体" w:cs="宋体"/>
          <w:color w:val="auto"/>
          <w:spacing w:val="-4"/>
          <w:sz w:val="24"/>
          <w:szCs w:val="24"/>
          <w:highlight w:val="none"/>
          <w:u w:val="single"/>
        </w:rPr>
      </w:pPr>
      <w:r>
        <w:rPr>
          <w:rFonts w:hint="eastAsia" w:ascii="宋体" w:hAnsi="宋体" w:cs="宋体"/>
          <w:color w:val="auto"/>
          <w:spacing w:val="-4"/>
          <w:sz w:val="24"/>
          <w:szCs w:val="24"/>
          <w:highlight w:val="none"/>
        </w:rPr>
        <w:t>法定代表人或授权代理人（签字或盖章）：</w:t>
      </w:r>
    </w:p>
    <w:p>
      <w:pPr>
        <w:kinsoku w:val="0"/>
        <w:overflowPunct w:val="0"/>
        <w:snapToGrid w:val="0"/>
        <w:spacing w:line="520" w:lineRule="atLeast"/>
        <w:rPr>
          <w:rFonts w:ascii="宋体" w:hAnsi="宋体" w:cs="宋体"/>
          <w:color w:val="auto"/>
          <w:spacing w:val="-4"/>
          <w:sz w:val="24"/>
          <w:szCs w:val="24"/>
          <w:highlight w:val="none"/>
          <w:u w:val="single"/>
        </w:rPr>
      </w:pPr>
      <w:r>
        <w:rPr>
          <w:rFonts w:hint="eastAsia" w:ascii="宋体" w:hAnsi="宋体" w:cs="宋体"/>
          <w:color w:val="auto"/>
          <w:spacing w:val="-4"/>
          <w:sz w:val="24"/>
          <w:szCs w:val="24"/>
          <w:highlight w:val="none"/>
        </w:rPr>
        <w:t xml:space="preserve"> 日期：</w:t>
      </w:r>
      <w:r>
        <w:rPr>
          <w:rFonts w:ascii="宋体" w:hAnsi="宋体" w:cs="宋体"/>
          <w:color w:val="auto"/>
          <w:spacing w:val="-4"/>
          <w:sz w:val="24"/>
          <w:szCs w:val="24"/>
          <w:highlight w:val="none"/>
        </w:rPr>
        <w:t>202</w:t>
      </w:r>
      <w:r>
        <w:rPr>
          <w:rFonts w:hint="eastAsia" w:ascii="宋体" w:hAnsi="宋体" w:cs="宋体"/>
          <w:color w:val="auto"/>
          <w:spacing w:val="-4"/>
          <w:sz w:val="24"/>
          <w:szCs w:val="24"/>
          <w:highlight w:val="none"/>
        </w:rPr>
        <w:t>4年   月   日</w:t>
      </w:r>
    </w:p>
    <w:p>
      <w:pPr>
        <w:kinsoku w:val="0"/>
        <w:overflowPunct w:val="0"/>
        <w:snapToGrid w:val="0"/>
        <w:spacing w:line="400" w:lineRule="atLeast"/>
        <w:jc w:val="center"/>
        <w:rPr>
          <w:rFonts w:ascii="宋体" w:hAnsi="宋体" w:cs="宋体"/>
          <w:color w:val="auto"/>
          <w:spacing w:val="-4"/>
          <w:sz w:val="24"/>
          <w:szCs w:val="24"/>
          <w:highlight w:val="none"/>
        </w:rPr>
      </w:pPr>
    </w:p>
    <w:p>
      <w:pPr>
        <w:kinsoku w:val="0"/>
        <w:overflowPunct w:val="0"/>
        <w:snapToGrid w:val="0"/>
        <w:spacing w:line="400" w:lineRule="atLeast"/>
        <w:jc w:val="center"/>
        <w:rPr>
          <w:rFonts w:ascii="宋体" w:hAnsi="宋体"/>
          <w:b/>
          <w:bCs/>
          <w:color w:val="auto"/>
          <w:sz w:val="24"/>
          <w:szCs w:val="24"/>
          <w:highlight w:val="none"/>
        </w:rPr>
      </w:pPr>
    </w:p>
    <w:p>
      <w:pPr>
        <w:kinsoku w:val="0"/>
        <w:overflowPunct w:val="0"/>
        <w:snapToGrid w:val="0"/>
        <w:spacing w:line="400" w:lineRule="atLeast"/>
        <w:jc w:val="center"/>
        <w:rPr>
          <w:rFonts w:ascii="宋体" w:hAnsi="宋体" w:cs="宋体"/>
          <w:color w:val="auto"/>
          <w:spacing w:val="-4"/>
          <w:sz w:val="24"/>
          <w:szCs w:val="24"/>
          <w:highlight w:val="none"/>
        </w:rPr>
      </w:pPr>
    </w:p>
    <w:p>
      <w:pPr>
        <w:widowControl/>
        <w:spacing w:line="360" w:lineRule="auto"/>
        <w:rPr>
          <w:rFonts w:ascii="宋体" w:hAnsi="宋体"/>
          <w:color w:val="auto"/>
          <w:sz w:val="24"/>
          <w:highlight w:val="none"/>
        </w:rPr>
      </w:pPr>
    </w:p>
    <w:p>
      <w:pPr>
        <w:widowControl/>
        <w:spacing w:line="360" w:lineRule="auto"/>
        <w:rPr>
          <w:rFonts w:ascii="宋体" w:hAnsi="宋体"/>
          <w:color w:val="auto"/>
          <w:sz w:val="24"/>
          <w:highlight w:val="none"/>
        </w:rPr>
      </w:pPr>
    </w:p>
    <w:p>
      <w:pPr>
        <w:widowControl/>
        <w:spacing w:line="360" w:lineRule="auto"/>
        <w:rPr>
          <w:rFonts w:ascii="宋体" w:hAnsi="宋体" w:eastAsia="宋体" w:cs="宋体"/>
          <w:color w:val="auto"/>
          <w:kern w:val="0"/>
          <w:sz w:val="24"/>
          <w:szCs w:val="24"/>
          <w:highlight w:val="none"/>
        </w:rPr>
      </w:pPr>
    </w:p>
    <w:p>
      <w:pPr>
        <w:widowControl/>
        <w:spacing w:line="360" w:lineRule="auto"/>
        <w:rPr>
          <w:rFonts w:ascii="宋体" w:hAnsi="宋体" w:eastAsia="宋体" w:cs="宋体"/>
          <w:color w:val="auto"/>
          <w:kern w:val="0"/>
          <w:sz w:val="24"/>
          <w:szCs w:val="24"/>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4"/>
          <w:szCs w:val="24"/>
          <w:highlight w:val="none"/>
        </w:rPr>
      </w:pPr>
      <w:r>
        <w:rPr>
          <w:rFonts w:hint="eastAsia" w:ascii="微软雅黑" w:hAnsi="微软雅黑" w:eastAsia="微软雅黑" w:cs="宋体"/>
          <w:color w:val="auto"/>
          <w:kern w:val="0"/>
          <w:sz w:val="28"/>
          <w:szCs w:val="28"/>
          <w:highlight w:val="none"/>
        </w:rPr>
        <w:t>附件2</w:t>
      </w:r>
      <w:r>
        <w:rPr>
          <w:rFonts w:ascii="微软雅黑" w:hAnsi="微软雅黑" w:eastAsia="微软雅黑" w:cs="宋体"/>
          <w:color w:val="auto"/>
          <w:kern w:val="0"/>
          <w:sz w:val="24"/>
          <w:szCs w:val="24"/>
          <w:highlight w:val="none"/>
        </w:rPr>
        <w:t>：</w:t>
      </w:r>
    </w:p>
    <w:p>
      <w:pPr>
        <w:widowControl/>
        <w:spacing w:line="500" w:lineRule="exact"/>
        <w:jc w:val="center"/>
        <w:rPr>
          <w:rFonts w:ascii="宋体" w:hAnsi="宋体"/>
          <w:b/>
          <w:color w:val="auto"/>
          <w:kern w:val="0"/>
          <w:sz w:val="36"/>
          <w:szCs w:val="36"/>
          <w:highlight w:val="none"/>
        </w:rPr>
      </w:pPr>
      <w:r>
        <w:rPr>
          <w:rFonts w:hint="eastAsia" w:ascii="宋体" w:hAnsi="宋体"/>
          <w:color w:val="auto"/>
          <w:kern w:val="0"/>
          <w:sz w:val="36"/>
          <w:szCs w:val="36"/>
          <w:highlight w:val="none"/>
        </w:rPr>
        <w:t>谈 判 报 价 书</w:t>
      </w:r>
      <w:r>
        <w:rPr>
          <w:rFonts w:hint="eastAsia" w:ascii="宋体" w:hAnsi="宋体"/>
          <w:b/>
          <w:color w:val="auto"/>
          <w:kern w:val="0"/>
          <w:sz w:val="36"/>
          <w:szCs w:val="36"/>
          <w:highlight w:val="none"/>
        </w:rPr>
        <w:t xml:space="preserve"> </w:t>
      </w:r>
    </w:p>
    <w:tbl>
      <w:tblPr>
        <w:tblStyle w:val="11"/>
        <w:tblW w:w="8007" w:type="dxa"/>
        <w:tblInd w:w="5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97"/>
        <w:gridCol w:w="1575"/>
        <w:gridCol w:w="1275"/>
        <w:gridCol w:w="108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28" w:hRule="atLeast"/>
        </w:trPr>
        <w:tc>
          <w:tcPr>
            <w:tcW w:w="2997" w:type="dxa"/>
            <w:vAlign w:val="center"/>
          </w:tcPr>
          <w:p>
            <w:pPr>
              <w:widowControl/>
              <w:spacing w:line="500" w:lineRule="exact"/>
              <w:jc w:val="center"/>
              <w:rPr>
                <w:rFonts w:ascii="宋体" w:hAnsi="宋体" w:eastAsia="宋体" w:cs="Times New Roman"/>
                <w:color w:val="auto"/>
                <w:kern w:val="0"/>
                <w:sz w:val="24"/>
                <w:szCs w:val="24"/>
                <w:highlight w:val="none"/>
              </w:rPr>
            </w:pPr>
            <w:r>
              <w:rPr>
                <w:rFonts w:hint="eastAsia" w:ascii="宋体" w:hAnsi="宋体" w:eastAsia="宋体" w:cs="Times New Roman"/>
                <w:color w:val="auto"/>
                <w:kern w:val="0"/>
                <w:sz w:val="24"/>
                <w:szCs w:val="24"/>
                <w:highlight w:val="none"/>
              </w:rPr>
              <w:t>项目</w:t>
            </w:r>
            <w:r>
              <w:rPr>
                <w:rFonts w:ascii="宋体" w:hAnsi="宋体" w:eastAsia="宋体" w:cs="Times New Roman"/>
                <w:color w:val="auto"/>
                <w:kern w:val="0"/>
                <w:sz w:val="24"/>
                <w:szCs w:val="24"/>
                <w:highlight w:val="none"/>
              </w:rPr>
              <w:t>名称</w:t>
            </w:r>
          </w:p>
        </w:tc>
        <w:tc>
          <w:tcPr>
            <w:tcW w:w="1575" w:type="dxa"/>
            <w:vAlign w:val="center"/>
          </w:tcPr>
          <w:p>
            <w:pPr>
              <w:spacing w:line="276" w:lineRule="auto"/>
              <w:jc w:val="center"/>
              <w:rPr>
                <w:rFonts w:ascii="宋体" w:hAnsi="宋体" w:eastAsia="宋体" w:cs="Times New Roman"/>
                <w:color w:val="auto"/>
                <w:kern w:val="0"/>
                <w:sz w:val="24"/>
                <w:szCs w:val="24"/>
                <w:highlight w:val="none"/>
              </w:rPr>
            </w:pPr>
            <w:r>
              <w:rPr>
                <w:rFonts w:hint="eastAsia" w:ascii="宋体" w:hAnsi="宋体" w:eastAsia="宋体" w:cs="Times New Roman"/>
                <w:color w:val="auto"/>
                <w:kern w:val="0"/>
                <w:sz w:val="24"/>
                <w:szCs w:val="24"/>
                <w:highlight w:val="none"/>
              </w:rPr>
              <w:t>一票</w:t>
            </w:r>
            <w:r>
              <w:rPr>
                <w:rFonts w:ascii="宋体" w:hAnsi="宋体" w:eastAsia="宋体" w:cs="Times New Roman"/>
                <w:color w:val="auto"/>
                <w:kern w:val="0"/>
                <w:sz w:val="24"/>
                <w:szCs w:val="24"/>
                <w:highlight w:val="none"/>
              </w:rPr>
              <w:t>含税到场价（</w:t>
            </w:r>
            <w:r>
              <w:rPr>
                <w:rFonts w:hint="eastAsia" w:ascii="宋体" w:hAnsi="宋体" w:eastAsia="宋体" w:cs="Times New Roman"/>
                <w:color w:val="auto"/>
                <w:kern w:val="0"/>
                <w:sz w:val="24"/>
                <w:szCs w:val="24"/>
                <w:highlight w:val="none"/>
              </w:rPr>
              <w:t>元/吨</w:t>
            </w:r>
            <w:r>
              <w:rPr>
                <w:rFonts w:ascii="宋体" w:hAnsi="宋体" w:eastAsia="宋体" w:cs="Times New Roman"/>
                <w:color w:val="auto"/>
                <w:kern w:val="0"/>
                <w:sz w:val="24"/>
                <w:szCs w:val="24"/>
                <w:highlight w:val="none"/>
              </w:rPr>
              <w:t>）</w:t>
            </w:r>
          </w:p>
        </w:tc>
        <w:tc>
          <w:tcPr>
            <w:tcW w:w="1275" w:type="dxa"/>
            <w:vAlign w:val="center"/>
          </w:tcPr>
          <w:p>
            <w:pPr>
              <w:spacing w:line="276" w:lineRule="auto"/>
              <w:jc w:val="center"/>
              <w:rPr>
                <w:rFonts w:ascii="宋体" w:hAnsi="宋体" w:eastAsia="宋体" w:cs="Times New Roman"/>
                <w:color w:val="auto"/>
                <w:kern w:val="0"/>
                <w:sz w:val="24"/>
                <w:szCs w:val="24"/>
                <w:highlight w:val="none"/>
              </w:rPr>
            </w:pPr>
            <w:r>
              <w:rPr>
                <w:rFonts w:hint="eastAsia" w:ascii="宋体" w:hAnsi="宋体" w:eastAsia="宋体" w:cs="Times New Roman"/>
                <w:color w:val="auto"/>
                <w:kern w:val="0"/>
                <w:sz w:val="24"/>
                <w:szCs w:val="24"/>
                <w:highlight w:val="none"/>
              </w:rPr>
              <w:t>数量</w:t>
            </w:r>
            <w:r>
              <w:rPr>
                <w:rFonts w:ascii="宋体" w:hAnsi="宋体" w:eastAsia="宋体" w:cs="Times New Roman"/>
                <w:color w:val="auto"/>
                <w:kern w:val="0"/>
                <w:sz w:val="24"/>
                <w:szCs w:val="24"/>
                <w:highlight w:val="none"/>
              </w:rPr>
              <w:t>（</w:t>
            </w:r>
            <w:r>
              <w:rPr>
                <w:rFonts w:hint="eastAsia" w:ascii="宋体" w:hAnsi="宋体" w:eastAsia="宋体" w:cs="Times New Roman"/>
                <w:color w:val="auto"/>
                <w:kern w:val="0"/>
                <w:sz w:val="24"/>
                <w:szCs w:val="24"/>
                <w:highlight w:val="none"/>
              </w:rPr>
              <w:t>吨</w:t>
            </w:r>
            <w:r>
              <w:rPr>
                <w:rFonts w:ascii="宋体" w:hAnsi="宋体" w:eastAsia="宋体" w:cs="Times New Roman"/>
                <w:color w:val="auto"/>
                <w:kern w:val="0"/>
                <w:sz w:val="24"/>
                <w:szCs w:val="24"/>
                <w:highlight w:val="none"/>
              </w:rPr>
              <w:t>）</w:t>
            </w:r>
          </w:p>
        </w:tc>
        <w:tc>
          <w:tcPr>
            <w:tcW w:w="1080" w:type="dxa"/>
            <w:vAlign w:val="center"/>
          </w:tcPr>
          <w:p>
            <w:pPr>
              <w:widowControl/>
              <w:spacing w:line="500" w:lineRule="exact"/>
              <w:jc w:val="center"/>
              <w:rPr>
                <w:rFonts w:ascii="宋体" w:hAnsi="宋体" w:eastAsia="宋体" w:cs="Times New Roman"/>
                <w:color w:val="auto"/>
                <w:kern w:val="0"/>
                <w:sz w:val="24"/>
                <w:szCs w:val="24"/>
                <w:highlight w:val="none"/>
              </w:rPr>
            </w:pPr>
            <w:r>
              <w:rPr>
                <w:rFonts w:hint="eastAsia" w:ascii="宋体" w:hAnsi="宋体" w:eastAsia="宋体" w:cs="Times New Roman"/>
                <w:color w:val="auto"/>
                <w:kern w:val="0"/>
                <w:sz w:val="24"/>
                <w:szCs w:val="24"/>
                <w:highlight w:val="none"/>
              </w:rPr>
              <w:t>含税合计金额（元）</w:t>
            </w:r>
          </w:p>
        </w:tc>
        <w:tc>
          <w:tcPr>
            <w:tcW w:w="1080" w:type="dxa"/>
            <w:vAlign w:val="center"/>
          </w:tcPr>
          <w:p>
            <w:pPr>
              <w:widowControl/>
              <w:spacing w:line="500" w:lineRule="exact"/>
              <w:jc w:val="center"/>
              <w:rPr>
                <w:rFonts w:ascii="宋体" w:hAnsi="宋体" w:eastAsia="宋体" w:cs="Times New Roman"/>
                <w:color w:val="auto"/>
                <w:kern w:val="0"/>
                <w:sz w:val="24"/>
                <w:szCs w:val="24"/>
                <w:highlight w:val="none"/>
              </w:rPr>
            </w:pPr>
            <w:r>
              <w:rPr>
                <w:rFonts w:hint="eastAsia" w:ascii="宋体" w:hAnsi="宋体" w:eastAsia="宋体" w:cs="Times New Roman"/>
                <w:color w:val="auto"/>
                <w:kern w:val="0"/>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1" w:hRule="atLeast"/>
        </w:trPr>
        <w:tc>
          <w:tcPr>
            <w:tcW w:w="2997" w:type="dxa"/>
            <w:vAlign w:val="center"/>
          </w:tcPr>
          <w:p>
            <w:pPr>
              <w:widowControl/>
              <w:spacing w:line="276" w:lineRule="auto"/>
              <w:jc w:val="center"/>
              <w:rPr>
                <w:rFonts w:ascii="宋体" w:hAnsi="宋体" w:eastAsia="宋体" w:cs="Times New Roman"/>
                <w:color w:val="auto"/>
                <w:kern w:val="0"/>
                <w:sz w:val="24"/>
                <w:szCs w:val="20"/>
                <w:highlight w:val="none"/>
              </w:rPr>
            </w:pPr>
            <w:r>
              <w:rPr>
                <w:rFonts w:hint="eastAsia" w:ascii="宋体" w:hAnsi="宋体" w:eastAsia="宋体" w:cs="Times New Roman"/>
                <w:color w:val="auto"/>
                <w:kern w:val="0"/>
                <w:sz w:val="24"/>
                <w:szCs w:val="20"/>
                <w:highlight w:val="none"/>
              </w:rPr>
              <w:t xml:space="preserve">无烟煤 </w:t>
            </w:r>
          </w:p>
          <w:p>
            <w:pPr>
              <w:widowControl/>
              <w:spacing w:line="276" w:lineRule="auto"/>
              <w:jc w:val="center"/>
              <w:rPr>
                <w:rFonts w:ascii="宋体" w:hAnsi="宋体" w:eastAsia="宋体" w:cs="Times New Roman"/>
                <w:color w:val="auto"/>
                <w:kern w:val="0"/>
                <w:sz w:val="24"/>
                <w:szCs w:val="24"/>
                <w:highlight w:val="none"/>
              </w:rPr>
            </w:pPr>
            <w:r>
              <w:rPr>
                <w:rFonts w:ascii="宋体" w:hAnsi="宋体" w:eastAsia="宋体" w:cs="Times New Roman"/>
                <w:color w:val="auto"/>
                <w:kern w:val="0"/>
                <w:sz w:val="24"/>
                <w:szCs w:val="20"/>
                <w:highlight w:val="none"/>
              </w:rPr>
              <w:t>(</w:t>
            </w:r>
            <w:r>
              <w:rPr>
                <w:rFonts w:hint="eastAsia" w:ascii="宋体" w:hAnsi="宋体" w:eastAsia="宋体" w:cs="宋体"/>
                <w:color w:val="auto"/>
                <w:kern w:val="0"/>
                <w:sz w:val="24"/>
                <w:szCs w:val="24"/>
                <w:highlight w:val="none"/>
              </w:rPr>
              <w:t>热值</w:t>
            </w:r>
            <w:r>
              <w:rPr>
                <w:rFonts w:ascii="Arial" w:hAnsi="Arial" w:eastAsia="Arial" w:cs="Arial"/>
                <w:color w:val="auto"/>
                <w:szCs w:val="21"/>
                <w:highlight w:val="none"/>
                <w:shd w:val="clear" w:color="auto" w:fill="FFFFFF"/>
              </w:rPr>
              <w:t>5000 ±</w:t>
            </w:r>
            <w:r>
              <w:rPr>
                <w:rFonts w:hint="eastAsia" w:ascii="Arial" w:hAnsi="Arial" w:eastAsia="宋体" w:cs="Arial"/>
                <w:color w:val="auto"/>
                <w:szCs w:val="21"/>
                <w:highlight w:val="none"/>
                <w:shd w:val="clear" w:color="auto" w:fill="FFFFFF"/>
              </w:rPr>
              <w:t>2</w:t>
            </w:r>
            <w:r>
              <w:rPr>
                <w:rFonts w:ascii="Arial" w:hAnsi="Arial" w:eastAsia="Arial" w:cs="Arial"/>
                <w:color w:val="auto"/>
                <w:szCs w:val="21"/>
                <w:highlight w:val="none"/>
                <w:shd w:val="clear" w:color="auto" w:fill="FFFFFF"/>
              </w:rPr>
              <w:t>00</w:t>
            </w:r>
            <w:r>
              <w:rPr>
                <w:rFonts w:hint="eastAsia" w:ascii="宋体" w:hAnsi="宋体" w:eastAsia="宋体" w:cs="宋体"/>
                <w:color w:val="auto"/>
                <w:kern w:val="0"/>
                <w:sz w:val="24"/>
                <w:szCs w:val="24"/>
                <w:highlight w:val="none"/>
              </w:rPr>
              <w:t>大卡/千克</w:t>
            </w:r>
            <w:r>
              <w:rPr>
                <w:rFonts w:ascii="宋体" w:hAnsi="宋体" w:eastAsia="宋体" w:cs="宋体"/>
                <w:color w:val="auto"/>
                <w:kern w:val="0"/>
                <w:sz w:val="24"/>
                <w:szCs w:val="24"/>
                <w:highlight w:val="none"/>
              </w:rPr>
              <w:t>，全硫分</w:t>
            </w:r>
            <w:r>
              <w:rPr>
                <w:rFonts w:hint="eastAsia" w:ascii="宋体" w:hAnsi="宋体" w:eastAsia="宋体" w:cs="Times New Roman"/>
                <w:color w:val="auto"/>
                <w:kern w:val="0"/>
                <w:sz w:val="24"/>
                <w:szCs w:val="24"/>
                <w:highlight w:val="none"/>
              </w:rPr>
              <w:t>≤0.</w:t>
            </w:r>
            <w:r>
              <w:rPr>
                <w:rFonts w:ascii="宋体" w:hAnsi="宋体" w:eastAsia="宋体" w:cs="Times New Roman"/>
                <w:color w:val="auto"/>
                <w:kern w:val="0"/>
                <w:sz w:val="24"/>
                <w:szCs w:val="24"/>
                <w:highlight w:val="none"/>
              </w:rPr>
              <w:t>5</w:t>
            </w:r>
            <w:r>
              <w:rPr>
                <w:rFonts w:hint="eastAsia" w:ascii="宋体" w:hAnsi="宋体" w:eastAsia="宋体" w:cs="Times New Roman"/>
                <w:color w:val="auto"/>
                <w:kern w:val="0"/>
                <w:sz w:val="24"/>
                <w:szCs w:val="24"/>
                <w:highlight w:val="none"/>
              </w:rPr>
              <w:t>%</w:t>
            </w:r>
            <w:r>
              <w:rPr>
                <w:rFonts w:ascii="Arial" w:hAnsi="Arial" w:eastAsia="宋体" w:cs="Arial"/>
                <w:color w:val="auto"/>
                <w:kern w:val="0"/>
                <w:sz w:val="20"/>
                <w:szCs w:val="21"/>
                <w:highlight w:val="none"/>
                <w:shd w:val="clear" w:color="auto" w:fill="FFFFFF"/>
              </w:rPr>
              <w:t>，</w:t>
            </w:r>
            <w:r>
              <w:rPr>
                <w:rFonts w:hint="eastAsia" w:ascii="宋体" w:hAnsi="宋体" w:eastAsia="宋体" w:cs="Times New Roman"/>
                <w:color w:val="auto"/>
                <w:kern w:val="0"/>
                <w:sz w:val="24"/>
                <w:szCs w:val="24"/>
                <w:highlight w:val="none"/>
              </w:rPr>
              <w:t>水分≤8%，</w:t>
            </w:r>
            <w:r>
              <w:rPr>
                <w:rFonts w:hint="eastAsia" w:ascii="宋体" w:hAnsi="宋体" w:cs="宋体"/>
                <w:color w:val="auto"/>
                <w:sz w:val="24"/>
                <w:szCs w:val="24"/>
                <w:highlight w:val="none"/>
              </w:rPr>
              <w:t>空干基灰分≤ 30%， 空干基挥发分≤ 6%</w:t>
            </w:r>
          </w:p>
        </w:tc>
        <w:tc>
          <w:tcPr>
            <w:tcW w:w="1575" w:type="dxa"/>
            <w:vAlign w:val="center"/>
          </w:tcPr>
          <w:p>
            <w:pPr>
              <w:widowControl/>
              <w:spacing w:line="500" w:lineRule="exact"/>
              <w:jc w:val="center"/>
              <w:rPr>
                <w:rFonts w:ascii="宋体" w:hAnsi="宋体" w:eastAsia="宋体" w:cs="Times New Roman"/>
                <w:color w:val="auto"/>
                <w:kern w:val="0"/>
                <w:sz w:val="24"/>
                <w:szCs w:val="24"/>
                <w:highlight w:val="none"/>
              </w:rPr>
            </w:pPr>
          </w:p>
        </w:tc>
        <w:tc>
          <w:tcPr>
            <w:tcW w:w="1275" w:type="dxa"/>
            <w:vAlign w:val="center"/>
          </w:tcPr>
          <w:p>
            <w:pPr>
              <w:widowControl/>
              <w:spacing w:line="500" w:lineRule="exact"/>
              <w:jc w:val="center"/>
              <w:rPr>
                <w:rFonts w:ascii="宋体" w:hAnsi="宋体" w:eastAsia="宋体" w:cs="Times New Roman"/>
                <w:color w:val="auto"/>
                <w:kern w:val="0"/>
                <w:sz w:val="24"/>
                <w:szCs w:val="24"/>
                <w:highlight w:val="none"/>
              </w:rPr>
            </w:pPr>
            <w:r>
              <w:rPr>
                <w:rFonts w:hint="eastAsia" w:ascii="宋体" w:hAnsi="宋体" w:eastAsia="宋体" w:cs="Times New Roman"/>
                <w:color w:val="auto"/>
                <w:kern w:val="0"/>
                <w:sz w:val="24"/>
                <w:szCs w:val="24"/>
                <w:highlight w:val="none"/>
              </w:rPr>
              <w:t>500</w:t>
            </w:r>
          </w:p>
        </w:tc>
        <w:tc>
          <w:tcPr>
            <w:tcW w:w="1080" w:type="dxa"/>
            <w:vAlign w:val="center"/>
          </w:tcPr>
          <w:p>
            <w:pPr>
              <w:widowControl/>
              <w:spacing w:line="500" w:lineRule="exact"/>
              <w:jc w:val="center"/>
              <w:rPr>
                <w:rFonts w:ascii="宋体" w:hAnsi="宋体" w:eastAsia="宋体" w:cs="Times New Roman"/>
                <w:color w:val="auto"/>
                <w:kern w:val="0"/>
                <w:sz w:val="24"/>
                <w:szCs w:val="24"/>
                <w:highlight w:val="none"/>
              </w:rPr>
            </w:pPr>
          </w:p>
        </w:tc>
        <w:tc>
          <w:tcPr>
            <w:tcW w:w="1080" w:type="dxa"/>
            <w:vAlign w:val="center"/>
          </w:tcPr>
          <w:p>
            <w:pPr>
              <w:widowControl/>
              <w:spacing w:line="500" w:lineRule="exact"/>
              <w:jc w:val="center"/>
              <w:rPr>
                <w:rFonts w:ascii="宋体" w:hAnsi="宋体" w:eastAsia="宋体" w:cs="Times New Roman"/>
                <w:color w:val="auto"/>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51" w:hRule="atLeast"/>
        </w:trPr>
        <w:tc>
          <w:tcPr>
            <w:tcW w:w="8007" w:type="dxa"/>
            <w:gridSpan w:val="5"/>
            <w:vAlign w:val="center"/>
          </w:tcPr>
          <w:p>
            <w:pPr>
              <w:widowControl/>
              <w:jc w:val="left"/>
              <w:rPr>
                <w:rFonts w:ascii="宋体" w:hAnsi="宋体" w:eastAsia="宋体" w:cs="宋体"/>
                <w:color w:val="auto"/>
                <w:kern w:val="0"/>
                <w:sz w:val="20"/>
                <w:szCs w:val="21"/>
                <w:highlight w:val="none"/>
              </w:rPr>
            </w:pPr>
            <w:r>
              <w:rPr>
                <w:rFonts w:ascii="宋体" w:hAnsi="宋体" w:eastAsia="宋体" w:cs="宋体"/>
                <w:color w:val="auto"/>
                <w:kern w:val="0"/>
                <w:sz w:val="20"/>
                <w:szCs w:val="21"/>
                <w:highlight w:val="none"/>
              </w:rPr>
              <w:t>说明：</w:t>
            </w:r>
          </w:p>
          <w:p>
            <w:pPr>
              <w:widowControl/>
              <w:jc w:val="left"/>
              <w:rPr>
                <w:rFonts w:ascii="宋体" w:hAnsi="宋体" w:eastAsia="宋体" w:cs="宋体"/>
                <w:color w:val="auto"/>
                <w:kern w:val="0"/>
                <w:sz w:val="20"/>
                <w:szCs w:val="21"/>
                <w:highlight w:val="none"/>
              </w:rPr>
            </w:pPr>
            <w:r>
              <w:rPr>
                <w:rFonts w:ascii="宋体" w:hAnsi="宋体" w:eastAsia="宋体" w:cs="宋体"/>
                <w:color w:val="auto"/>
                <w:kern w:val="0"/>
                <w:sz w:val="20"/>
                <w:szCs w:val="21"/>
                <w:highlight w:val="none"/>
              </w:rPr>
              <w:t>1、</w:t>
            </w:r>
            <w:r>
              <w:rPr>
                <w:rFonts w:hint="eastAsia" w:ascii="宋体" w:hAnsi="宋体" w:eastAsia="宋体" w:cs="宋体"/>
                <w:color w:val="auto"/>
                <w:kern w:val="0"/>
                <w:sz w:val="20"/>
                <w:szCs w:val="21"/>
                <w:highlight w:val="none"/>
              </w:rPr>
              <w:t>谈判保证金为人民币壹万元整（</w:t>
            </w:r>
            <w:r>
              <w:rPr>
                <w:rFonts w:hint="eastAsia" w:eastAsia="宋体" w:cs="宋体" w:asciiTheme="minorEastAsia" w:hAnsiTheme="minorEastAsia"/>
                <w:color w:val="auto"/>
                <w:kern w:val="0"/>
                <w:sz w:val="20"/>
                <w:szCs w:val="21"/>
                <w:highlight w:val="none"/>
              </w:rPr>
              <w:t>¥10</w:t>
            </w:r>
            <w:r>
              <w:rPr>
                <w:rFonts w:hint="eastAsia" w:ascii="宋体" w:hAnsi="宋体" w:eastAsia="宋体" w:cs="宋体"/>
                <w:color w:val="auto"/>
                <w:kern w:val="0"/>
                <w:sz w:val="20"/>
                <w:szCs w:val="21"/>
                <w:highlight w:val="none"/>
              </w:rPr>
              <w:t>000.00）。</w:t>
            </w:r>
          </w:p>
          <w:p>
            <w:pPr>
              <w:widowControl/>
              <w:jc w:val="left"/>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2、以最低单价为成交价，报价以5000大卡/千克为基准。</w:t>
            </w:r>
          </w:p>
          <w:p>
            <w:pPr>
              <w:widowControl/>
              <w:jc w:val="left"/>
              <w:rPr>
                <w:rFonts w:ascii="宋体" w:hAnsi="宋体" w:eastAsia="宋体" w:cs="宋体"/>
                <w:color w:val="auto"/>
                <w:kern w:val="0"/>
                <w:sz w:val="20"/>
                <w:szCs w:val="21"/>
                <w:highlight w:val="none"/>
              </w:rPr>
            </w:pPr>
            <w:r>
              <w:rPr>
                <w:rFonts w:hint="eastAsia" w:ascii="Times New Roman" w:hAnsi="Times New Roman" w:eastAsia="宋体" w:cs="Times New Roman"/>
                <w:color w:val="auto"/>
                <w:kern w:val="0"/>
                <w:sz w:val="20"/>
                <w:szCs w:val="21"/>
                <w:highlight w:val="none"/>
              </w:rPr>
              <w:t>3、</w:t>
            </w:r>
            <w:r>
              <w:rPr>
                <w:rFonts w:hint="eastAsia" w:ascii="宋体" w:hAnsi="宋体" w:eastAsia="宋体" w:cs="宋体"/>
                <w:color w:val="auto"/>
                <w:kern w:val="0"/>
                <w:sz w:val="20"/>
                <w:szCs w:val="21"/>
                <w:highlight w:val="none"/>
              </w:rPr>
              <w:t>若税率调整，含税价格须作相应调整。</w:t>
            </w:r>
          </w:p>
          <w:p>
            <w:pPr>
              <w:widowControl/>
              <w:jc w:val="left"/>
              <w:rPr>
                <w:rFonts w:ascii="宋体" w:hAnsi="宋体" w:eastAsia="宋体" w:cs="宋体"/>
                <w:color w:val="auto"/>
                <w:kern w:val="0"/>
                <w:sz w:val="20"/>
                <w:szCs w:val="21"/>
                <w:highlight w:val="none"/>
              </w:rPr>
            </w:pPr>
          </w:p>
        </w:tc>
      </w:tr>
    </w:tbl>
    <w:p>
      <w:pPr>
        <w:widowControl/>
        <w:spacing w:line="500" w:lineRule="exact"/>
        <w:ind w:firstLine="280" w:firstLineChars="100"/>
        <w:rPr>
          <w:rFonts w:ascii="宋体" w:hAnsi="宋体"/>
          <w:color w:val="auto"/>
          <w:kern w:val="0"/>
          <w:sz w:val="28"/>
          <w:szCs w:val="28"/>
          <w:highlight w:val="none"/>
        </w:rPr>
      </w:pPr>
      <w:r>
        <w:rPr>
          <w:rFonts w:hint="eastAsia" w:ascii="宋体" w:hAnsi="宋体"/>
          <w:color w:val="auto"/>
          <w:kern w:val="0"/>
          <w:sz w:val="28"/>
          <w:szCs w:val="28"/>
          <w:highlight w:val="none"/>
        </w:rPr>
        <w:t>报价单位：（盖章）</w:t>
      </w:r>
    </w:p>
    <w:p>
      <w:pPr>
        <w:widowControl/>
        <w:spacing w:line="500" w:lineRule="exact"/>
        <w:ind w:firstLine="280" w:firstLineChars="100"/>
        <w:rPr>
          <w:rFonts w:ascii="宋体" w:hAnsi="宋体"/>
          <w:color w:val="auto"/>
          <w:kern w:val="0"/>
          <w:sz w:val="28"/>
          <w:szCs w:val="28"/>
          <w:highlight w:val="none"/>
        </w:rPr>
      </w:pPr>
    </w:p>
    <w:p>
      <w:pPr>
        <w:widowControl/>
        <w:spacing w:line="500" w:lineRule="exact"/>
        <w:ind w:firstLine="280" w:firstLineChars="100"/>
        <w:rPr>
          <w:rFonts w:ascii="宋体" w:hAnsi="宋体"/>
          <w:color w:val="auto"/>
          <w:kern w:val="0"/>
          <w:sz w:val="28"/>
          <w:szCs w:val="28"/>
          <w:highlight w:val="none"/>
        </w:rPr>
      </w:pPr>
      <w:r>
        <w:rPr>
          <w:rFonts w:hint="eastAsia" w:ascii="宋体" w:hAnsi="宋体"/>
          <w:color w:val="auto"/>
          <w:kern w:val="0"/>
          <w:sz w:val="28"/>
          <w:szCs w:val="28"/>
          <w:highlight w:val="none"/>
        </w:rPr>
        <w:t>法定代表人或授权代表人（签字</w:t>
      </w:r>
      <w:r>
        <w:rPr>
          <w:rFonts w:ascii="宋体" w:hAnsi="宋体"/>
          <w:color w:val="auto"/>
          <w:kern w:val="0"/>
          <w:sz w:val="28"/>
          <w:szCs w:val="28"/>
          <w:highlight w:val="none"/>
        </w:rPr>
        <w:t>或盖章</w:t>
      </w:r>
      <w:r>
        <w:rPr>
          <w:rFonts w:hint="eastAsia" w:ascii="宋体" w:hAnsi="宋体"/>
          <w:color w:val="auto"/>
          <w:kern w:val="0"/>
          <w:sz w:val="28"/>
          <w:szCs w:val="28"/>
          <w:highlight w:val="none"/>
        </w:rPr>
        <w:t>）：</w:t>
      </w:r>
    </w:p>
    <w:p>
      <w:pPr>
        <w:widowControl/>
        <w:spacing w:line="500" w:lineRule="exact"/>
        <w:ind w:firstLine="280" w:firstLineChars="100"/>
        <w:rPr>
          <w:rFonts w:ascii="宋体" w:hAnsi="宋体"/>
          <w:color w:val="auto"/>
          <w:kern w:val="0"/>
          <w:sz w:val="28"/>
          <w:szCs w:val="28"/>
          <w:highlight w:val="none"/>
        </w:rPr>
      </w:pPr>
    </w:p>
    <w:p>
      <w:pPr>
        <w:widowControl/>
        <w:spacing w:line="500" w:lineRule="exact"/>
        <w:ind w:firstLine="280" w:firstLineChars="100"/>
        <w:rPr>
          <w:rFonts w:ascii="宋体" w:hAnsi="宋体"/>
          <w:color w:val="auto"/>
          <w:kern w:val="0"/>
          <w:sz w:val="28"/>
          <w:szCs w:val="28"/>
          <w:highlight w:val="none"/>
        </w:rPr>
      </w:pPr>
      <w:r>
        <w:rPr>
          <w:rFonts w:hint="eastAsia" w:ascii="宋体" w:hAnsi="宋体"/>
          <w:color w:val="auto"/>
          <w:kern w:val="0"/>
          <w:sz w:val="28"/>
          <w:szCs w:val="28"/>
          <w:highlight w:val="none"/>
        </w:rPr>
        <w:t>法定代表人或授权代表人联系电话：</w:t>
      </w:r>
    </w:p>
    <w:p>
      <w:pPr>
        <w:widowControl/>
        <w:spacing w:line="500" w:lineRule="exact"/>
        <w:ind w:firstLine="280" w:firstLineChars="100"/>
        <w:rPr>
          <w:rFonts w:ascii="宋体" w:hAnsi="宋体"/>
          <w:color w:val="auto"/>
          <w:kern w:val="0"/>
          <w:sz w:val="28"/>
          <w:szCs w:val="28"/>
          <w:highlight w:val="none"/>
        </w:rPr>
      </w:pPr>
    </w:p>
    <w:p>
      <w:pPr>
        <w:widowControl/>
        <w:spacing w:line="500" w:lineRule="exact"/>
        <w:ind w:firstLine="280" w:firstLineChars="100"/>
        <w:rPr>
          <w:rFonts w:eastAsia="宋体" w:cs="宋体"/>
          <w:b/>
          <w:color w:val="auto"/>
          <w:sz w:val="24"/>
          <w:szCs w:val="24"/>
          <w:highlight w:val="none"/>
        </w:rPr>
      </w:pPr>
      <w:r>
        <w:rPr>
          <w:rFonts w:ascii="宋体" w:hAnsi="宋体"/>
          <w:color w:val="auto"/>
          <w:kern w:val="0"/>
          <w:sz w:val="28"/>
          <w:szCs w:val="28"/>
          <w:highlight w:val="none"/>
        </w:rPr>
        <w:t>报价</w:t>
      </w:r>
      <w:r>
        <w:rPr>
          <w:rFonts w:hint="eastAsia" w:ascii="宋体" w:hAnsi="宋体"/>
          <w:color w:val="auto"/>
          <w:kern w:val="0"/>
          <w:sz w:val="28"/>
          <w:szCs w:val="28"/>
          <w:highlight w:val="none"/>
        </w:rPr>
        <w:t>日期</w:t>
      </w:r>
      <w:r>
        <w:rPr>
          <w:rFonts w:ascii="宋体" w:hAnsi="宋体"/>
          <w:color w:val="auto"/>
          <w:kern w:val="0"/>
          <w:sz w:val="28"/>
          <w:szCs w:val="28"/>
          <w:highlight w:val="none"/>
        </w:rPr>
        <w:t>：202</w:t>
      </w:r>
      <w:r>
        <w:rPr>
          <w:rFonts w:hint="eastAsia" w:ascii="宋体" w:hAnsi="宋体"/>
          <w:color w:val="auto"/>
          <w:kern w:val="0"/>
          <w:sz w:val="28"/>
          <w:szCs w:val="28"/>
          <w:highlight w:val="none"/>
        </w:rPr>
        <w:t xml:space="preserve">4年 </w:t>
      </w:r>
      <w:r>
        <w:rPr>
          <w:rFonts w:ascii="宋体" w:hAnsi="宋体"/>
          <w:color w:val="auto"/>
          <w:kern w:val="0"/>
          <w:sz w:val="28"/>
          <w:szCs w:val="28"/>
          <w:highlight w:val="none"/>
        </w:rPr>
        <w:t xml:space="preserve"> </w:t>
      </w:r>
      <w:r>
        <w:rPr>
          <w:rFonts w:hint="eastAsia" w:ascii="宋体" w:hAnsi="宋体"/>
          <w:color w:val="auto"/>
          <w:kern w:val="0"/>
          <w:sz w:val="28"/>
          <w:szCs w:val="28"/>
          <w:highlight w:val="none"/>
        </w:rPr>
        <w:t>月  日</w:t>
      </w:r>
    </w:p>
    <w:p>
      <w:pPr>
        <w:widowControl/>
        <w:wordWrap w:val="0"/>
        <w:spacing w:line="480" w:lineRule="atLeast"/>
        <w:ind w:right="440"/>
        <w:rPr>
          <w:rFonts w:ascii="微软雅黑" w:hAnsi="微软雅黑" w:eastAsia="微软雅黑" w:cs="宋体"/>
          <w:color w:val="auto"/>
          <w:kern w:val="0"/>
          <w:sz w:val="24"/>
          <w:szCs w:val="24"/>
          <w:highlight w:val="none"/>
        </w:rPr>
      </w:pPr>
    </w:p>
    <w:p>
      <w:pPr>
        <w:widowControl/>
        <w:wordWrap w:val="0"/>
        <w:spacing w:line="480" w:lineRule="atLeast"/>
        <w:ind w:right="440"/>
        <w:rPr>
          <w:rFonts w:ascii="微软雅黑" w:hAnsi="微软雅黑" w:eastAsia="微软雅黑" w:cs="宋体"/>
          <w:color w:val="auto"/>
          <w:kern w:val="0"/>
          <w:sz w:val="24"/>
          <w:szCs w:val="24"/>
          <w:highlight w:val="none"/>
        </w:rPr>
      </w:pPr>
    </w:p>
    <w:p>
      <w:pPr>
        <w:rPr>
          <w:rFonts w:ascii="宋体" w:hAnsi="宋体" w:eastAsia="宋体"/>
          <w:color w:val="auto"/>
          <w:sz w:val="24"/>
          <w:szCs w:val="24"/>
          <w:highlight w:val="none"/>
        </w:rPr>
      </w:pPr>
    </w:p>
    <w:p>
      <w:pPr>
        <w:rPr>
          <w:rFonts w:ascii="宋体" w:hAnsi="宋体" w:eastAsia="宋体"/>
          <w:color w:val="auto"/>
          <w:sz w:val="24"/>
          <w:szCs w:val="24"/>
          <w:highlight w:val="none"/>
        </w:rPr>
      </w:pPr>
    </w:p>
    <w:p>
      <w:pPr>
        <w:rPr>
          <w:rFonts w:ascii="宋体" w:hAnsi="宋体" w:eastAsia="宋体"/>
          <w:color w:val="auto"/>
          <w:sz w:val="24"/>
          <w:szCs w:val="24"/>
          <w:highlight w:val="none"/>
        </w:rPr>
      </w:pPr>
    </w:p>
    <w:p>
      <w:pPr>
        <w:rPr>
          <w:rFonts w:ascii="宋体" w:hAnsi="宋体" w:eastAsia="宋体"/>
          <w:color w:val="auto"/>
          <w:sz w:val="24"/>
          <w:szCs w:val="24"/>
          <w:highlight w:val="none"/>
        </w:rPr>
      </w:pPr>
    </w:p>
    <w:p>
      <w:pPr>
        <w:rPr>
          <w:rFonts w:ascii="宋体" w:hAnsi="宋体" w:eastAsia="宋体"/>
          <w:color w:val="auto"/>
          <w:sz w:val="24"/>
          <w:szCs w:val="24"/>
          <w:highlight w:val="none"/>
        </w:rPr>
      </w:pPr>
    </w:p>
    <w:p>
      <w:pPr>
        <w:widowControl/>
        <w:wordWrap w:val="0"/>
        <w:spacing w:line="480" w:lineRule="atLeast"/>
        <w:ind w:right="440"/>
        <w:rPr>
          <w:rFonts w:ascii="微软雅黑" w:hAnsi="微软雅黑" w:eastAsia="微软雅黑" w:cs="宋体"/>
          <w:color w:val="auto"/>
          <w:kern w:val="0"/>
          <w:sz w:val="30"/>
          <w:szCs w:val="30"/>
          <w:highlight w:val="none"/>
        </w:rPr>
      </w:pPr>
    </w:p>
    <w:p>
      <w:pPr>
        <w:widowControl/>
        <w:wordWrap w:val="0"/>
        <w:spacing w:line="480" w:lineRule="atLeast"/>
        <w:ind w:right="440"/>
        <w:rPr>
          <w:rFonts w:ascii="微软雅黑" w:hAnsi="微软雅黑" w:eastAsia="微软雅黑" w:cs="宋体"/>
          <w:color w:val="auto"/>
          <w:kern w:val="0"/>
          <w:sz w:val="30"/>
          <w:szCs w:val="30"/>
          <w:highlight w:val="none"/>
        </w:rPr>
      </w:pPr>
    </w:p>
    <w:p>
      <w:pPr>
        <w:widowControl/>
        <w:wordWrap w:val="0"/>
        <w:spacing w:line="480" w:lineRule="atLeast"/>
        <w:ind w:right="440"/>
        <w:rPr>
          <w:rFonts w:ascii="微软雅黑" w:hAnsi="微软雅黑" w:eastAsia="微软雅黑" w:cs="宋体"/>
          <w:color w:val="auto"/>
          <w:kern w:val="0"/>
          <w:sz w:val="24"/>
          <w:szCs w:val="24"/>
          <w:highlight w:val="none"/>
        </w:rPr>
      </w:pPr>
      <w:r>
        <w:rPr>
          <w:rFonts w:hint="eastAsia" w:ascii="微软雅黑" w:hAnsi="微软雅黑" w:eastAsia="微软雅黑" w:cs="宋体"/>
          <w:color w:val="auto"/>
          <w:kern w:val="0"/>
          <w:sz w:val="30"/>
          <w:szCs w:val="30"/>
          <w:highlight w:val="none"/>
        </w:rPr>
        <w:t>附</w:t>
      </w:r>
      <w:r>
        <w:rPr>
          <w:rFonts w:ascii="微软雅黑" w:hAnsi="微软雅黑" w:eastAsia="微软雅黑" w:cs="宋体"/>
          <w:color w:val="auto"/>
          <w:kern w:val="0"/>
          <w:sz w:val="30"/>
          <w:szCs w:val="30"/>
          <w:highlight w:val="none"/>
        </w:rPr>
        <w:t>件</w:t>
      </w:r>
      <w:r>
        <w:rPr>
          <w:rFonts w:hint="eastAsia" w:ascii="微软雅黑" w:hAnsi="微软雅黑" w:eastAsia="微软雅黑" w:cs="宋体"/>
          <w:color w:val="auto"/>
          <w:kern w:val="0"/>
          <w:sz w:val="30"/>
          <w:szCs w:val="30"/>
          <w:highlight w:val="none"/>
        </w:rPr>
        <w:t>3</w:t>
      </w:r>
      <w:r>
        <w:rPr>
          <w:rFonts w:ascii="微软雅黑" w:hAnsi="微软雅黑" w:eastAsia="微软雅黑" w:cs="宋体"/>
          <w:color w:val="auto"/>
          <w:kern w:val="0"/>
          <w:sz w:val="24"/>
          <w:szCs w:val="24"/>
          <w:highlight w:val="none"/>
        </w:rPr>
        <w:t>：</w:t>
      </w:r>
    </w:p>
    <w:p>
      <w:pPr>
        <w:widowControl/>
        <w:spacing w:line="360" w:lineRule="auto"/>
        <w:rPr>
          <w:rFonts w:ascii="宋体" w:hAnsi="宋体"/>
          <w:color w:val="auto"/>
          <w:sz w:val="28"/>
          <w:szCs w:val="28"/>
          <w:highlight w:val="none"/>
        </w:rPr>
      </w:pPr>
      <w:r>
        <w:rPr>
          <w:rFonts w:hint="eastAsia" w:ascii="宋体" w:hAnsi="宋体"/>
          <w:color w:val="auto"/>
          <w:sz w:val="28"/>
          <w:szCs w:val="28"/>
          <w:highlight w:val="none"/>
        </w:rPr>
        <w:t>法定代表人身份证复印件并加盖报价单位公章</w:t>
      </w:r>
    </w:p>
    <w:tbl>
      <w:tblPr>
        <w:tblStyle w:val="10"/>
        <w:tblW w:w="8970" w:type="dxa"/>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85"/>
        <w:gridCol w:w="44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40" w:hRule="atLeast"/>
        </w:trPr>
        <w:tc>
          <w:tcPr>
            <w:tcW w:w="4485" w:type="dxa"/>
          </w:tcPr>
          <w:p>
            <w:pPr>
              <w:spacing w:line="440" w:lineRule="exact"/>
              <w:rPr>
                <w:rFonts w:ascii="宋体" w:hAnsi="宋体"/>
                <w:color w:val="auto"/>
                <w:sz w:val="24"/>
                <w:szCs w:val="24"/>
                <w:highlight w:val="none"/>
              </w:rPr>
            </w:pPr>
            <w:r>
              <w:rPr>
                <w:rFonts w:hint="eastAsia" w:ascii="宋体" w:hAnsi="宋体"/>
                <w:color w:val="auto"/>
                <w:sz w:val="24"/>
                <w:szCs w:val="24"/>
                <w:highlight w:val="none"/>
              </w:rPr>
              <w:t>身份证正</w:t>
            </w:r>
            <w:r>
              <w:rPr>
                <w:rFonts w:ascii="宋体" w:hAnsi="宋体"/>
                <w:color w:val="auto"/>
                <w:sz w:val="24"/>
                <w:szCs w:val="24"/>
                <w:highlight w:val="none"/>
              </w:rPr>
              <w:t>反面</w:t>
            </w:r>
            <w:r>
              <w:rPr>
                <w:rFonts w:hint="eastAsia" w:ascii="宋体" w:hAnsi="宋体"/>
                <w:color w:val="auto"/>
                <w:sz w:val="24"/>
                <w:szCs w:val="24"/>
                <w:highlight w:val="none"/>
              </w:rPr>
              <w:t>复印件</w:t>
            </w:r>
          </w:p>
        </w:tc>
        <w:tc>
          <w:tcPr>
            <w:tcW w:w="4485" w:type="dxa"/>
          </w:tcPr>
          <w:p>
            <w:pPr>
              <w:spacing w:line="440" w:lineRule="exact"/>
              <w:rPr>
                <w:rFonts w:ascii="宋体" w:hAnsi="宋体"/>
                <w:color w:val="auto"/>
                <w:sz w:val="24"/>
                <w:szCs w:val="24"/>
                <w:highlight w:val="none"/>
              </w:rPr>
            </w:pPr>
          </w:p>
        </w:tc>
      </w:tr>
    </w:tbl>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p>
    <w:p>
      <w:pPr>
        <w:widowControl/>
        <w:wordWrap w:val="0"/>
        <w:spacing w:line="480" w:lineRule="atLeast"/>
        <w:ind w:right="440"/>
        <w:rPr>
          <w:rFonts w:ascii="微软雅黑" w:hAnsi="微软雅黑" w:eastAsia="微软雅黑" w:cs="宋体"/>
          <w:color w:val="auto"/>
          <w:kern w:val="0"/>
          <w:sz w:val="28"/>
          <w:szCs w:val="28"/>
          <w:highlight w:val="none"/>
        </w:rPr>
      </w:pPr>
      <w:r>
        <w:rPr>
          <w:rFonts w:hint="eastAsia" w:ascii="微软雅黑" w:hAnsi="微软雅黑" w:eastAsia="微软雅黑" w:cs="宋体"/>
          <w:color w:val="auto"/>
          <w:kern w:val="0"/>
          <w:sz w:val="28"/>
          <w:szCs w:val="28"/>
          <w:highlight w:val="none"/>
        </w:rPr>
        <w:t>附件4：</w:t>
      </w:r>
    </w:p>
    <w:p>
      <w:pPr>
        <w:jc w:val="center"/>
        <w:rPr>
          <w:rFonts w:ascii="宋体" w:hAnsi="宋体"/>
          <w:b/>
          <w:color w:val="auto"/>
          <w:kern w:val="0"/>
          <w:sz w:val="36"/>
          <w:szCs w:val="36"/>
          <w:highlight w:val="none"/>
        </w:rPr>
      </w:pPr>
      <w:r>
        <w:rPr>
          <w:rFonts w:hint="eastAsia" w:ascii="宋体" w:hAnsi="宋体"/>
          <w:b/>
          <w:color w:val="auto"/>
          <w:kern w:val="0"/>
          <w:sz w:val="36"/>
          <w:szCs w:val="36"/>
          <w:highlight w:val="none"/>
        </w:rPr>
        <w:t>法人授权委托书</w:t>
      </w:r>
    </w:p>
    <w:p>
      <w:pPr>
        <w:adjustRightInd w:val="0"/>
        <w:snapToGrid w:val="0"/>
        <w:spacing w:line="480" w:lineRule="exact"/>
        <w:ind w:firstLine="630"/>
        <w:jc w:val="left"/>
        <w:rPr>
          <w:rFonts w:ascii="宋体" w:hAnsi="宋体" w:eastAsia="宋体" w:cs="宋体"/>
          <w:color w:val="auto"/>
          <w:sz w:val="28"/>
          <w:szCs w:val="28"/>
          <w:highlight w:val="none"/>
        </w:rPr>
      </w:pPr>
    </w:p>
    <w:p>
      <w:pPr>
        <w:adjustRightInd w:val="0"/>
        <w:snapToGrid w:val="0"/>
        <w:spacing w:line="360" w:lineRule="auto"/>
        <w:ind w:firstLine="630"/>
        <w:jc w:val="left"/>
        <w:rPr>
          <w:rFonts w:ascii="宋体" w:hAnsi="宋体" w:eastAsia="宋体" w:cs="Times New Roman"/>
          <w:bCs/>
          <w:color w:val="auto"/>
          <w:sz w:val="28"/>
          <w:szCs w:val="28"/>
          <w:highlight w:val="none"/>
        </w:rPr>
      </w:pPr>
      <w:r>
        <w:rPr>
          <w:rFonts w:hint="eastAsia" w:ascii="宋体" w:hAnsi="宋体" w:eastAsia="宋体" w:cs="宋体"/>
          <w:color w:val="auto"/>
          <w:sz w:val="28"/>
          <w:szCs w:val="28"/>
          <w:highlight w:val="none"/>
        </w:rPr>
        <w:t>授权声明</w:t>
      </w:r>
      <w:r>
        <w:rPr>
          <w:rFonts w:hint="eastAsia"/>
          <w:color w:val="auto"/>
          <w:sz w:val="24"/>
          <w:szCs w:val="24"/>
          <w:highlight w:val="none"/>
          <w:u w:val="single"/>
        </w:rPr>
        <w:t>（报价单位名称）</w:t>
      </w:r>
      <w:r>
        <w:rPr>
          <w:rFonts w:hint="eastAsia" w:ascii="宋体" w:hAnsi="宋体" w:eastAsia="宋体" w:cs="Times New Roman"/>
          <w:color w:val="auto"/>
          <w:sz w:val="28"/>
          <w:szCs w:val="28"/>
          <w:highlight w:val="none"/>
        </w:rPr>
        <w:t>授权</w:t>
      </w:r>
      <w:r>
        <w:rPr>
          <w:rFonts w:hint="eastAsia"/>
          <w:color w:val="auto"/>
          <w:sz w:val="24"/>
          <w:szCs w:val="24"/>
          <w:highlight w:val="none"/>
          <w:u w:val="single"/>
        </w:rPr>
        <w:t>（授权代理人）</w:t>
      </w:r>
      <w:r>
        <w:rPr>
          <w:rFonts w:hint="eastAsia" w:ascii="宋体" w:hAnsi="宋体" w:eastAsia="宋体" w:cs="Times New Roman"/>
          <w:color w:val="auto"/>
          <w:sz w:val="28"/>
          <w:szCs w:val="28"/>
          <w:highlight w:val="none"/>
        </w:rPr>
        <w:t>为我公司的代理人，以本公司的名义负责</w:t>
      </w:r>
      <w:r>
        <w:rPr>
          <w:rFonts w:hint="eastAsia" w:ascii="宋体" w:hAnsi="宋体" w:eastAsia="宋体" w:cs="Times New Roman"/>
          <w:bCs/>
          <w:color w:val="auto"/>
          <w:sz w:val="28"/>
          <w:szCs w:val="28"/>
          <w:highlight w:val="none"/>
        </w:rPr>
        <w:t>参与厦门海发环保能源股份有限公司</w:t>
      </w:r>
      <w:r>
        <w:rPr>
          <w:rFonts w:hint="eastAsia" w:ascii="宋体" w:hAnsi="宋体" w:cs="宋体"/>
          <w:color w:val="auto"/>
          <w:spacing w:val="-4"/>
          <w:sz w:val="28"/>
          <w:szCs w:val="28"/>
          <w:highlight w:val="none"/>
          <w:u w:val="single"/>
        </w:rPr>
        <w:t>同集事业部无烟煤</w:t>
      </w:r>
      <w:r>
        <w:rPr>
          <w:rFonts w:ascii="宋体" w:hAnsi="宋体" w:eastAsia="宋体" w:cs="Times New Roman"/>
          <w:bCs/>
          <w:color w:val="auto"/>
          <w:sz w:val="28"/>
          <w:szCs w:val="28"/>
          <w:highlight w:val="none"/>
          <w:u w:val="single"/>
        </w:rPr>
        <w:t>采购</w:t>
      </w:r>
      <w:r>
        <w:rPr>
          <w:rFonts w:hint="eastAsia" w:ascii="宋体" w:hAnsi="宋体" w:eastAsia="宋体" w:cs="Times New Roman"/>
          <w:bCs/>
          <w:color w:val="auto"/>
          <w:sz w:val="28"/>
          <w:szCs w:val="28"/>
          <w:highlight w:val="none"/>
        </w:rPr>
        <w:t>项目的报价，该代理人在报价及后续的合同执行过程中，出具的所有文件需加盖我司公章或合同章后方生效。本授权书于</w:t>
      </w:r>
      <w:r>
        <w:rPr>
          <w:rFonts w:ascii="宋体" w:hAnsi="宋体" w:eastAsia="宋体" w:cs="Times New Roman"/>
          <w:bCs/>
          <w:color w:val="auto"/>
          <w:sz w:val="28"/>
          <w:szCs w:val="28"/>
          <w:highlight w:val="none"/>
          <w:u w:val="single"/>
        </w:rPr>
        <w:t xml:space="preserve"> 202</w:t>
      </w:r>
      <w:r>
        <w:rPr>
          <w:rFonts w:hint="eastAsia" w:ascii="宋体" w:hAnsi="宋体" w:eastAsia="宋体" w:cs="Times New Roman"/>
          <w:bCs/>
          <w:color w:val="auto"/>
          <w:sz w:val="28"/>
          <w:szCs w:val="28"/>
          <w:highlight w:val="none"/>
          <w:u w:val="single"/>
        </w:rPr>
        <w:t>4</w:t>
      </w:r>
      <w:r>
        <w:rPr>
          <w:rFonts w:hint="eastAsia" w:ascii="宋体" w:hAnsi="宋体" w:eastAsia="宋体" w:cs="Times New Roman"/>
          <w:bCs/>
          <w:color w:val="auto"/>
          <w:sz w:val="28"/>
          <w:szCs w:val="28"/>
          <w:highlight w:val="none"/>
        </w:rPr>
        <w:t>年</w:t>
      </w:r>
      <w:r>
        <w:rPr>
          <w:rFonts w:hint="eastAsia" w:ascii="宋体" w:hAnsi="宋体" w:eastAsia="宋体" w:cs="Times New Roman"/>
          <w:bCs/>
          <w:color w:val="auto"/>
          <w:sz w:val="28"/>
          <w:szCs w:val="28"/>
          <w:highlight w:val="none"/>
          <w:u w:val="single"/>
        </w:rPr>
        <w:t xml:space="preserve">    </w:t>
      </w:r>
      <w:r>
        <w:rPr>
          <w:rFonts w:hint="eastAsia" w:ascii="宋体" w:hAnsi="宋体" w:eastAsia="宋体" w:cs="Times New Roman"/>
          <w:bCs/>
          <w:color w:val="auto"/>
          <w:sz w:val="28"/>
          <w:szCs w:val="28"/>
          <w:highlight w:val="none"/>
        </w:rPr>
        <w:t>月</w:t>
      </w:r>
      <w:r>
        <w:rPr>
          <w:rFonts w:hint="eastAsia" w:ascii="宋体" w:hAnsi="宋体" w:eastAsia="宋体" w:cs="Times New Roman"/>
          <w:bCs/>
          <w:color w:val="auto"/>
          <w:sz w:val="28"/>
          <w:szCs w:val="28"/>
          <w:highlight w:val="none"/>
          <w:u w:val="single"/>
        </w:rPr>
        <w:t xml:space="preserve">    </w:t>
      </w:r>
      <w:r>
        <w:rPr>
          <w:rFonts w:hint="eastAsia" w:ascii="宋体" w:hAnsi="宋体" w:eastAsia="宋体" w:cs="Times New Roman"/>
          <w:bCs/>
          <w:color w:val="auto"/>
          <w:sz w:val="28"/>
          <w:szCs w:val="28"/>
          <w:highlight w:val="none"/>
        </w:rPr>
        <w:t>日之</w:t>
      </w:r>
      <w:r>
        <w:rPr>
          <w:rFonts w:ascii="宋体" w:hAnsi="宋体" w:eastAsia="宋体" w:cs="Times New Roman"/>
          <w:bCs/>
          <w:color w:val="auto"/>
          <w:sz w:val="28"/>
          <w:szCs w:val="28"/>
          <w:highlight w:val="none"/>
        </w:rPr>
        <w:t>日起</w:t>
      </w:r>
      <w:r>
        <w:rPr>
          <w:rFonts w:hint="eastAsia" w:ascii="宋体" w:hAnsi="宋体" w:eastAsia="宋体" w:cs="Times New Roman"/>
          <w:bCs/>
          <w:color w:val="auto"/>
          <w:sz w:val="28"/>
          <w:szCs w:val="28"/>
          <w:highlight w:val="none"/>
        </w:rPr>
        <w:t>生效，特此声明。</w:t>
      </w:r>
    </w:p>
    <w:p>
      <w:pPr>
        <w:adjustRightInd w:val="0"/>
        <w:snapToGrid w:val="0"/>
        <w:spacing w:line="360" w:lineRule="auto"/>
        <w:ind w:firstLine="560" w:firstLineChars="200"/>
        <w:jc w:val="left"/>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t>代理人无转委托权，特此委托。</w:t>
      </w:r>
    </w:p>
    <w:p>
      <w:pPr>
        <w:adjustRightInd w:val="0"/>
        <w:snapToGrid w:val="0"/>
        <w:spacing w:line="480" w:lineRule="exact"/>
        <w:ind w:firstLine="560" w:firstLineChars="200"/>
        <w:jc w:val="left"/>
        <w:rPr>
          <w:rFonts w:ascii="宋体" w:hAnsi="宋体" w:eastAsia="宋体" w:cs="宋体"/>
          <w:color w:val="auto"/>
          <w:sz w:val="28"/>
          <w:szCs w:val="28"/>
          <w:highlight w:val="none"/>
        </w:rPr>
      </w:pPr>
    </w:p>
    <w:p>
      <w:pPr>
        <w:pStyle w:val="19"/>
        <w:keepNext w:val="0"/>
        <w:keepLines w:val="0"/>
        <w:kinsoku w:val="0"/>
        <w:overflowPunct w:val="0"/>
        <w:snapToGrid w:val="0"/>
        <w:spacing w:before="0" w:after="156" w:afterLines="50" w:line="520" w:lineRule="atLeast"/>
        <w:jc w:val="both"/>
        <w:rPr>
          <w:rFonts w:eastAsia="宋体" w:cs="宋体"/>
          <w:b w:val="0"/>
          <w:color w:val="auto"/>
          <w:sz w:val="24"/>
          <w:szCs w:val="24"/>
          <w:highlight w:val="none"/>
        </w:rPr>
      </w:pPr>
      <w:r>
        <w:rPr>
          <w:rFonts w:hint="eastAsia" w:eastAsia="宋体" w:cs="宋体"/>
          <w:b w:val="0"/>
          <w:color w:val="auto"/>
          <w:sz w:val="24"/>
          <w:szCs w:val="24"/>
          <w:highlight w:val="none"/>
        </w:rPr>
        <w:t>附：授权代理人身份证正反面复印件</w:t>
      </w:r>
    </w:p>
    <w:tbl>
      <w:tblPr>
        <w:tblStyle w:val="10"/>
        <w:tblW w:w="8970" w:type="dxa"/>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85"/>
        <w:gridCol w:w="44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40" w:hRule="atLeast"/>
        </w:trPr>
        <w:tc>
          <w:tcPr>
            <w:tcW w:w="4485" w:type="dxa"/>
          </w:tcPr>
          <w:p>
            <w:pPr>
              <w:spacing w:line="440" w:lineRule="exact"/>
              <w:rPr>
                <w:rFonts w:ascii="宋体" w:hAnsi="宋体"/>
                <w:color w:val="auto"/>
                <w:sz w:val="24"/>
                <w:szCs w:val="24"/>
                <w:highlight w:val="none"/>
              </w:rPr>
            </w:pPr>
            <w:r>
              <w:rPr>
                <w:rFonts w:hint="eastAsia" w:ascii="宋体" w:hAnsi="宋体"/>
                <w:color w:val="auto"/>
                <w:sz w:val="24"/>
                <w:szCs w:val="24"/>
                <w:highlight w:val="none"/>
              </w:rPr>
              <w:t>身份证复印件</w:t>
            </w:r>
          </w:p>
        </w:tc>
        <w:tc>
          <w:tcPr>
            <w:tcW w:w="4485" w:type="dxa"/>
          </w:tcPr>
          <w:p>
            <w:pPr>
              <w:spacing w:line="440" w:lineRule="exact"/>
              <w:rPr>
                <w:rFonts w:ascii="宋体" w:hAnsi="宋体"/>
                <w:color w:val="auto"/>
                <w:sz w:val="24"/>
                <w:szCs w:val="24"/>
                <w:highlight w:val="none"/>
              </w:rPr>
            </w:pPr>
          </w:p>
        </w:tc>
      </w:tr>
    </w:tbl>
    <w:p>
      <w:pPr>
        <w:spacing w:line="440" w:lineRule="exact"/>
        <w:ind w:firstLine="420"/>
        <w:rPr>
          <w:rFonts w:ascii="宋体" w:hAnsi="宋体"/>
          <w:color w:val="auto"/>
          <w:szCs w:val="21"/>
          <w:highlight w:val="none"/>
        </w:rPr>
      </w:pP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auto"/>
          <w:sz w:val="24"/>
          <w:highlight w:val="none"/>
        </w:rPr>
      </w:pPr>
      <w:r>
        <w:rPr>
          <w:rFonts w:hint="eastAsia" w:ascii="宋体" w:hAnsi="宋体"/>
          <w:bCs/>
          <w:color w:val="auto"/>
          <w:sz w:val="24"/>
          <w:highlight w:val="none"/>
        </w:rPr>
        <w:t>授权单位（公章）：</w:t>
      </w: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auto"/>
          <w:sz w:val="24"/>
          <w:highlight w:val="none"/>
          <w:u w:val="single"/>
        </w:rPr>
      </w:pPr>
      <w:r>
        <w:rPr>
          <w:rFonts w:hint="eastAsia" w:ascii="宋体" w:hAnsi="宋体"/>
          <w:bCs/>
          <w:color w:val="auto"/>
          <w:sz w:val="24"/>
          <w:highlight w:val="none"/>
        </w:rPr>
        <w:t>授权代理人签字：</w:t>
      </w:r>
    </w:p>
    <w:p>
      <w:pPr>
        <w:rPr>
          <w:color w:val="auto"/>
          <w:highlight w:val="none"/>
        </w:rPr>
      </w:pPr>
    </w:p>
    <w:p>
      <w:pPr>
        <w:pStyle w:val="19"/>
        <w:keepNext w:val="0"/>
        <w:keepLines w:val="0"/>
        <w:kinsoku w:val="0"/>
        <w:overflowPunct w:val="0"/>
        <w:snapToGrid w:val="0"/>
        <w:spacing w:before="0" w:after="0" w:line="240" w:lineRule="auto"/>
        <w:jc w:val="both"/>
        <w:rPr>
          <w:rFonts w:eastAsia="宋体" w:cs="宋体"/>
          <w:b w:val="0"/>
          <w:color w:val="auto"/>
          <w:sz w:val="24"/>
          <w:szCs w:val="24"/>
          <w:highlight w:val="none"/>
        </w:rPr>
      </w:pPr>
      <w:r>
        <w:rPr>
          <w:rFonts w:hint="eastAsia" w:eastAsia="宋体" w:cs="宋体"/>
          <w:b w:val="0"/>
          <w:color w:val="auto"/>
          <w:sz w:val="24"/>
          <w:szCs w:val="24"/>
          <w:highlight w:val="none"/>
        </w:rPr>
        <w:t>备注：</w:t>
      </w:r>
    </w:p>
    <w:p>
      <w:pPr>
        <w:pStyle w:val="19"/>
        <w:keepNext w:val="0"/>
        <w:keepLines w:val="0"/>
        <w:kinsoku w:val="0"/>
        <w:overflowPunct w:val="0"/>
        <w:snapToGrid w:val="0"/>
        <w:spacing w:before="0" w:after="0" w:line="240" w:lineRule="auto"/>
        <w:ind w:firstLine="520" w:firstLineChars="200"/>
        <w:jc w:val="both"/>
        <w:rPr>
          <w:rFonts w:eastAsia="宋体" w:cs="宋体"/>
          <w:b w:val="0"/>
          <w:color w:val="auto"/>
          <w:sz w:val="24"/>
          <w:szCs w:val="24"/>
          <w:highlight w:val="none"/>
        </w:rPr>
      </w:pPr>
      <w:r>
        <w:rPr>
          <w:rFonts w:hint="eastAsia" w:eastAsia="宋体" w:cs="宋体"/>
          <w:b w:val="0"/>
          <w:color w:val="auto"/>
          <w:sz w:val="24"/>
          <w:szCs w:val="24"/>
          <w:highlight w:val="none"/>
        </w:rPr>
        <w:t>1、报价签字代表为法定代表人，则本附件不需要提供。</w:t>
      </w:r>
    </w:p>
    <w:p>
      <w:pPr>
        <w:pStyle w:val="19"/>
        <w:keepNext w:val="0"/>
        <w:keepLines w:val="0"/>
        <w:kinsoku w:val="0"/>
        <w:overflowPunct w:val="0"/>
        <w:snapToGrid w:val="0"/>
        <w:spacing w:before="0" w:after="0" w:line="240" w:lineRule="auto"/>
        <w:ind w:firstLine="520" w:firstLineChars="200"/>
        <w:jc w:val="both"/>
        <w:rPr>
          <w:color w:val="auto"/>
          <w:sz w:val="28"/>
          <w:szCs w:val="28"/>
          <w:highlight w:val="none"/>
        </w:rPr>
      </w:pPr>
      <w:r>
        <w:rPr>
          <w:rFonts w:hint="eastAsia" w:eastAsia="宋体" w:cs="宋体"/>
          <w:b w:val="0"/>
          <w:color w:val="auto"/>
          <w:sz w:val="24"/>
          <w:szCs w:val="24"/>
          <w:highlight w:val="none"/>
        </w:rPr>
        <w:t>2、授权代理人身份证正反面复印件可单独一页，但须加盖企业公章。</w:t>
      </w:r>
    </w:p>
    <w:p>
      <w:pPr>
        <w:ind w:left="840" w:hanging="840" w:hangingChars="300"/>
        <w:rPr>
          <w:rFonts w:ascii="宋体" w:hAnsi="宋体" w:eastAsia="宋体"/>
          <w:color w:val="auto"/>
          <w:sz w:val="28"/>
          <w:szCs w:val="28"/>
          <w:highlight w:val="none"/>
        </w:rPr>
      </w:pPr>
    </w:p>
    <w:p>
      <w:pPr>
        <w:ind w:left="840" w:hanging="840" w:hangingChars="300"/>
        <w:rPr>
          <w:rFonts w:ascii="宋体" w:hAnsi="宋体" w:eastAsia="宋体"/>
          <w:color w:val="auto"/>
          <w:sz w:val="28"/>
          <w:szCs w:val="28"/>
          <w:highlight w:val="none"/>
        </w:rPr>
      </w:pPr>
    </w:p>
    <w:p>
      <w:pPr>
        <w:numPr>
          <w:ilvl w:val="0"/>
          <w:numId w:val="0"/>
        </w:numPr>
        <w:tabs>
          <w:tab w:val="left" w:pos="0"/>
        </w:tabs>
        <w:kinsoku w:val="0"/>
        <w:overflowPunct w:val="0"/>
        <w:autoSpaceDE/>
        <w:autoSpaceDN/>
        <w:snapToGrid w:val="0"/>
        <w:spacing w:line="440" w:lineRule="atLeast"/>
        <w:ind w:leftChars="0"/>
        <w:jc w:val="both"/>
        <w:textAlignment w:val="auto"/>
        <w:rPr>
          <w:rFonts w:hint="eastAsia" w:ascii="宋体" w:hAnsi="宋体"/>
          <w:b/>
          <w:bCs w:val="0"/>
          <w:sz w:val="36"/>
          <w:szCs w:val="36"/>
          <w:lang w:val="en-US" w:eastAsia="zh-CN"/>
        </w:rPr>
      </w:pPr>
      <w:r>
        <w:rPr>
          <w:rFonts w:hint="eastAsia" w:ascii="宋体" w:hAnsi="宋体" w:eastAsia="宋体"/>
          <w:color w:val="auto"/>
          <w:sz w:val="28"/>
          <w:szCs w:val="28"/>
          <w:highlight w:val="none"/>
          <w:lang w:val="en-US" w:eastAsia="zh-CN"/>
        </w:rPr>
        <w:t>附件5：</w:t>
      </w:r>
      <w:r>
        <w:rPr>
          <w:rFonts w:hint="eastAsia" w:ascii="宋体" w:hAnsi="宋体"/>
          <w:b w:val="0"/>
          <w:bCs/>
          <w:sz w:val="28"/>
          <w:szCs w:val="28"/>
          <w:lang w:val="en-US" w:eastAsia="zh-CN"/>
        </w:rPr>
        <w:t xml:space="preserve">  </w:t>
      </w:r>
      <w:r>
        <w:rPr>
          <w:rFonts w:hint="eastAsia" w:ascii="宋体" w:hAnsi="宋体"/>
          <w:b/>
          <w:bCs w:val="0"/>
          <w:sz w:val="36"/>
          <w:szCs w:val="36"/>
          <w:lang w:val="en-US" w:eastAsia="zh-CN"/>
        </w:rPr>
        <w:t xml:space="preserve"> </w:t>
      </w:r>
    </w:p>
    <w:p>
      <w:pPr>
        <w:numPr>
          <w:ilvl w:val="0"/>
          <w:numId w:val="0"/>
        </w:numPr>
        <w:tabs>
          <w:tab w:val="left" w:pos="0"/>
        </w:tabs>
        <w:kinsoku w:val="0"/>
        <w:overflowPunct w:val="0"/>
        <w:autoSpaceDE/>
        <w:autoSpaceDN/>
        <w:snapToGrid w:val="0"/>
        <w:spacing w:line="440" w:lineRule="atLeast"/>
        <w:ind w:leftChars="0"/>
        <w:jc w:val="center"/>
        <w:textAlignment w:val="auto"/>
        <w:rPr>
          <w:rFonts w:hint="eastAsia" w:ascii="宋体" w:hAnsi="宋体"/>
          <w:b w:val="0"/>
          <w:bCs/>
          <w:sz w:val="24"/>
          <w:szCs w:val="24"/>
        </w:rPr>
      </w:pPr>
      <w:r>
        <w:rPr>
          <w:rFonts w:hint="eastAsia" w:ascii="宋体" w:hAnsi="宋体"/>
          <w:b/>
          <w:bCs w:val="0"/>
          <w:sz w:val="36"/>
          <w:szCs w:val="36"/>
          <w:lang w:val="en-US" w:eastAsia="zh-CN"/>
        </w:rPr>
        <w:t>谈判承诺书</w:t>
      </w:r>
    </w:p>
    <w:p>
      <w:pPr>
        <w:autoSpaceDE/>
        <w:autoSpaceDN/>
        <w:snapToGrid w:val="0"/>
        <w:textAlignment w:val="auto"/>
        <w:rPr>
          <w:rFonts w:hint="default" w:ascii="宋体" w:hAnsi="宋体" w:eastAsia="宋体"/>
          <w:b w:val="0"/>
          <w:bCs/>
          <w:sz w:val="28"/>
          <w:szCs w:val="28"/>
          <w:lang w:val="en-US" w:eastAsia="zh-CN"/>
        </w:rPr>
      </w:pPr>
    </w:p>
    <w:p>
      <w:pPr>
        <w:autoSpaceDE/>
        <w:autoSpaceDN/>
        <w:snapToGrid w:val="0"/>
        <w:textAlignment w:val="auto"/>
        <w:rPr>
          <w:rFonts w:hint="eastAsia" w:ascii="宋体" w:hAnsi="宋体"/>
          <w:b w:val="0"/>
          <w:bCs/>
          <w:sz w:val="28"/>
          <w:szCs w:val="28"/>
        </w:rPr>
      </w:pPr>
    </w:p>
    <w:p>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right="105" w:rightChars="50" w:firstLine="560" w:firstLineChars="200"/>
        <w:jc w:val="left"/>
        <w:textAlignment w:val="auto"/>
        <w:rPr>
          <w:rFonts w:hint="eastAsia" w:ascii="宋体" w:hAnsi="宋体"/>
          <w:b w:val="0"/>
          <w:bCs/>
          <w:sz w:val="28"/>
          <w:szCs w:val="28"/>
          <w:lang w:val="en-US" w:eastAsia="zh-CN"/>
        </w:rPr>
      </w:pPr>
      <w:r>
        <w:rPr>
          <w:rFonts w:hint="eastAsia" w:ascii="宋体" w:hAnsi="宋体"/>
          <w:b w:val="0"/>
          <w:bCs/>
          <w:sz w:val="28"/>
          <w:szCs w:val="28"/>
          <w:lang w:val="en-US" w:eastAsia="zh-CN"/>
        </w:rPr>
        <w:t>我司参与贵司</w:t>
      </w:r>
      <w:r>
        <w:rPr>
          <w:rFonts w:hint="eastAsia"/>
          <w:b w:val="0"/>
          <w:bCs/>
          <w:sz w:val="28"/>
          <w:szCs w:val="28"/>
          <w:u w:val="none"/>
          <w:lang w:val="en-US" w:eastAsia="zh-CN"/>
        </w:rPr>
        <w:t>同集事业部无烟煤采购项目报价，</w:t>
      </w:r>
      <w:r>
        <w:rPr>
          <w:rFonts w:hint="eastAsia" w:ascii="宋体" w:hAnsi="宋体"/>
          <w:b w:val="0"/>
          <w:bCs/>
          <w:sz w:val="28"/>
          <w:szCs w:val="28"/>
          <w:lang w:val="en-US" w:eastAsia="zh-CN"/>
        </w:rPr>
        <w:t>因未安排谈判代表到场， 故在我司递交的响应报价文件的基础上，承诺完全响应谈判文件技术及商务要求，最终报价维持不变，如本承诺与递交的响应报价文件有不一致的内容，以本承诺为准。</w:t>
      </w:r>
    </w:p>
    <w:p>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right="105" w:rightChars="50" w:firstLine="560" w:firstLineChars="200"/>
        <w:jc w:val="left"/>
        <w:textAlignment w:val="auto"/>
        <w:rPr>
          <w:rFonts w:hint="eastAsia" w:ascii="宋体" w:hAnsi="宋体"/>
          <w:b w:val="0"/>
          <w:bCs/>
          <w:sz w:val="28"/>
          <w:szCs w:val="28"/>
          <w:lang w:val="en-US" w:eastAsia="zh-CN"/>
        </w:rPr>
      </w:pPr>
    </w:p>
    <w:p>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right="105" w:rightChars="50" w:firstLine="480" w:firstLineChars="200"/>
        <w:jc w:val="left"/>
        <w:textAlignment w:val="auto"/>
        <w:rPr>
          <w:rFonts w:hint="eastAsia" w:ascii="宋体" w:hAnsi="宋体"/>
          <w:b w:val="0"/>
          <w:bCs/>
          <w:sz w:val="24"/>
          <w:szCs w:val="24"/>
          <w:lang w:val="en-US" w:eastAsia="zh-CN"/>
        </w:rPr>
      </w:pPr>
    </w:p>
    <w:p>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right="105" w:rightChars="50" w:firstLine="480" w:firstLineChars="200"/>
        <w:jc w:val="left"/>
        <w:textAlignment w:val="auto"/>
        <w:rPr>
          <w:rFonts w:hint="eastAsia" w:ascii="宋体" w:hAnsi="宋体"/>
          <w:b w:val="0"/>
          <w:bCs/>
          <w:sz w:val="24"/>
          <w:szCs w:val="24"/>
          <w:lang w:val="en-US" w:eastAsia="zh-CN"/>
        </w:rPr>
      </w:pPr>
    </w:p>
    <w:p>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right="105" w:rightChars="50" w:firstLine="560" w:firstLineChars="200"/>
        <w:jc w:val="center"/>
        <w:textAlignment w:val="auto"/>
        <w:rPr>
          <w:rFonts w:hint="eastAsia" w:ascii="宋体" w:hAnsi="宋体" w:eastAsia="宋体" w:cs="Times New Roman"/>
          <w:b w:val="0"/>
          <w:bCs/>
          <w:sz w:val="28"/>
          <w:szCs w:val="28"/>
          <w:lang w:val="en-US" w:eastAsia="zh-CN"/>
        </w:rPr>
      </w:pPr>
      <w:r>
        <w:rPr>
          <w:rFonts w:hint="eastAsia" w:ascii="宋体" w:hAnsi="宋体" w:eastAsia="宋体" w:cs="Times New Roman"/>
          <w:b w:val="0"/>
          <w:bCs/>
          <w:sz w:val="28"/>
          <w:szCs w:val="28"/>
          <w:lang w:val="en-US" w:eastAsia="zh-CN"/>
        </w:rPr>
        <w:t>报价单位（公章）：</w:t>
      </w:r>
    </w:p>
    <w:p>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right="105" w:rightChars="50" w:firstLine="560" w:firstLineChars="200"/>
        <w:jc w:val="center"/>
        <w:textAlignment w:val="auto"/>
        <w:rPr>
          <w:rFonts w:hint="eastAsia" w:ascii="宋体" w:hAnsi="宋体" w:eastAsia="宋体" w:cs="Times New Roman"/>
          <w:b w:val="0"/>
          <w:bCs/>
          <w:sz w:val="28"/>
          <w:szCs w:val="28"/>
          <w:lang w:val="en-US" w:eastAsia="zh-CN"/>
        </w:rPr>
      </w:pPr>
    </w:p>
    <w:p>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right="105" w:rightChars="50" w:firstLine="560" w:firstLineChars="200"/>
        <w:jc w:val="center"/>
        <w:textAlignment w:val="auto"/>
        <w:rPr>
          <w:rFonts w:hint="eastAsia" w:ascii="宋体" w:hAnsi="宋体" w:eastAsia="宋体" w:cs="Times New Roman"/>
          <w:b w:val="0"/>
          <w:bCs/>
          <w:sz w:val="28"/>
          <w:szCs w:val="28"/>
          <w:lang w:val="en-US" w:eastAsia="zh-CN"/>
        </w:rPr>
      </w:pPr>
      <w:r>
        <w:rPr>
          <w:rFonts w:hint="eastAsia" w:ascii="宋体" w:hAnsi="宋体" w:eastAsia="宋体" w:cs="Times New Roman"/>
          <w:b w:val="0"/>
          <w:bCs/>
          <w:sz w:val="28"/>
          <w:szCs w:val="28"/>
          <w:lang w:val="en-US" w:eastAsia="zh-CN"/>
        </w:rPr>
        <w:t>法定代表人或授权代理人（签字或盖章）：</w:t>
      </w:r>
    </w:p>
    <w:p>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right="105" w:rightChars="50" w:firstLine="560" w:firstLineChars="200"/>
        <w:jc w:val="center"/>
        <w:textAlignment w:val="auto"/>
        <w:rPr>
          <w:rFonts w:hint="eastAsia" w:ascii="宋体" w:hAnsi="宋体" w:eastAsia="宋体" w:cs="Times New Roman"/>
          <w:b w:val="0"/>
          <w:bCs/>
          <w:sz w:val="28"/>
          <w:szCs w:val="28"/>
          <w:lang w:val="en-US" w:eastAsia="zh-CN"/>
        </w:rPr>
      </w:pPr>
    </w:p>
    <w:p>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right="105" w:rightChars="50" w:firstLine="560" w:firstLineChars="200"/>
        <w:jc w:val="center"/>
        <w:textAlignment w:val="auto"/>
        <w:rPr>
          <w:rFonts w:hint="eastAsia" w:ascii="宋体" w:hAnsi="宋体" w:eastAsia="宋体" w:cs="Times New Roman"/>
          <w:b w:val="0"/>
          <w:bCs/>
          <w:sz w:val="28"/>
          <w:szCs w:val="28"/>
          <w:lang w:val="en-US" w:eastAsia="zh-CN"/>
        </w:rPr>
      </w:pPr>
      <w:r>
        <w:rPr>
          <w:rFonts w:hint="eastAsia" w:ascii="宋体" w:hAnsi="宋体" w:eastAsia="宋体" w:cs="Times New Roman"/>
          <w:b w:val="0"/>
          <w:bCs/>
          <w:sz w:val="28"/>
          <w:szCs w:val="28"/>
          <w:lang w:val="en-US" w:eastAsia="zh-CN"/>
        </w:rPr>
        <w:t>日 期：</w:t>
      </w:r>
    </w:p>
    <w:p>
      <w:pPr>
        <w:ind w:left="840" w:hanging="840" w:hangingChars="300"/>
        <w:rPr>
          <w:rFonts w:hint="default" w:ascii="宋体" w:hAnsi="宋体" w:eastAsia="宋体"/>
          <w:color w:val="auto"/>
          <w:sz w:val="28"/>
          <w:szCs w:val="28"/>
          <w:highlight w:val="none"/>
          <w:lang w:val="en-US" w:eastAsia="zh-CN"/>
        </w:rPr>
      </w:pPr>
    </w:p>
    <w:p>
      <w:pPr>
        <w:ind w:left="840" w:hanging="840" w:hangingChars="300"/>
        <w:rPr>
          <w:rFonts w:hint="default" w:ascii="宋体" w:hAnsi="宋体" w:eastAsia="宋体"/>
          <w:color w:val="auto"/>
          <w:sz w:val="28"/>
          <w:szCs w:val="28"/>
          <w:highlight w:val="none"/>
          <w:lang w:val="en-US" w:eastAsia="zh-CN"/>
        </w:rPr>
      </w:pPr>
    </w:p>
    <w:p>
      <w:pPr>
        <w:ind w:left="840" w:hanging="840" w:hangingChars="300"/>
        <w:rPr>
          <w:rFonts w:hint="default" w:ascii="宋体" w:hAnsi="宋体" w:eastAsia="宋体"/>
          <w:color w:val="auto"/>
          <w:sz w:val="28"/>
          <w:szCs w:val="28"/>
          <w:highlight w:val="none"/>
          <w:lang w:val="en-US" w:eastAsia="zh-CN"/>
        </w:rPr>
      </w:pPr>
    </w:p>
    <w:p>
      <w:pPr>
        <w:ind w:left="840" w:hanging="840" w:hangingChars="300"/>
        <w:rPr>
          <w:rFonts w:hint="default" w:ascii="宋体" w:hAnsi="宋体" w:eastAsia="宋体"/>
          <w:color w:val="auto"/>
          <w:sz w:val="28"/>
          <w:szCs w:val="28"/>
          <w:highlight w:val="none"/>
          <w:lang w:val="en-US" w:eastAsia="zh-CN"/>
        </w:rPr>
      </w:pPr>
    </w:p>
    <w:p>
      <w:pPr>
        <w:ind w:left="840" w:hanging="840" w:hangingChars="300"/>
        <w:rPr>
          <w:rFonts w:hint="default" w:ascii="宋体" w:hAnsi="宋体" w:eastAsia="宋体"/>
          <w:color w:val="auto"/>
          <w:sz w:val="28"/>
          <w:szCs w:val="28"/>
          <w:highlight w:val="none"/>
          <w:lang w:val="en-US" w:eastAsia="zh-CN"/>
        </w:rPr>
      </w:pPr>
    </w:p>
    <w:p>
      <w:pPr>
        <w:ind w:left="840" w:hanging="840" w:hangingChars="300"/>
        <w:rPr>
          <w:rFonts w:hint="default" w:ascii="宋体" w:hAnsi="宋体" w:eastAsia="宋体"/>
          <w:color w:val="auto"/>
          <w:sz w:val="28"/>
          <w:szCs w:val="28"/>
          <w:highlight w:val="none"/>
          <w:lang w:val="en-US" w:eastAsia="zh-CN"/>
        </w:rPr>
      </w:pPr>
    </w:p>
    <w:p>
      <w:pPr>
        <w:ind w:left="840" w:hanging="840" w:hangingChars="300"/>
        <w:rPr>
          <w:rFonts w:hint="default" w:ascii="宋体" w:hAnsi="宋体" w:eastAsia="宋体"/>
          <w:color w:val="auto"/>
          <w:sz w:val="28"/>
          <w:szCs w:val="28"/>
          <w:highlight w:val="none"/>
          <w:lang w:val="en-US" w:eastAsia="zh-CN"/>
        </w:rPr>
      </w:pPr>
    </w:p>
    <w:p>
      <w:pPr>
        <w:ind w:left="840" w:hanging="840" w:hangingChars="300"/>
        <w:rPr>
          <w:rFonts w:hint="default" w:ascii="宋体" w:hAnsi="宋体" w:eastAsia="宋体"/>
          <w:color w:val="auto"/>
          <w:sz w:val="28"/>
          <w:szCs w:val="28"/>
          <w:highlight w:val="none"/>
          <w:lang w:val="en-US" w:eastAsia="zh-CN"/>
        </w:rPr>
      </w:pPr>
    </w:p>
    <w:p>
      <w:pPr>
        <w:ind w:left="840" w:hanging="840" w:hangingChars="300"/>
        <w:rPr>
          <w:rFonts w:ascii="宋体" w:hAnsi="宋体" w:eastAsia="宋体"/>
          <w:color w:val="auto"/>
          <w:sz w:val="28"/>
          <w:szCs w:val="28"/>
          <w:highlight w:val="none"/>
        </w:rPr>
      </w:pPr>
    </w:p>
    <w:p>
      <w:pPr>
        <w:ind w:left="840" w:hanging="840" w:hangingChars="300"/>
        <w:rPr>
          <w:rFonts w:ascii="宋体" w:hAnsi="宋体"/>
          <w:color w:val="auto"/>
          <w:sz w:val="28"/>
          <w:szCs w:val="28"/>
          <w:highlight w:val="none"/>
        </w:rPr>
      </w:pPr>
      <w:r>
        <w:rPr>
          <w:rFonts w:hint="eastAsia" w:ascii="宋体" w:hAnsi="宋体" w:eastAsia="宋体"/>
          <w:color w:val="auto"/>
          <w:sz w:val="28"/>
          <w:szCs w:val="28"/>
          <w:highlight w:val="none"/>
        </w:rPr>
        <w:t>附件</w:t>
      </w:r>
      <w:r>
        <w:rPr>
          <w:rFonts w:hint="eastAsia" w:ascii="宋体" w:hAnsi="宋体" w:eastAsia="宋体"/>
          <w:color w:val="auto"/>
          <w:sz w:val="28"/>
          <w:szCs w:val="28"/>
          <w:highlight w:val="none"/>
          <w:lang w:val="en-US" w:eastAsia="zh-CN"/>
        </w:rPr>
        <w:t>6</w:t>
      </w:r>
      <w:r>
        <w:rPr>
          <w:rFonts w:hint="eastAsia" w:ascii="宋体" w:hAnsi="宋体" w:eastAsia="宋体"/>
          <w:color w:val="auto"/>
          <w:sz w:val="28"/>
          <w:szCs w:val="28"/>
          <w:highlight w:val="none"/>
        </w:rPr>
        <w:t>：</w:t>
      </w:r>
      <w:r>
        <w:rPr>
          <w:rFonts w:hint="eastAsia" w:ascii="宋体" w:hAnsi="宋体"/>
          <w:color w:val="auto"/>
          <w:sz w:val="28"/>
          <w:szCs w:val="28"/>
          <w:highlight w:val="none"/>
        </w:rPr>
        <w:t>企业能有效识别二维码营业执照复印件并加盖报价单位公章</w:t>
      </w:r>
    </w:p>
    <w:p>
      <w:pPr>
        <w:rPr>
          <w:rFonts w:ascii="宋体" w:hAnsi="宋体"/>
          <w:color w:val="auto"/>
          <w:sz w:val="28"/>
          <w:szCs w:val="28"/>
          <w:highlight w:val="none"/>
        </w:rPr>
      </w:pPr>
    </w:p>
    <w:p>
      <w:pPr>
        <w:rPr>
          <w:rFonts w:ascii="宋体" w:hAnsi="宋体"/>
          <w:color w:val="auto"/>
          <w:sz w:val="28"/>
          <w:szCs w:val="28"/>
          <w:highlight w:val="none"/>
        </w:rPr>
      </w:pPr>
    </w:p>
    <w:p>
      <w:pPr>
        <w:rPr>
          <w:rFonts w:ascii="宋体" w:hAnsi="宋体" w:eastAsia="宋体"/>
          <w:color w:val="auto"/>
          <w:sz w:val="28"/>
          <w:szCs w:val="28"/>
          <w:highlight w:val="none"/>
        </w:rPr>
      </w:pPr>
      <w:r>
        <w:rPr>
          <w:rFonts w:hint="eastAsia" w:ascii="宋体" w:hAnsi="宋体"/>
          <w:color w:val="auto"/>
          <w:sz w:val="28"/>
          <w:szCs w:val="28"/>
          <w:highlight w:val="none"/>
        </w:rPr>
        <w:t>附件</w:t>
      </w:r>
      <w:r>
        <w:rPr>
          <w:rFonts w:hint="eastAsia" w:ascii="宋体" w:hAnsi="宋体"/>
          <w:color w:val="auto"/>
          <w:sz w:val="28"/>
          <w:szCs w:val="28"/>
          <w:highlight w:val="none"/>
          <w:lang w:val="en-US" w:eastAsia="zh-CN"/>
        </w:rPr>
        <w:t>7</w:t>
      </w:r>
      <w:r>
        <w:rPr>
          <w:rFonts w:hint="eastAsia" w:ascii="宋体" w:hAnsi="宋体"/>
          <w:color w:val="auto"/>
          <w:sz w:val="28"/>
          <w:szCs w:val="28"/>
          <w:highlight w:val="none"/>
        </w:rPr>
        <w:t>：报价</w:t>
      </w:r>
      <w:r>
        <w:rPr>
          <w:rFonts w:ascii="宋体" w:hAnsi="宋体"/>
          <w:color w:val="auto"/>
          <w:sz w:val="28"/>
          <w:szCs w:val="28"/>
          <w:highlight w:val="none"/>
        </w:rPr>
        <w:t>方认为需要提供的其他资料</w:t>
      </w:r>
    </w:p>
    <w:p>
      <w:pPr>
        <w:rPr>
          <w:rFonts w:ascii="宋体" w:hAnsi="宋体" w:eastAsia="宋体"/>
          <w:color w:val="auto"/>
          <w:sz w:val="24"/>
          <w:szCs w:val="24"/>
          <w:highlight w:val="none"/>
        </w:rPr>
      </w:pPr>
    </w:p>
    <w:sectPr>
      <w:pgSz w:w="11906" w:h="16838"/>
      <w:pgMar w:top="1327" w:right="1519" w:bottom="1327" w:left="1633"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1">
    <w:nsid w:val="B4922EE6"/>
    <w:multiLevelType w:val="singleLevel"/>
    <w:tmpl w:val="B4922EE6"/>
    <w:lvl w:ilvl="0" w:tentative="0">
      <w:start w:val="1"/>
      <w:numFmt w:val="decimal"/>
      <w:suff w:val="nothing"/>
      <w:lvlText w:val="5.1.%1 "/>
      <w:lvlJc w:val="left"/>
      <w:pPr>
        <w:tabs>
          <w:tab w:val="left" w:pos="0"/>
        </w:tabs>
        <w:ind w:left="0" w:firstLine="0"/>
      </w:pPr>
      <w:rPr>
        <w:rFonts w:hint="default" w:ascii="宋体" w:hAnsi="宋体" w:eastAsia="宋体" w:cs="宋体"/>
      </w:rPr>
    </w:lvl>
  </w:abstractNum>
  <w:abstractNum w:abstractNumId="2">
    <w:nsid w:val="BB222211"/>
    <w:multiLevelType w:val="singleLevel"/>
    <w:tmpl w:val="BB222211"/>
    <w:lvl w:ilvl="0" w:tentative="0">
      <w:start w:val="1"/>
      <w:numFmt w:val="decimal"/>
      <w:suff w:val="nothing"/>
      <w:lvlText w:val="%1 "/>
      <w:lvlJc w:val="left"/>
      <w:pPr>
        <w:tabs>
          <w:tab w:val="left" w:pos="0"/>
        </w:tabs>
        <w:ind w:left="0" w:firstLine="2"/>
      </w:pPr>
      <w:rPr>
        <w:rFonts w:hint="default" w:ascii="宋体" w:hAnsi="宋体" w:eastAsia="宋体" w:cs="宋体"/>
      </w:rPr>
    </w:lvl>
  </w:abstractNum>
  <w:abstractNum w:abstractNumId="3">
    <w:nsid w:val="BC110F0D"/>
    <w:multiLevelType w:val="singleLevel"/>
    <w:tmpl w:val="BC110F0D"/>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4">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5">
    <w:nsid w:val="E4A78161"/>
    <w:multiLevelType w:val="singleLevel"/>
    <w:tmpl w:val="E4A78161"/>
    <w:lvl w:ilvl="0" w:tentative="0">
      <w:start w:val="1"/>
      <w:numFmt w:val="decimal"/>
      <w:suff w:val="nothing"/>
      <w:lvlText w:val="%1 "/>
      <w:lvlJc w:val="left"/>
      <w:pPr>
        <w:ind w:left="0" w:firstLine="0"/>
      </w:pPr>
      <w:rPr>
        <w:rFonts w:hint="default"/>
      </w:rPr>
    </w:lvl>
  </w:abstractNum>
  <w:abstractNum w:abstractNumId="6">
    <w:nsid w:val="FA9512AE"/>
    <w:multiLevelType w:val="singleLevel"/>
    <w:tmpl w:val="FA9512AE"/>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7">
    <w:nsid w:val="1ECB68F4"/>
    <w:multiLevelType w:val="singleLevel"/>
    <w:tmpl w:val="1ECB68F4"/>
    <w:lvl w:ilvl="0" w:tentative="0">
      <w:start w:val="1"/>
      <w:numFmt w:val="decimal"/>
      <w:suff w:val="nothing"/>
      <w:lvlText w:val="5.2.2.%1 "/>
      <w:lvlJc w:val="left"/>
      <w:pPr>
        <w:tabs>
          <w:tab w:val="left" w:pos="0"/>
        </w:tabs>
        <w:ind w:left="0" w:firstLine="0"/>
      </w:pPr>
      <w:rPr>
        <w:rFonts w:hint="default" w:ascii="宋体" w:hAnsi="宋体" w:eastAsia="宋体" w:cs="宋体"/>
      </w:rPr>
    </w:lvl>
  </w:abstractNum>
  <w:abstractNum w:abstractNumId="8">
    <w:nsid w:val="2B2A0A27"/>
    <w:multiLevelType w:val="singleLevel"/>
    <w:tmpl w:val="2B2A0A27"/>
    <w:lvl w:ilvl="0" w:tentative="0">
      <w:start w:val="1"/>
      <w:numFmt w:val="decimal"/>
      <w:suff w:val="nothing"/>
      <w:lvlText w:val="5.1.4.%1 "/>
      <w:lvlJc w:val="left"/>
      <w:pPr>
        <w:tabs>
          <w:tab w:val="left" w:pos="0"/>
        </w:tabs>
        <w:ind w:left="0" w:firstLine="0"/>
      </w:pPr>
      <w:rPr>
        <w:rFonts w:hint="default" w:ascii="宋体" w:hAnsi="宋体" w:eastAsia="宋体" w:cs="宋体"/>
      </w:rPr>
    </w:lvl>
  </w:abstractNum>
  <w:abstractNum w:abstractNumId="9">
    <w:nsid w:val="2C73C765"/>
    <w:multiLevelType w:val="singleLevel"/>
    <w:tmpl w:val="2C73C765"/>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10">
    <w:nsid w:val="38D3329E"/>
    <w:multiLevelType w:val="singleLevel"/>
    <w:tmpl w:val="38D3329E"/>
    <w:lvl w:ilvl="0" w:tentative="0">
      <w:start w:val="1"/>
      <w:numFmt w:val="decimal"/>
      <w:suff w:val="nothing"/>
      <w:lvlText w:val="%1 "/>
      <w:lvlJc w:val="left"/>
      <w:pPr>
        <w:ind w:left="0" w:firstLine="0"/>
      </w:pPr>
      <w:rPr>
        <w:rFonts w:hint="default"/>
      </w:rPr>
    </w:lvl>
  </w:abstractNum>
  <w:abstractNum w:abstractNumId="11">
    <w:nsid w:val="6AC4A8FF"/>
    <w:multiLevelType w:val="singleLevel"/>
    <w:tmpl w:val="6AC4A8FF"/>
    <w:lvl w:ilvl="0" w:tentative="0">
      <w:start w:val="1"/>
      <w:numFmt w:val="decimal"/>
      <w:suff w:val="nothing"/>
      <w:lvlText w:val="5.2.%1 "/>
      <w:lvlJc w:val="left"/>
      <w:pPr>
        <w:tabs>
          <w:tab w:val="left" w:pos="0"/>
        </w:tabs>
        <w:ind w:left="0" w:firstLine="0"/>
      </w:pPr>
      <w:rPr>
        <w:rFonts w:hint="default" w:ascii="宋体" w:hAnsi="宋体" w:eastAsia="宋体" w:cs="宋体"/>
      </w:rPr>
    </w:lvl>
  </w:abstractNum>
  <w:abstractNum w:abstractNumId="12">
    <w:nsid w:val="6F24D018"/>
    <w:multiLevelType w:val="singleLevel"/>
    <w:tmpl w:val="6F24D018"/>
    <w:lvl w:ilvl="0" w:tentative="0">
      <w:start w:val="7"/>
      <w:numFmt w:val="chineseCounting"/>
      <w:suff w:val="space"/>
      <w:lvlText w:val="第%1条"/>
      <w:lvlJc w:val="left"/>
      <w:rPr>
        <w:rFonts w:hint="eastAsia"/>
      </w:rPr>
    </w:lvl>
  </w:abstractNum>
  <w:abstractNum w:abstractNumId="13">
    <w:nsid w:val="70CC9F3E"/>
    <w:multiLevelType w:val="singleLevel"/>
    <w:tmpl w:val="70CC9F3E"/>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14">
    <w:nsid w:val="7C097FCD"/>
    <w:multiLevelType w:val="singleLevel"/>
    <w:tmpl w:val="7C097FCD"/>
    <w:lvl w:ilvl="0" w:tentative="0">
      <w:start w:val="1"/>
      <w:numFmt w:val="decimal"/>
      <w:suff w:val="nothing"/>
      <w:lvlText w:val="5.1.5.%1 "/>
      <w:lvlJc w:val="left"/>
      <w:pPr>
        <w:tabs>
          <w:tab w:val="left" w:pos="0"/>
        </w:tabs>
        <w:ind w:left="0" w:firstLine="0"/>
      </w:pPr>
      <w:rPr>
        <w:rFonts w:hint="default" w:ascii="宋体" w:hAnsi="宋体" w:eastAsia="宋体" w:cs="宋体"/>
      </w:rPr>
    </w:lvl>
  </w:abstractNum>
  <w:num w:numId="1">
    <w:abstractNumId w:val="4"/>
  </w:num>
  <w:num w:numId="2">
    <w:abstractNumId w:val="5"/>
  </w:num>
  <w:num w:numId="3">
    <w:abstractNumId w:val="13"/>
  </w:num>
  <w:num w:numId="4">
    <w:abstractNumId w:val="3"/>
  </w:num>
  <w:num w:numId="5">
    <w:abstractNumId w:val="6"/>
  </w:num>
  <w:num w:numId="6">
    <w:abstractNumId w:val="9"/>
  </w:num>
  <w:num w:numId="7">
    <w:abstractNumId w:val="1"/>
  </w:num>
  <w:num w:numId="8">
    <w:abstractNumId w:val="8"/>
  </w:num>
  <w:num w:numId="9">
    <w:abstractNumId w:val="14"/>
  </w:num>
  <w:num w:numId="10">
    <w:abstractNumId w:val="11"/>
  </w:num>
  <w:num w:numId="11">
    <w:abstractNumId w:val="7"/>
  </w:num>
  <w:num w:numId="12">
    <w:abstractNumId w:val="10"/>
  </w:num>
  <w:num w:numId="13">
    <w:abstractNumId w:val="12"/>
  </w:num>
  <w:num w:numId="14">
    <w:abstractNumId w:val="2"/>
  </w:num>
  <w:num w:numId="15">
    <w:abstractNumId w:val="0"/>
    <w:lvlOverride w:ilvl="0">
      <w:startOverride w:val="1"/>
    </w:lvlOverride>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E0OGMyN2I4MjFlZmJmNjU5ODE4MTdjODQ4NDM2YjkifQ=="/>
    <w:docVar w:name="KSO_WPS_MARK_KEY" w:val="336c3ea1-4176-40b8-a65d-81ffa0155a17"/>
  </w:docVars>
  <w:rsids>
    <w:rsidRoot w:val="003E3D3F"/>
    <w:rsid w:val="00026474"/>
    <w:rsid w:val="00031D36"/>
    <w:rsid w:val="00050D8D"/>
    <w:rsid w:val="000800FF"/>
    <w:rsid w:val="00095D6D"/>
    <w:rsid w:val="000A243A"/>
    <w:rsid w:val="000C132A"/>
    <w:rsid w:val="000E0533"/>
    <w:rsid w:val="00125DB9"/>
    <w:rsid w:val="00163AE1"/>
    <w:rsid w:val="00176710"/>
    <w:rsid w:val="001C4C0F"/>
    <w:rsid w:val="00223D06"/>
    <w:rsid w:val="002416EE"/>
    <w:rsid w:val="0024527F"/>
    <w:rsid w:val="00262D0E"/>
    <w:rsid w:val="00270A76"/>
    <w:rsid w:val="002A1CED"/>
    <w:rsid w:val="002D60AE"/>
    <w:rsid w:val="002D6385"/>
    <w:rsid w:val="002F7541"/>
    <w:rsid w:val="00324D22"/>
    <w:rsid w:val="00350970"/>
    <w:rsid w:val="003717EB"/>
    <w:rsid w:val="0038218F"/>
    <w:rsid w:val="00383291"/>
    <w:rsid w:val="0038677E"/>
    <w:rsid w:val="003A659B"/>
    <w:rsid w:val="003A705C"/>
    <w:rsid w:val="003C1CD2"/>
    <w:rsid w:val="003E3D3F"/>
    <w:rsid w:val="003E410F"/>
    <w:rsid w:val="003F277E"/>
    <w:rsid w:val="00403E53"/>
    <w:rsid w:val="00406420"/>
    <w:rsid w:val="00411D01"/>
    <w:rsid w:val="00416BF4"/>
    <w:rsid w:val="00427268"/>
    <w:rsid w:val="004304A8"/>
    <w:rsid w:val="00450AD5"/>
    <w:rsid w:val="00463794"/>
    <w:rsid w:val="00471239"/>
    <w:rsid w:val="00473681"/>
    <w:rsid w:val="004E6E83"/>
    <w:rsid w:val="004F2391"/>
    <w:rsid w:val="005019B0"/>
    <w:rsid w:val="00504346"/>
    <w:rsid w:val="0051243F"/>
    <w:rsid w:val="00515D56"/>
    <w:rsid w:val="005337C3"/>
    <w:rsid w:val="005530F3"/>
    <w:rsid w:val="005733C1"/>
    <w:rsid w:val="005943F7"/>
    <w:rsid w:val="005B766B"/>
    <w:rsid w:val="005C25BB"/>
    <w:rsid w:val="005C4C0E"/>
    <w:rsid w:val="005E6B96"/>
    <w:rsid w:val="005F3F3E"/>
    <w:rsid w:val="00613635"/>
    <w:rsid w:val="00631BDF"/>
    <w:rsid w:val="0064428A"/>
    <w:rsid w:val="00660F2A"/>
    <w:rsid w:val="0069135F"/>
    <w:rsid w:val="00696993"/>
    <w:rsid w:val="006A33C8"/>
    <w:rsid w:val="00701797"/>
    <w:rsid w:val="00702568"/>
    <w:rsid w:val="007117EE"/>
    <w:rsid w:val="0074724D"/>
    <w:rsid w:val="00754E4D"/>
    <w:rsid w:val="00756BEA"/>
    <w:rsid w:val="00760B20"/>
    <w:rsid w:val="007928C6"/>
    <w:rsid w:val="007A1322"/>
    <w:rsid w:val="007A77CE"/>
    <w:rsid w:val="007A7E20"/>
    <w:rsid w:val="00852CDE"/>
    <w:rsid w:val="00864DDC"/>
    <w:rsid w:val="00867FC8"/>
    <w:rsid w:val="00881626"/>
    <w:rsid w:val="0088521C"/>
    <w:rsid w:val="00886013"/>
    <w:rsid w:val="00897F6E"/>
    <w:rsid w:val="008C4558"/>
    <w:rsid w:val="008C7858"/>
    <w:rsid w:val="008D1D11"/>
    <w:rsid w:val="00903149"/>
    <w:rsid w:val="00917815"/>
    <w:rsid w:val="00931525"/>
    <w:rsid w:val="00933AA4"/>
    <w:rsid w:val="00946CDF"/>
    <w:rsid w:val="00954CC8"/>
    <w:rsid w:val="0096225E"/>
    <w:rsid w:val="00962321"/>
    <w:rsid w:val="00965D5D"/>
    <w:rsid w:val="009700E3"/>
    <w:rsid w:val="009A60F1"/>
    <w:rsid w:val="009E27BA"/>
    <w:rsid w:val="009F0FCC"/>
    <w:rsid w:val="009F3D70"/>
    <w:rsid w:val="00A04DDE"/>
    <w:rsid w:val="00A06249"/>
    <w:rsid w:val="00A237B2"/>
    <w:rsid w:val="00A3748E"/>
    <w:rsid w:val="00A43080"/>
    <w:rsid w:val="00A57F70"/>
    <w:rsid w:val="00A63A98"/>
    <w:rsid w:val="00A65B9F"/>
    <w:rsid w:val="00AB2A4E"/>
    <w:rsid w:val="00AF683C"/>
    <w:rsid w:val="00B364D7"/>
    <w:rsid w:val="00B52C99"/>
    <w:rsid w:val="00B837F8"/>
    <w:rsid w:val="00B90DCD"/>
    <w:rsid w:val="00B91873"/>
    <w:rsid w:val="00B94883"/>
    <w:rsid w:val="00B9651A"/>
    <w:rsid w:val="00BA12C3"/>
    <w:rsid w:val="00BB3ED4"/>
    <w:rsid w:val="00BB4F50"/>
    <w:rsid w:val="00C70350"/>
    <w:rsid w:val="00C90576"/>
    <w:rsid w:val="00CC324F"/>
    <w:rsid w:val="00CD1503"/>
    <w:rsid w:val="00CE2BE3"/>
    <w:rsid w:val="00CE7F26"/>
    <w:rsid w:val="00D112E8"/>
    <w:rsid w:val="00D31227"/>
    <w:rsid w:val="00D43597"/>
    <w:rsid w:val="00D44C2C"/>
    <w:rsid w:val="00D513A8"/>
    <w:rsid w:val="00D819C9"/>
    <w:rsid w:val="00D870F6"/>
    <w:rsid w:val="00D94D80"/>
    <w:rsid w:val="00DA7CC5"/>
    <w:rsid w:val="00DB2DF2"/>
    <w:rsid w:val="00DC3302"/>
    <w:rsid w:val="00DF4EB0"/>
    <w:rsid w:val="00DF5DD1"/>
    <w:rsid w:val="00E04DC5"/>
    <w:rsid w:val="00E17BE1"/>
    <w:rsid w:val="00E23912"/>
    <w:rsid w:val="00E42538"/>
    <w:rsid w:val="00E81C97"/>
    <w:rsid w:val="00E84941"/>
    <w:rsid w:val="00E91FDB"/>
    <w:rsid w:val="00EB40B0"/>
    <w:rsid w:val="00ED67D9"/>
    <w:rsid w:val="00F07AD4"/>
    <w:rsid w:val="00F248CC"/>
    <w:rsid w:val="00F34CF0"/>
    <w:rsid w:val="00F51E70"/>
    <w:rsid w:val="00F54CD2"/>
    <w:rsid w:val="00F57E07"/>
    <w:rsid w:val="00F61397"/>
    <w:rsid w:val="00F70944"/>
    <w:rsid w:val="00FB3EB4"/>
    <w:rsid w:val="00FB6F7D"/>
    <w:rsid w:val="00FC118E"/>
    <w:rsid w:val="00FF2A80"/>
    <w:rsid w:val="08B35AF0"/>
    <w:rsid w:val="093D129D"/>
    <w:rsid w:val="0A613F21"/>
    <w:rsid w:val="0CE57DB5"/>
    <w:rsid w:val="10197BD0"/>
    <w:rsid w:val="10CF3AE8"/>
    <w:rsid w:val="11C45D3C"/>
    <w:rsid w:val="14A726C3"/>
    <w:rsid w:val="17C351A6"/>
    <w:rsid w:val="1BA365A2"/>
    <w:rsid w:val="1DAC6D5F"/>
    <w:rsid w:val="1F0D4721"/>
    <w:rsid w:val="1F355D84"/>
    <w:rsid w:val="214B430B"/>
    <w:rsid w:val="23B04D6E"/>
    <w:rsid w:val="281A62D9"/>
    <w:rsid w:val="28C7289E"/>
    <w:rsid w:val="290C4EF0"/>
    <w:rsid w:val="2C8F77BF"/>
    <w:rsid w:val="2D1C12D9"/>
    <w:rsid w:val="30C63C72"/>
    <w:rsid w:val="311A69FB"/>
    <w:rsid w:val="33243F39"/>
    <w:rsid w:val="341879C4"/>
    <w:rsid w:val="350E439E"/>
    <w:rsid w:val="38512A84"/>
    <w:rsid w:val="393E53ED"/>
    <w:rsid w:val="3BF601A5"/>
    <w:rsid w:val="3EB80181"/>
    <w:rsid w:val="3EE0357A"/>
    <w:rsid w:val="3F730EFE"/>
    <w:rsid w:val="41A72C8B"/>
    <w:rsid w:val="42823583"/>
    <w:rsid w:val="45664510"/>
    <w:rsid w:val="45696B62"/>
    <w:rsid w:val="47223159"/>
    <w:rsid w:val="48B8324A"/>
    <w:rsid w:val="49DF5187"/>
    <w:rsid w:val="4AAC5E91"/>
    <w:rsid w:val="4D1601D4"/>
    <w:rsid w:val="50E47173"/>
    <w:rsid w:val="51B05EC4"/>
    <w:rsid w:val="53C45F6B"/>
    <w:rsid w:val="548822C0"/>
    <w:rsid w:val="5A57332E"/>
    <w:rsid w:val="5B8C1F91"/>
    <w:rsid w:val="5D075ABF"/>
    <w:rsid w:val="5DB968E0"/>
    <w:rsid w:val="5F830B2D"/>
    <w:rsid w:val="62661A2D"/>
    <w:rsid w:val="67E315E9"/>
    <w:rsid w:val="6C116BEA"/>
    <w:rsid w:val="6C6258DF"/>
    <w:rsid w:val="6D77425D"/>
    <w:rsid w:val="6E163524"/>
    <w:rsid w:val="747A7A36"/>
    <w:rsid w:val="7769224E"/>
    <w:rsid w:val="78144B99"/>
    <w:rsid w:val="78E62ABF"/>
    <w:rsid w:val="79A55960"/>
    <w:rsid w:val="7AC93899"/>
    <w:rsid w:val="7BAB4EC7"/>
    <w:rsid w:val="7C010F85"/>
    <w:rsid w:val="7C1F0714"/>
    <w:rsid w:val="7CDE3DF5"/>
    <w:rsid w:val="7D1513AC"/>
    <w:rsid w:val="7E421B5E"/>
    <w:rsid w:val="7EFF0218"/>
    <w:rsid w:val="7F5A30B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8"/>
    <w:qFormat/>
    <w:uiPriority w:val="0"/>
    <w:pPr>
      <w:keepNext/>
      <w:keepLines/>
      <w:adjustRightInd w:val="0"/>
      <w:spacing w:before="260" w:after="260" w:line="416" w:lineRule="atLeast"/>
      <w:jc w:val="left"/>
      <w:textAlignment w:val="baseline"/>
      <w:outlineLvl w:val="1"/>
    </w:pPr>
    <w:rPr>
      <w:rFonts w:ascii="Arial" w:hAnsi="Arial" w:eastAsia="黑体" w:cs="Times New Roman"/>
      <w:b/>
      <w:spacing w:val="10"/>
      <w:kern w:val="0"/>
      <w:sz w:val="32"/>
      <w:szCs w:val="20"/>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Layout w:type="fixed"/>
      <w:tblCellMar>
        <w:top w:w="0" w:type="dxa"/>
        <w:left w:w="108" w:type="dxa"/>
        <w:bottom w:w="0" w:type="dxa"/>
        <w:right w:w="108" w:type="dxa"/>
      </w:tblCellMar>
    </w:tblPr>
  </w:style>
  <w:style w:type="paragraph" w:styleId="3">
    <w:name w:val="Normal Indent"/>
    <w:basedOn w:val="1"/>
    <w:qFormat/>
    <w:uiPriority w:val="0"/>
    <w:pPr>
      <w:autoSpaceDE w:val="0"/>
      <w:autoSpaceDN w:val="0"/>
      <w:adjustRightInd w:val="0"/>
      <w:spacing w:line="312" w:lineRule="atLeast"/>
      <w:ind w:firstLine="420"/>
      <w:textAlignment w:val="baseline"/>
    </w:pPr>
    <w:rPr>
      <w:rFonts w:ascii="Times New Roman" w:hAnsi="Times New Roman" w:eastAsia="宋体" w:cs="Times New Roman"/>
      <w:kern w:val="0"/>
      <w:szCs w:val="20"/>
    </w:rPr>
  </w:style>
  <w:style w:type="paragraph" w:styleId="4">
    <w:name w:val="annotation text"/>
    <w:basedOn w:val="1"/>
    <w:link w:val="22"/>
    <w:unhideWhenUsed/>
    <w:qFormat/>
    <w:uiPriority w:val="99"/>
    <w:pPr>
      <w:jc w:val="left"/>
    </w:pPr>
  </w:style>
  <w:style w:type="paragraph" w:styleId="5">
    <w:name w:val="Balloon Text"/>
    <w:basedOn w:val="1"/>
    <w:link w:val="24"/>
    <w:semiHidden/>
    <w:unhideWhenUsed/>
    <w:qFormat/>
    <w:uiPriority w:val="99"/>
    <w:rPr>
      <w:sz w:val="18"/>
      <w:szCs w:val="18"/>
    </w:rPr>
  </w:style>
  <w:style w:type="paragraph" w:styleId="6">
    <w:name w:val="footer"/>
    <w:basedOn w:val="1"/>
    <w:link w:val="17"/>
    <w:unhideWhenUsed/>
    <w:qFormat/>
    <w:uiPriority w:val="99"/>
    <w:pPr>
      <w:tabs>
        <w:tab w:val="center" w:pos="4153"/>
        <w:tab w:val="right" w:pos="8306"/>
      </w:tabs>
      <w:snapToGrid w:val="0"/>
      <w:jc w:val="left"/>
    </w:pPr>
    <w:rPr>
      <w:sz w:val="18"/>
      <w:szCs w:val="18"/>
    </w:rPr>
  </w:style>
  <w:style w:type="paragraph" w:styleId="7">
    <w:name w:val="header"/>
    <w:basedOn w:val="1"/>
    <w:link w:val="16"/>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Title"/>
    <w:basedOn w:val="1"/>
    <w:next w:val="1"/>
    <w:link w:val="20"/>
    <w:qFormat/>
    <w:uiPriority w:val="0"/>
    <w:pPr>
      <w:spacing w:before="240" w:after="60"/>
      <w:jc w:val="center"/>
      <w:outlineLvl w:val="0"/>
    </w:pPr>
    <w:rPr>
      <w:rFonts w:ascii="Cambria" w:hAnsi="Cambria" w:cs="Times New Roman"/>
      <w:b/>
      <w:bCs/>
      <w:sz w:val="32"/>
      <w:szCs w:val="32"/>
    </w:rPr>
  </w:style>
  <w:style w:type="paragraph" w:styleId="9">
    <w:name w:val="annotation subject"/>
    <w:basedOn w:val="4"/>
    <w:next w:val="4"/>
    <w:link w:val="23"/>
    <w:semiHidden/>
    <w:unhideWhenUsed/>
    <w:qFormat/>
    <w:uiPriority w:val="99"/>
    <w:rPr>
      <w:b/>
      <w:bCs/>
    </w:rPr>
  </w:style>
  <w:style w:type="table" w:styleId="11">
    <w:name w:val="Table Grid"/>
    <w:basedOn w:val="1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13">
    <w:name w:val="page number"/>
    <w:basedOn w:val="12"/>
    <w:qFormat/>
    <w:uiPriority w:val="0"/>
  </w:style>
  <w:style w:type="character" w:styleId="14">
    <w:name w:val="Hyperlink"/>
    <w:basedOn w:val="12"/>
    <w:unhideWhenUsed/>
    <w:qFormat/>
    <w:uiPriority w:val="99"/>
    <w:rPr>
      <w:color w:val="0563C1" w:themeColor="hyperlink"/>
      <w:u w:val="single"/>
    </w:rPr>
  </w:style>
  <w:style w:type="character" w:styleId="15">
    <w:name w:val="annotation reference"/>
    <w:basedOn w:val="12"/>
    <w:semiHidden/>
    <w:unhideWhenUsed/>
    <w:qFormat/>
    <w:uiPriority w:val="99"/>
    <w:rPr>
      <w:sz w:val="21"/>
      <w:szCs w:val="21"/>
    </w:rPr>
  </w:style>
  <w:style w:type="character" w:customStyle="1" w:styleId="16">
    <w:name w:val="页眉 Char"/>
    <w:basedOn w:val="12"/>
    <w:link w:val="7"/>
    <w:qFormat/>
    <w:uiPriority w:val="99"/>
    <w:rPr>
      <w:sz w:val="18"/>
      <w:szCs w:val="18"/>
    </w:rPr>
  </w:style>
  <w:style w:type="character" w:customStyle="1" w:styleId="17">
    <w:name w:val="页脚 Char"/>
    <w:basedOn w:val="12"/>
    <w:link w:val="6"/>
    <w:qFormat/>
    <w:uiPriority w:val="99"/>
    <w:rPr>
      <w:sz w:val="18"/>
      <w:szCs w:val="18"/>
    </w:rPr>
  </w:style>
  <w:style w:type="character" w:customStyle="1" w:styleId="18">
    <w:name w:val="标题 2 Char"/>
    <w:basedOn w:val="12"/>
    <w:link w:val="2"/>
    <w:qFormat/>
    <w:uiPriority w:val="0"/>
    <w:rPr>
      <w:rFonts w:ascii="Arial" w:hAnsi="Arial" w:eastAsia="黑体" w:cs="Times New Roman"/>
      <w:b/>
      <w:spacing w:val="10"/>
      <w:kern w:val="0"/>
      <w:sz w:val="32"/>
      <w:szCs w:val="20"/>
    </w:rPr>
  </w:style>
  <w:style w:type="paragraph" w:customStyle="1" w:styleId="19">
    <w:name w:val="标题 2 居中"/>
    <w:basedOn w:val="2"/>
    <w:qFormat/>
    <w:uiPriority w:val="0"/>
    <w:pPr>
      <w:jc w:val="center"/>
    </w:pPr>
    <w:rPr>
      <w:rFonts w:ascii="宋体" w:hAnsi="宋体"/>
    </w:rPr>
  </w:style>
  <w:style w:type="character" w:customStyle="1" w:styleId="20">
    <w:name w:val="标题 Char"/>
    <w:link w:val="8"/>
    <w:qFormat/>
    <w:uiPriority w:val="0"/>
    <w:rPr>
      <w:rFonts w:ascii="Cambria" w:hAnsi="Cambria" w:cs="Times New Roman"/>
      <w:b/>
      <w:bCs/>
      <w:sz w:val="32"/>
      <w:szCs w:val="32"/>
    </w:rPr>
  </w:style>
  <w:style w:type="character" w:customStyle="1" w:styleId="21">
    <w:name w:val="标题 Char1"/>
    <w:basedOn w:val="12"/>
    <w:qFormat/>
    <w:uiPriority w:val="10"/>
    <w:rPr>
      <w:rFonts w:eastAsia="宋体" w:asciiTheme="majorHAnsi" w:hAnsiTheme="majorHAnsi" w:cstheme="majorBidi"/>
      <w:b/>
      <w:bCs/>
      <w:sz w:val="32"/>
      <w:szCs w:val="32"/>
    </w:rPr>
  </w:style>
  <w:style w:type="character" w:customStyle="1" w:styleId="22">
    <w:name w:val="批注文字 Char"/>
    <w:basedOn w:val="12"/>
    <w:link w:val="4"/>
    <w:qFormat/>
    <w:uiPriority w:val="99"/>
  </w:style>
  <w:style w:type="character" w:customStyle="1" w:styleId="23">
    <w:name w:val="批注主题 Char"/>
    <w:basedOn w:val="22"/>
    <w:link w:val="9"/>
    <w:semiHidden/>
    <w:qFormat/>
    <w:uiPriority w:val="99"/>
    <w:rPr>
      <w:b/>
      <w:bCs/>
    </w:rPr>
  </w:style>
  <w:style w:type="character" w:customStyle="1" w:styleId="24">
    <w:name w:val="批注框文本 Char"/>
    <w:basedOn w:val="12"/>
    <w:link w:val="5"/>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93540A0-D9B9-411A-9B3E-BF0FFD0F63C0}">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21</Pages>
  <Words>8840</Words>
  <Characters>9382</Characters>
  <Lines>65</Lines>
  <Paragraphs>18</Paragraphs>
  <TotalTime>10</TotalTime>
  <ScaleCrop>false</ScaleCrop>
  <LinksUpToDate>false</LinksUpToDate>
  <CharactersWithSpaces>9782</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2021-06-25T00:45:00Z</dcterms:created>
  <dc:creator>陈焰</dc:creator>
  <cp:lastModifiedBy>李忠彩</cp:lastModifiedBy>
  <cp:lastPrinted>2024-04-02T08:19:00Z</cp:lastPrinted>
  <dcterms:modified xsi:type="dcterms:W3CDTF">2024-04-30T00:53:01Z</dcterms:modified>
  <cp:revision>96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y fmtid="{D5CDD505-2E9C-101B-9397-08002B2CF9AE}" pid="3" name="ICV">
    <vt:lpwstr>102AB2F759E64CD8AF0BC8C83F9C2575_13</vt:lpwstr>
  </property>
</Properties>
</file>