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17A99D">
      <w:pPr>
        <w:tabs>
          <w:tab w:val="left" w:pos="2009"/>
        </w:tabs>
        <w:rPr>
          <w:rFonts w:asciiTheme="majorEastAsia" w:hAnsiTheme="majorEastAsia" w:eastAsiaTheme="majorEastAsia"/>
          <w:b/>
          <w:bCs/>
          <w:color w:val="auto"/>
          <w:sz w:val="84"/>
          <w:szCs w:val="84"/>
          <w:highlight w:val="none"/>
        </w:rPr>
      </w:pPr>
      <w:bookmarkStart w:id="384" w:name="_GoBack"/>
      <w:bookmarkEnd w:id="384"/>
    </w:p>
    <w:p w14:paraId="6D2F4568">
      <w:pPr>
        <w:jc w:val="center"/>
        <w:rPr>
          <w:rFonts w:asciiTheme="majorEastAsia" w:hAnsiTheme="majorEastAsia" w:eastAsiaTheme="majorEastAsia"/>
          <w:b/>
          <w:bCs/>
          <w:color w:val="auto"/>
          <w:sz w:val="84"/>
          <w:highlight w:val="none"/>
        </w:rPr>
      </w:pPr>
      <w:r>
        <w:rPr>
          <w:rFonts w:hint="eastAsia" w:asciiTheme="majorEastAsia" w:hAnsiTheme="majorEastAsia" w:eastAsiaTheme="majorEastAsia"/>
          <w:b/>
          <w:bCs/>
          <w:color w:val="auto"/>
          <w:sz w:val="84"/>
          <w:highlight w:val="none"/>
        </w:rPr>
        <w:t>招  标  文  件</w:t>
      </w:r>
    </w:p>
    <w:p w14:paraId="559250D3">
      <w:pPr>
        <w:pStyle w:val="26"/>
        <w:tabs>
          <w:tab w:val="left" w:pos="3754"/>
        </w:tabs>
        <w:spacing w:line="0" w:lineRule="atLeast"/>
        <w:rPr>
          <w:rFonts w:asciiTheme="majorEastAsia" w:hAnsiTheme="majorEastAsia" w:eastAsiaTheme="majorEastAsia"/>
          <w:b/>
          <w:color w:val="auto"/>
          <w:sz w:val="44"/>
          <w:highlight w:val="none"/>
        </w:rPr>
      </w:pPr>
    </w:p>
    <w:p w14:paraId="0789B9C7">
      <w:pPr>
        <w:pStyle w:val="26"/>
        <w:spacing w:line="0" w:lineRule="atLeast"/>
        <w:rPr>
          <w:rFonts w:asciiTheme="majorEastAsia" w:hAnsiTheme="majorEastAsia" w:eastAsiaTheme="majorEastAsia"/>
          <w:b/>
          <w:color w:val="auto"/>
          <w:sz w:val="44"/>
          <w:highlight w:val="none"/>
        </w:rPr>
      </w:pPr>
    </w:p>
    <w:p w14:paraId="0C8279D0">
      <w:pPr>
        <w:pStyle w:val="26"/>
        <w:spacing w:line="0" w:lineRule="atLeast"/>
        <w:rPr>
          <w:rFonts w:asciiTheme="majorEastAsia" w:hAnsiTheme="majorEastAsia" w:eastAsiaTheme="majorEastAsia"/>
          <w:b/>
          <w:color w:val="auto"/>
          <w:sz w:val="44"/>
          <w:highlight w:val="none"/>
        </w:rPr>
      </w:pPr>
    </w:p>
    <w:p w14:paraId="6E702316">
      <w:pPr>
        <w:pStyle w:val="26"/>
        <w:spacing w:line="0" w:lineRule="atLeast"/>
        <w:rPr>
          <w:rFonts w:asciiTheme="majorEastAsia" w:hAnsiTheme="majorEastAsia" w:eastAsiaTheme="majorEastAsia"/>
          <w:b/>
          <w:color w:val="auto"/>
          <w:sz w:val="44"/>
          <w:highlight w:val="none"/>
        </w:rPr>
      </w:pPr>
    </w:p>
    <w:p w14:paraId="2C1266B0">
      <w:pPr>
        <w:pStyle w:val="26"/>
        <w:spacing w:line="0" w:lineRule="atLeast"/>
        <w:jc w:val="center"/>
        <w:rPr>
          <w:rFonts w:hint="eastAsia" w:asciiTheme="majorEastAsia" w:hAnsiTheme="majorEastAsia" w:eastAsiaTheme="majorEastAsia"/>
          <w:b/>
          <w:bCs/>
          <w:color w:val="auto"/>
          <w:sz w:val="32"/>
          <w:szCs w:val="32"/>
          <w:highlight w:val="none"/>
          <w:u w:val="single"/>
          <w:lang w:eastAsia="zh-CN"/>
        </w:rPr>
      </w:pPr>
      <w:r>
        <w:rPr>
          <w:rFonts w:hint="eastAsia" w:asciiTheme="majorEastAsia" w:hAnsiTheme="majorEastAsia" w:eastAsiaTheme="majorEastAsia"/>
          <w:b/>
          <w:bCs/>
          <w:color w:val="auto"/>
          <w:sz w:val="32"/>
          <w:highlight w:val="none"/>
        </w:rPr>
        <w:t>项目编号：</w:t>
      </w:r>
      <w:r>
        <w:rPr>
          <w:rFonts w:hint="eastAsia" w:asciiTheme="majorEastAsia" w:hAnsiTheme="majorEastAsia" w:eastAsiaTheme="majorEastAsia"/>
          <w:b/>
          <w:bCs/>
          <w:color w:val="auto"/>
          <w:sz w:val="32"/>
          <w:highlight w:val="none"/>
          <w:u w:val="single"/>
          <w:lang w:eastAsia="zh-CN"/>
        </w:rPr>
        <w:t>2024-HCGK-SH1508</w:t>
      </w:r>
    </w:p>
    <w:p w14:paraId="7215CD4E">
      <w:pPr>
        <w:pStyle w:val="26"/>
        <w:spacing w:line="0" w:lineRule="atLeast"/>
        <w:rPr>
          <w:rFonts w:asciiTheme="majorEastAsia" w:hAnsiTheme="majorEastAsia" w:eastAsiaTheme="majorEastAsia"/>
          <w:b/>
          <w:bCs/>
          <w:color w:val="auto"/>
          <w:sz w:val="32"/>
          <w:highlight w:val="none"/>
          <w:u w:val="single"/>
        </w:rPr>
      </w:pPr>
    </w:p>
    <w:p w14:paraId="4C2763A6">
      <w:pPr>
        <w:pStyle w:val="26"/>
        <w:spacing w:line="0" w:lineRule="atLeast"/>
        <w:jc w:val="center"/>
        <w:rPr>
          <w:rFonts w:hint="default" w:asciiTheme="majorEastAsia" w:hAnsiTheme="majorEastAsia" w:eastAsiaTheme="majorEastAsia"/>
          <w:b/>
          <w:bCs/>
          <w:color w:val="auto"/>
          <w:sz w:val="32"/>
          <w:highlight w:val="none"/>
          <w:u w:val="single"/>
          <w:lang w:val="en-US" w:eastAsia="zh-CN"/>
        </w:rPr>
      </w:pPr>
      <w:r>
        <w:rPr>
          <w:rFonts w:hint="eastAsia" w:asciiTheme="majorEastAsia" w:hAnsiTheme="majorEastAsia" w:eastAsiaTheme="majorEastAsia"/>
          <w:b/>
          <w:bCs/>
          <w:color w:val="auto"/>
          <w:sz w:val="32"/>
          <w:highlight w:val="none"/>
        </w:rPr>
        <w:t>项目名称：</w:t>
      </w:r>
      <w:r>
        <w:rPr>
          <w:rFonts w:hint="eastAsia" w:asciiTheme="majorEastAsia" w:hAnsiTheme="majorEastAsia" w:eastAsiaTheme="majorEastAsia"/>
          <w:b/>
          <w:bCs/>
          <w:color w:val="auto"/>
          <w:sz w:val="32"/>
          <w:highlight w:val="none"/>
          <w:u w:val="single"/>
          <w:lang w:eastAsia="zh-CN"/>
        </w:rPr>
        <w:t>海沧半导体产业基地项目废水站系统运营服务采购</w:t>
      </w:r>
    </w:p>
    <w:p w14:paraId="10DAF892">
      <w:pPr>
        <w:pStyle w:val="26"/>
        <w:spacing w:line="0" w:lineRule="atLeast"/>
        <w:jc w:val="center"/>
        <w:rPr>
          <w:rFonts w:asciiTheme="majorEastAsia" w:hAnsiTheme="majorEastAsia" w:eastAsiaTheme="majorEastAsia"/>
          <w:b/>
          <w:bCs/>
          <w:color w:val="auto"/>
          <w:sz w:val="32"/>
          <w:highlight w:val="none"/>
          <w:u w:val="single"/>
        </w:rPr>
      </w:pPr>
    </w:p>
    <w:p w14:paraId="2B832D29">
      <w:pPr>
        <w:pStyle w:val="6"/>
        <w:spacing w:line="780" w:lineRule="exact"/>
        <w:ind w:firstLine="0"/>
        <w:outlineLvl w:val="0"/>
        <w:rPr>
          <w:rFonts w:asciiTheme="majorEastAsia" w:hAnsiTheme="majorEastAsia" w:eastAsiaTheme="majorEastAsia"/>
          <w:b/>
          <w:color w:val="auto"/>
          <w:sz w:val="28"/>
          <w:highlight w:val="none"/>
        </w:rPr>
      </w:pPr>
    </w:p>
    <w:p w14:paraId="62DF1D1F">
      <w:pPr>
        <w:pStyle w:val="6"/>
        <w:spacing w:line="780" w:lineRule="exact"/>
        <w:ind w:firstLine="0"/>
        <w:outlineLvl w:val="0"/>
        <w:rPr>
          <w:rFonts w:asciiTheme="majorEastAsia" w:hAnsiTheme="majorEastAsia" w:eastAsiaTheme="majorEastAsia"/>
          <w:b/>
          <w:color w:val="auto"/>
          <w:sz w:val="28"/>
          <w:highlight w:val="none"/>
        </w:rPr>
      </w:pPr>
    </w:p>
    <w:p w14:paraId="0AF55C1F">
      <w:pPr>
        <w:pStyle w:val="6"/>
        <w:spacing w:line="780" w:lineRule="exact"/>
        <w:ind w:firstLine="0"/>
        <w:outlineLvl w:val="0"/>
        <w:rPr>
          <w:rFonts w:asciiTheme="majorEastAsia" w:hAnsiTheme="majorEastAsia" w:eastAsiaTheme="majorEastAsia"/>
          <w:b/>
          <w:color w:val="auto"/>
          <w:sz w:val="28"/>
          <w:highlight w:val="none"/>
        </w:rPr>
      </w:pPr>
    </w:p>
    <w:p w14:paraId="4A385B4B">
      <w:pPr>
        <w:pStyle w:val="6"/>
        <w:spacing w:line="780" w:lineRule="exact"/>
        <w:ind w:firstLine="0"/>
        <w:outlineLvl w:val="0"/>
        <w:rPr>
          <w:rFonts w:asciiTheme="majorEastAsia" w:hAnsiTheme="majorEastAsia" w:eastAsiaTheme="majorEastAsia"/>
          <w:b/>
          <w:color w:val="auto"/>
          <w:sz w:val="28"/>
          <w:highlight w:val="none"/>
        </w:rPr>
      </w:pPr>
    </w:p>
    <w:p w14:paraId="2AE41487">
      <w:pPr>
        <w:pStyle w:val="26"/>
        <w:spacing w:line="360" w:lineRule="auto"/>
        <w:jc w:val="center"/>
        <w:rPr>
          <w:rFonts w:hint="eastAsia" w:asciiTheme="majorEastAsia" w:hAnsiTheme="majorEastAsia" w:eastAsiaTheme="majorEastAsia"/>
          <w:b/>
          <w:color w:val="auto"/>
          <w:spacing w:val="20"/>
          <w:sz w:val="30"/>
          <w:szCs w:val="30"/>
          <w:highlight w:val="none"/>
          <w:u w:val="single"/>
          <w:lang w:eastAsia="zh-CN"/>
        </w:rPr>
      </w:pPr>
      <w:r>
        <w:rPr>
          <w:rFonts w:hint="eastAsia" w:asciiTheme="majorEastAsia" w:hAnsiTheme="majorEastAsia" w:eastAsiaTheme="majorEastAsia"/>
          <w:b/>
          <w:color w:val="auto"/>
          <w:spacing w:val="20"/>
          <w:sz w:val="30"/>
          <w:szCs w:val="30"/>
          <w:highlight w:val="none"/>
        </w:rPr>
        <w:t>招标人：</w:t>
      </w:r>
      <w:r>
        <w:rPr>
          <w:rFonts w:hint="eastAsia" w:asciiTheme="majorEastAsia" w:hAnsiTheme="majorEastAsia" w:eastAsiaTheme="majorEastAsia"/>
          <w:b/>
          <w:color w:val="auto"/>
          <w:spacing w:val="20"/>
          <w:sz w:val="30"/>
          <w:szCs w:val="30"/>
          <w:highlight w:val="none"/>
          <w:u w:val="single"/>
          <w:lang w:eastAsia="zh-CN"/>
        </w:rPr>
        <w:t>厦门海沧信息产业发展有限公司</w:t>
      </w:r>
    </w:p>
    <w:p w14:paraId="59F4A366">
      <w:pPr>
        <w:pStyle w:val="26"/>
        <w:spacing w:line="360" w:lineRule="auto"/>
        <w:jc w:val="center"/>
        <w:rPr>
          <w:rFonts w:asciiTheme="majorEastAsia" w:hAnsiTheme="majorEastAsia" w:eastAsiaTheme="majorEastAsia"/>
          <w:b/>
          <w:color w:val="auto"/>
          <w:sz w:val="30"/>
          <w:szCs w:val="30"/>
          <w:highlight w:val="none"/>
        </w:rPr>
      </w:pPr>
      <w:r>
        <w:rPr>
          <w:rFonts w:hint="eastAsia" w:asciiTheme="majorEastAsia" w:hAnsiTheme="majorEastAsia" w:eastAsiaTheme="majorEastAsia"/>
          <w:b/>
          <w:color w:val="auto"/>
          <w:spacing w:val="20"/>
          <w:sz w:val="30"/>
          <w:szCs w:val="30"/>
          <w:highlight w:val="none"/>
        </w:rPr>
        <w:t>招标代理机构：</w:t>
      </w:r>
      <w:r>
        <w:rPr>
          <w:rFonts w:hint="eastAsia" w:asciiTheme="majorEastAsia" w:hAnsiTheme="majorEastAsia" w:eastAsiaTheme="majorEastAsia"/>
          <w:b/>
          <w:color w:val="auto"/>
          <w:spacing w:val="20"/>
          <w:sz w:val="30"/>
          <w:szCs w:val="30"/>
          <w:highlight w:val="none"/>
          <w:u w:val="single"/>
        </w:rPr>
        <w:t>厦门市华沧采购招标有限公司</w:t>
      </w:r>
    </w:p>
    <w:p w14:paraId="3A7CB03A">
      <w:pPr>
        <w:pStyle w:val="6"/>
        <w:spacing w:line="780" w:lineRule="exact"/>
        <w:ind w:firstLine="0"/>
        <w:jc w:val="center"/>
        <w:rPr>
          <w:rFonts w:asciiTheme="majorEastAsia" w:hAnsiTheme="majorEastAsia" w:eastAsiaTheme="majorEastAsia"/>
          <w:color w:val="auto"/>
          <w:sz w:val="44"/>
          <w:highlight w:val="none"/>
          <w:u w:val="single"/>
        </w:rPr>
        <w:sectPr>
          <w:headerReference r:id="rId3" w:type="default"/>
          <w:footerReference r:id="rId4" w:type="default"/>
          <w:pgSz w:w="11906" w:h="16838"/>
          <w:pgMar w:top="1418" w:right="1259" w:bottom="1560" w:left="1259" w:header="851" w:footer="992" w:gutter="0"/>
          <w:pgBorders>
            <w:top w:val="none" w:sz="0" w:space="0"/>
            <w:left w:val="none" w:sz="0" w:space="0"/>
            <w:bottom w:val="none" w:sz="0" w:space="0"/>
            <w:right w:val="none" w:sz="0" w:space="0"/>
          </w:pgBorders>
          <w:pgNumType w:start="1"/>
          <w:cols w:space="720" w:num="1"/>
          <w:docGrid w:type="lines" w:linePitch="312" w:charSpace="0"/>
        </w:sectPr>
      </w:pPr>
      <w:r>
        <w:rPr>
          <w:rFonts w:hint="eastAsia" w:asciiTheme="majorEastAsia" w:hAnsiTheme="majorEastAsia" w:eastAsiaTheme="majorEastAsia"/>
          <w:b/>
          <w:color w:val="auto"/>
          <w:sz w:val="32"/>
          <w:highlight w:val="none"/>
        </w:rPr>
        <w:t>202</w:t>
      </w:r>
      <w:r>
        <w:rPr>
          <w:rFonts w:hint="eastAsia" w:asciiTheme="majorEastAsia" w:hAnsiTheme="majorEastAsia" w:eastAsiaTheme="majorEastAsia"/>
          <w:b/>
          <w:color w:val="auto"/>
          <w:sz w:val="32"/>
          <w:highlight w:val="none"/>
          <w:lang w:val="en-US" w:eastAsia="zh-CN"/>
        </w:rPr>
        <w:t>5</w:t>
      </w:r>
      <w:r>
        <w:rPr>
          <w:rFonts w:hint="eastAsia" w:asciiTheme="majorEastAsia" w:hAnsiTheme="majorEastAsia" w:eastAsiaTheme="majorEastAsia"/>
          <w:b/>
          <w:color w:val="auto"/>
          <w:sz w:val="32"/>
          <w:highlight w:val="none"/>
        </w:rPr>
        <w:t>年</w:t>
      </w:r>
      <w:r>
        <w:rPr>
          <w:rFonts w:hint="eastAsia" w:asciiTheme="majorEastAsia" w:hAnsiTheme="majorEastAsia" w:eastAsiaTheme="majorEastAsia"/>
          <w:b/>
          <w:color w:val="auto"/>
          <w:sz w:val="32"/>
          <w:highlight w:val="none"/>
          <w:lang w:val="en-US" w:eastAsia="zh-CN"/>
        </w:rPr>
        <w:t>1</w:t>
      </w:r>
      <w:r>
        <w:rPr>
          <w:rFonts w:hint="eastAsia" w:asciiTheme="majorEastAsia" w:hAnsiTheme="majorEastAsia" w:eastAsiaTheme="majorEastAsia"/>
          <w:b/>
          <w:color w:val="auto"/>
          <w:sz w:val="32"/>
          <w:highlight w:val="none"/>
        </w:rPr>
        <w:t>月</w:t>
      </w:r>
    </w:p>
    <w:p w14:paraId="724BA7CD">
      <w:pPr>
        <w:pStyle w:val="26"/>
        <w:spacing w:before="156" w:beforeLines="50" w:after="156" w:afterLines="50" w:line="360" w:lineRule="auto"/>
        <w:jc w:val="center"/>
        <w:rPr>
          <w:rFonts w:asciiTheme="majorEastAsia" w:hAnsiTheme="majorEastAsia" w:eastAsiaTheme="majorEastAsia"/>
          <w:b/>
          <w:bCs/>
          <w:color w:val="auto"/>
          <w:sz w:val="24"/>
          <w:szCs w:val="24"/>
          <w:highlight w:val="none"/>
        </w:rPr>
      </w:pPr>
      <w:bookmarkStart w:id="0" w:name="_Toc332894813"/>
      <w:bookmarkStart w:id="1" w:name="_Toc332895783"/>
      <w:r>
        <w:rPr>
          <w:rFonts w:hint="eastAsia" w:asciiTheme="majorEastAsia" w:hAnsiTheme="majorEastAsia" w:eastAsiaTheme="majorEastAsia"/>
          <w:b/>
          <w:bCs/>
          <w:color w:val="auto"/>
          <w:sz w:val="24"/>
          <w:szCs w:val="24"/>
          <w:highlight w:val="none"/>
        </w:rPr>
        <w:t>目录</w:t>
      </w:r>
      <w:bookmarkEnd w:id="0"/>
      <w:bookmarkEnd w:id="1"/>
    </w:p>
    <w:p w14:paraId="6797C6C0">
      <w:pPr>
        <w:pStyle w:val="42"/>
        <w:tabs>
          <w:tab w:val="right" w:leader="dot" w:pos="9412"/>
          <w:tab w:val="clear" w:pos="9710"/>
        </w:tabs>
        <w:rPr>
          <w:color w:val="auto"/>
          <w:highlight w:val="none"/>
        </w:rPr>
      </w:pPr>
      <w:r>
        <w:rPr>
          <w:rStyle w:val="59"/>
          <w:rFonts w:hint="eastAsia"/>
          <w:color w:val="auto"/>
          <w:highlight w:val="none"/>
        </w:rPr>
        <w:fldChar w:fldCharType="begin"/>
      </w:r>
      <w:r>
        <w:rPr>
          <w:rStyle w:val="59"/>
          <w:rFonts w:hint="eastAsia" w:asciiTheme="majorEastAsia" w:hAnsiTheme="majorEastAsia" w:eastAsiaTheme="majorEastAsia"/>
          <w:color w:val="auto"/>
          <w:highlight w:val="none"/>
        </w:rPr>
        <w:instrText xml:space="preserve"> TOC \o "1-3" \h \z \u </w:instrText>
      </w:r>
      <w:r>
        <w:rPr>
          <w:rStyle w:val="59"/>
          <w:rFonts w:hint="eastAsia"/>
          <w:color w:val="auto"/>
          <w:highlight w:val="none"/>
        </w:rPr>
        <w:fldChar w:fldCharType="separate"/>
      </w:r>
      <w:r>
        <w:rPr>
          <w:rFonts w:hint="eastAsia"/>
          <w:color w:val="auto"/>
          <w:highlight w:val="none"/>
        </w:rPr>
        <w:fldChar w:fldCharType="begin"/>
      </w:r>
      <w:r>
        <w:rPr>
          <w:rFonts w:hint="eastAsia"/>
          <w:color w:val="auto"/>
          <w:highlight w:val="none"/>
        </w:rPr>
        <w:instrText xml:space="preserve"> HYPERLINK \l _Toc5849 </w:instrText>
      </w:r>
      <w:r>
        <w:rPr>
          <w:rFonts w:hint="eastAsia"/>
          <w:color w:val="auto"/>
          <w:highlight w:val="none"/>
        </w:rPr>
        <w:fldChar w:fldCharType="separate"/>
      </w:r>
      <w:r>
        <w:rPr>
          <w:rFonts w:hint="eastAsia" w:asciiTheme="majorEastAsia" w:hAnsiTheme="majorEastAsia" w:eastAsiaTheme="majorEastAsia"/>
          <w:color w:val="auto"/>
          <w:szCs w:val="28"/>
          <w:highlight w:val="none"/>
        </w:rPr>
        <w:t>第一章 投标邀请</w:t>
      </w:r>
      <w:r>
        <w:rPr>
          <w:color w:val="auto"/>
          <w:highlight w:val="none"/>
        </w:rPr>
        <w:tab/>
      </w:r>
      <w:r>
        <w:rPr>
          <w:color w:val="auto"/>
          <w:highlight w:val="none"/>
        </w:rPr>
        <w:fldChar w:fldCharType="begin"/>
      </w:r>
      <w:r>
        <w:rPr>
          <w:color w:val="auto"/>
          <w:highlight w:val="none"/>
        </w:rPr>
        <w:instrText xml:space="preserve"> PAGEREF _Toc5849 \h </w:instrText>
      </w:r>
      <w:r>
        <w:rPr>
          <w:color w:val="auto"/>
          <w:highlight w:val="none"/>
        </w:rPr>
        <w:fldChar w:fldCharType="separate"/>
      </w:r>
      <w:r>
        <w:rPr>
          <w:color w:val="auto"/>
          <w:highlight w:val="none"/>
        </w:rPr>
        <w:t>3</w:t>
      </w:r>
      <w:r>
        <w:rPr>
          <w:color w:val="auto"/>
          <w:highlight w:val="none"/>
        </w:rPr>
        <w:fldChar w:fldCharType="end"/>
      </w:r>
      <w:r>
        <w:rPr>
          <w:rFonts w:hint="eastAsia"/>
          <w:color w:val="auto"/>
          <w:highlight w:val="none"/>
        </w:rPr>
        <w:fldChar w:fldCharType="end"/>
      </w:r>
    </w:p>
    <w:p w14:paraId="42991D56">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_Toc12639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一、投标邀请</w:t>
      </w:r>
      <w:r>
        <w:rPr>
          <w:color w:val="auto"/>
          <w:highlight w:val="none"/>
        </w:rPr>
        <w:tab/>
      </w:r>
      <w:r>
        <w:rPr>
          <w:color w:val="auto"/>
          <w:highlight w:val="none"/>
        </w:rPr>
        <w:fldChar w:fldCharType="begin"/>
      </w:r>
      <w:r>
        <w:rPr>
          <w:color w:val="auto"/>
          <w:highlight w:val="none"/>
        </w:rPr>
        <w:instrText xml:space="preserve"> PAGEREF _Toc12639 \h </w:instrText>
      </w:r>
      <w:r>
        <w:rPr>
          <w:color w:val="auto"/>
          <w:highlight w:val="none"/>
        </w:rPr>
        <w:fldChar w:fldCharType="separate"/>
      </w:r>
      <w:r>
        <w:rPr>
          <w:color w:val="auto"/>
          <w:highlight w:val="none"/>
        </w:rPr>
        <w:t>3</w:t>
      </w:r>
      <w:r>
        <w:rPr>
          <w:color w:val="auto"/>
          <w:highlight w:val="none"/>
        </w:rPr>
        <w:fldChar w:fldCharType="end"/>
      </w:r>
      <w:r>
        <w:rPr>
          <w:rFonts w:hint="eastAsia" w:asciiTheme="majorEastAsia" w:hAnsiTheme="majorEastAsia" w:eastAsiaTheme="majorEastAsia"/>
          <w:color w:val="auto"/>
          <w:highlight w:val="none"/>
        </w:rPr>
        <w:fldChar w:fldCharType="end"/>
      </w:r>
    </w:p>
    <w:p w14:paraId="05A84826">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_Toc32058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二、招标项目一览表</w:t>
      </w:r>
      <w:r>
        <w:rPr>
          <w:color w:val="auto"/>
          <w:highlight w:val="none"/>
        </w:rPr>
        <w:tab/>
      </w:r>
      <w:r>
        <w:rPr>
          <w:color w:val="auto"/>
          <w:highlight w:val="none"/>
        </w:rPr>
        <w:fldChar w:fldCharType="begin"/>
      </w:r>
      <w:r>
        <w:rPr>
          <w:color w:val="auto"/>
          <w:highlight w:val="none"/>
        </w:rPr>
        <w:instrText xml:space="preserve"> PAGEREF _Toc32058 \h </w:instrText>
      </w:r>
      <w:r>
        <w:rPr>
          <w:color w:val="auto"/>
          <w:highlight w:val="none"/>
        </w:rPr>
        <w:fldChar w:fldCharType="separate"/>
      </w:r>
      <w:r>
        <w:rPr>
          <w:color w:val="auto"/>
          <w:highlight w:val="none"/>
        </w:rPr>
        <w:t>4</w:t>
      </w:r>
      <w:r>
        <w:rPr>
          <w:color w:val="auto"/>
          <w:highlight w:val="none"/>
        </w:rPr>
        <w:fldChar w:fldCharType="end"/>
      </w:r>
      <w:r>
        <w:rPr>
          <w:rFonts w:hint="eastAsia" w:asciiTheme="majorEastAsia" w:hAnsiTheme="majorEastAsia" w:eastAsiaTheme="majorEastAsia"/>
          <w:color w:val="auto"/>
          <w:highlight w:val="none"/>
        </w:rPr>
        <w:fldChar w:fldCharType="end"/>
      </w:r>
    </w:p>
    <w:p w14:paraId="2AC89B2D">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_Toc8527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第二章投标人须知</w:t>
      </w:r>
      <w:r>
        <w:rPr>
          <w:color w:val="auto"/>
          <w:highlight w:val="none"/>
        </w:rPr>
        <w:tab/>
      </w:r>
      <w:r>
        <w:rPr>
          <w:color w:val="auto"/>
          <w:highlight w:val="none"/>
        </w:rPr>
        <w:fldChar w:fldCharType="begin"/>
      </w:r>
      <w:r>
        <w:rPr>
          <w:color w:val="auto"/>
          <w:highlight w:val="none"/>
        </w:rPr>
        <w:instrText xml:space="preserve"> PAGEREF _Toc8527 \h </w:instrText>
      </w:r>
      <w:r>
        <w:rPr>
          <w:color w:val="auto"/>
          <w:highlight w:val="none"/>
        </w:rPr>
        <w:fldChar w:fldCharType="separate"/>
      </w:r>
      <w:r>
        <w:rPr>
          <w:color w:val="auto"/>
          <w:highlight w:val="none"/>
        </w:rPr>
        <w:t>5</w:t>
      </w:r>
      <w:r>
        <w:rPr>
          <w:color w:val="auto"/>
          <w:highlight w:val="none"/>
        </w:rPr>
        <w:fldChar w:fldCharType="end"/>
      </w:r>
      <w:r>
        <w:rPr>
          <w:rFonts w:hint="eastAsia" w:asciiTheme="majorEastAsia" w:hAnsiTheme="majorEastAsia" w:eastAsiaTheme="majorEastAsia"/>
          <w:color w:val="auto"/>
          <w:highlight w:val="none"/>
        </w:rPr>
        <w:fldChar w:fldCharType="end"/>
      </w:r>
    </w:p>
    <w:p w14:paraId="6A504489">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_Toc20556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投标人须知前附表1</w:t>
      </w:r>
      <w:r>
        <w:rPr>
          <w:color w:val="auto"/>
          <w:highlight w:val="none"/>
        </w:rPr>
        <w:tab/>
      </w:r>
      <w:r>
        <w:rPr>
          <w:color w:val="auto"/>
          <w:highlight w:val="none"/>
        </w:rPr>
        <w:fldChar w:fldCharType="begin"/>
      </w:r>
      <w:r>
        <w:rPr>
          <w:color w:val="auto"/>
          <w:highlight w:val="none"/>
        </w:rPr>
        <w:instrText xml:space="preserve"> PAGEREF _Toc20556 \h </w:instrText>
      </w:r>
      <w:r>
        <w:rPr>
          <w:color w:val="auto"/>
          <w:highlight w:val="none"/>
        </w:rPr>
        <w:fldChar w:fldCharType="separate"/>
      </w:r>
      <w:r>
        <w:rPr>
          <w:color w:val="auto"/>
          <w:highlight w:val="none"/>
        </w:rPr>
        <w:t>5</w:t>
      </w:r>
      <w:r>
        <w:rPr>
          <w:color w:val="auto"/>
          <w:highlight w:val="none"/>
        </w:rPr>
        <w:fldChar w:fldCharType="end"/>
      </w:r>
      <w:r>
        <w:rPr>
          <w:rFonts w:hint="eastAsia" w:asciiTheme="majorEastAsia" w:hAnsiTheme="majorEastAsia" w:eastAsiaTheme="majorEastAsia"/>
          <w:color w:val="auto"/>
          <w:highlight w:val="none"/>
        </w:rPr>
        <w:fldChar w:fldCharType="end"/>
      </w:r>
    </w:p>
    <w:p w14:paraId="40B22814">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_Toc6931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投标人须知前附表2:资格性、符合性检查表</w:t>
      </w:r>
      <w:r>
        <w:rPr>
          <w:color w:val="auto"/>
          <w:highlight w:val="none"/>
        </w:rPr>
        <w:tab/>
      </w:r>
      <w:r>
        <w:rPr>
          <w:color w:val="auto"/>
          <w:highlight w:val="none"/>
        </w:rPr>
        <w:fldChar w:fldCharType="begin"/>
      </w:r>
      <w:r>
        <w:rPr>
          <w:color w:val="auto"/>
          <w:highlight w:val="none"/>
        </w:rPr>
        <w:instrText xml:space="preserve"> PAGEREF _Toc6931 \h </w:instrText>
      </w:r>
      <w:r>
        <w:rPr>
          <w:color w:val="auto"/>
          <w:highlight w:val="none"/>
        </w:rPr>
        <w:fldChar w:fldCharType="separate"/>
      </w:r>
      <w:r>
        <w:rPr>
          <w:color w:val="auto"/>
          <w:highlight w:val="none"/>
        </w:rPr>
        <w:t>8</w:t>
      </w:r>
      <w:r>
        <w:rPr>
          <w:color w:val="auto"/>
          <w:highlight w:val="none"/>
        </w:rPr>
        <w:fldChar w:fldCharType="end"/>
      </w:r>
      <w:r>
        <w:rPr>
          <w:rFonts w:hint="eastAsia" w:asciiTheme="majorEastAsia" w:hAnsiTheme="majorEastAsia" w:eastAsiaTheme="majorEastAsia"/>
          <w:color w:val="auto"/>
          <w:highlight w:val="none"/>
        </w:rPr>
        <w:fldChar w:fldCharType="end"/>
      </w:r>
    </w:p>
    <w:p w14:paraId="4A8FDDA0">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_Toc6497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一、说明</w:t>
      </w:r>
      <w:r>
        <w:rPr>
          <w:color w:val="auto"/>
          <w:highlight w:val="none"/>
        </w:rPr>
        <w:tab/>
      </w:r>
      <w:r>
        <w:rPr>
          <w:color w:val="auto"/>
          <w:highlight w:val="none"/>
        </w:rPr>
        <w:fldChar w:fldCharType="begin"/>
      </w:r>
      <w:r>
        <w:rPr>
          <w:color w:val="auto"/>
          <w:highlight w:val="none"/>
        </w:rPr>
        <w:instrText xml:space="preserve"> PAGEREF _Toc6497 \h </w:instrText>
      </w:r>
      <w:r>
        <w:rPr>
          <w:color w:val="auto"/>
          <w:highlight w:val="none"/>
        </w:rPr>
        <w:fldChar w:fldCharType="separate"/>
      </w:r>
      <w:r>
        <w:rPr>
          <w:color w:val="auto"/>
          <w:highlight w:val="none"/>
        </w:rPr>
        <w:t>19</w:t>
      </w:r>
      <w:r>
        <w:rPr>
          <w:color w:val="auto"/>
          <w:highlight w:val="none"/>
        </w:rPr>
        <w:fldChar w:fldCharType="end"/>
      </w:r>
      <w:r>
        <w:rPr>
          <w:rFonts w:hint="eastAsia" w:asciiTheme="majorEastAsia" w:hAnsiTheme="majorEastAsia" w:eastAsiaTheme="majorEastAsia"/>
          <w:color w:val="auto"/>
          <w:highlight w:val="none"/>
        </w:rPr>
        <w:fldChar w:fldCharType="end"/>
      </w:r>
    </w:p>
    <w:p w14:paraId="549699F3">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_Toc23352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二、招标文件</w:t>
      </w:r>
      <w:r>
        <w:rPr>
          <w:color w:val="auto"/>
          <w:highlight w:val="none"/>
        </w:rPr>
        <w:tab/>
      </w:r>
      <w:r>
        <w:rPr>
          <w:color w:val="auto"/>
          <w:highlight w:val="none"/>
        </w:rPr>
        <w:fldChar w:fldCharType="begin"/>
      </w:r>
      <w:r>
        <w:rPr>
          <w:color w:val="auto"/>
          <w:highlight w:val="none"/>
        </w:rPr>
        <w:instrText xml:space="preserve"> PAGEREF _Toc23352 \h </w:instrText>
      </w:r>
      <w:r>
        <w:rPr>
          <w:color w:val="auto"/>
          <w:highlight w:val="none"/>
        </w:rPr>
        <w:fldChar w:fldCharType="separate"/>
      </w:r>
      <w:r>
        <w:rPr>
          <w:color w:val="auto"/>
          <w:highlight w:val="none"/>
        </w:rPr>
        <w:t>19</w:t>
      </w:r>
      <w:r>
        <w:rPr>
          <w:color w:val="auto"/>
          <w:highlight w:val="none"/>
        </w:rPr>
        <w:fldChar w:fldCharType="end"/>
      </w:r>
      <w:r>
        <w:rPr>
          <w:rFonts w:hint="eastAsia" w:asciiTheme="majorEastAsia" w:hAnsiTheme="majorEastAsia" w:eastAsiaTheme="majorEastAsia"/>
          <w:color w:val="auto"/>
          <w:highlight w:val="none"/>
        </w:rPr>
        <w:fldChar w:fldCharType="end"/>
      </w:r>
    </w:p>
    <w:p w14:paraId="78A951B5">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_Toc24492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三、投标文件的编写</w:t>
      </w:r>
      <w:r>
        <w:rPr>
          <w:color w:val="auto"/>
          <w:highlight w:val="none"/>
        </w:rPr>
        <w:tab/>
      </w:r>
      <w:r>
        <w:rPr>
          <w:color w:val="auto"/>
          <w:highlight w:val="none"/>
        </w:rPr>
        <w:fldChar w:fldCharType="begin"/>
      </w:r>
      <w:r>
        <w:rPr>
          <w:color w:val="auto"/>
          <w:highlight w:val="none"/>
        </w:rPr>
        <w:instrText xml:space="preserve"> PAGEREF _Toc24492 \h </w:instrText>
      </w:r>
      <w:r>
        <w:rPr>
          <w:color w:val="auto"/>
          <w:highlight w:val="none"/>
        </w:rPr>
        <w:fldChar w:fldCharType="separate"/>
      </w:r>
      <w:r>
        <w:rPr>
          <w:color w:val="auto"/>
          <w:highlight w:val="none"/>
        </w:rPr>
        <w:t>20</w:t>
      </w:r>
      <w:r>
        <w:rPr>
          <w:color w:val="auto"/>
          <w:highlight w:val="none"/>
        </w:rPr>
        <w:fldChar w:fldCharType="end"/>
      </w:r>
      <w:r>
        <w:rPr>
          <w:rFonts w:hint="eastAsia" w:asciiTheme="majorEastAsia" w:hAnsiTheme="majorEastAsia" w:eastAsiaTheme="majorEastAsia"/>
          <w:color w:val="auto"/>
          <w:highlight w:val="none"/>
        </w:rPr>
        <w:fldChar w:fldCharType="end"/>
      </w:r>
    </w:p>
    <w:p w14:paraId="51B2237C">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_Toc15633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四、投标文件的提交</w:t>
      </w:r>
      <w:r>
        <w:rPr>
          <w:color w:val="auto"/>
          <w:highlight w:val="none"/>
        </w:rPr>
        <w:tab/>
      </w:r>
      <w:r>
        <w:rPr>
          <w:color w:val="auto"/>
          <w:highlight w:val="none"/>
        </w:rPr>
        <w:fldChar w:fldCharType="begin"/>
      </w:r>
      <w:r>
        <w:rPr>
          <w:color w:val="auto"/>
          <w:highlight w:val="none"/>
        </w:rPr>
        <w:instrText xml:space="preserve"> PAGEREF _Toc15633 \h </w:instrText>
      </w:r>
      <w:r>
        <w:rPr>
          <w:color w:val="auto"/>
          <w:highlight w:val="none"/>
        </w:rPr>
        <w:fldChar w:fldCharType="separate"/>
      </w:r>
      <w:r>
        <w:rPr>
          <w:color w:val="auto"/>
          <w:highlight w:val="none"/>
        </w:rPr>
        <w:t>23</w:t>
      </w:r>
      <w:r>
        <w:rPr>
          <w:color w:val="auto"/>
          <w:highlight w:val="none"/>
        </w:rPr>
        <w:fldChar w:fldCharType="end"/>
      </w:r>
      <w:r>
        <w:rPr>
          <w:rFonts w:hint="eastAsia" w:asciiTheme="majorEastAsia" w:hAnsiTheme="majorEastAsia" w:eastAsiaTheme="majorEastAsia"/>
          <w:color w:val="auto"/>
          <w:highlight w:val="none"/>
        </w:rPr>
        <w:fldChar w:fldCharType="end"/>
      </w:r>
    </w:p>
    <w:p w14:paraId="623A8801">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_Toc19088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五、投标文件的评估和比较</w:t>
      </w:r>
      <w:r>
        <w:rPr>
          <w:color w:val="auto"/>
          <w:highlight w:val="none"/>
        </w:rPr>
        <w:tab/>
      </w:r>
      <w:r>
        <w:rPr>
          <w:color w:val="auto"/>
          <w:highlight w:val="none"/>
        </w:rPr>
        <w:fldChar w:fldCharType="begin"/>
      </w:r>
      <w:r>
        <w:rPr>
          <w:color w:val="auto"/>
          <w:highlight w:val="none"/>
        </w:rPr>
        <w:instrText xml:space="preserve"> PAGEREF _Toc19088 \h </w:instrText>
      </w:r>
      <w:r>
        <w:rPr>
          <w:color w:val="auto"/>
          <w:highlight w:val="none"/>
        </w:rPr>
        <w:fldChar w:fldCharType="separate"/>
      </w:r>
      <w:r>
        <w:rPr>
          <w:color w:val="auto"/>
          <w:highlight w:val="none"/>
        </w:rPr>
        <w:t>24</w:t>
      </w:r>
      <w:r>
        <w:rPr>
          <w:color w:val="auto"/>
          <w:highlight w:val="none"/>
        </w:rPr>
        <w:fldChar w:fldCharType="end"/>
      </w:r>
      <w:r>
        <w:rPr>
          <w:rFonts w:hint="eastAsia" w:asciiTheme="majorEastAsia" w:hAnsiTheme="majorEastAsia" w:eastAsiaTheme="majorEastAsia"/>
          <w:color w:val="auto"/>
          <w:highlight w:val="none"/>
        </w:rPr>
        <w:fldChar w:fldCharType="end"/>
      </w:r>
    </w:p>
    <w:p w14:paraId="39AF815B">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_Toc16187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六、定标与签订合同</w:t>
      </w:r>
      <w:r>
        <w:rPr>
          <w:color w:val="auto"/>
          <w:highlight w:val="none"/>
        </w:rPr>
        <w:tab/>
      </w:r>
      <w:r>
        <w:rPr>
          <w:color w:val="auto"/>
          <w:highlight w:val="none"/>
        </w:rPr>
        <w:fldChar w:fldCharType="begin"/>
      </w:r>
      <w:r>
        <w:rPr>
          <w:color w:val="auto"/>
          <w:highlight w:val="none"/>
        </w:rPr>
        <w:instrText xml:space="preserve"> PAGEREF _Toc16187 \h </w:instrText>
      </w:r>
      <w:r>
        <w:rPr>
          <w:color w:val="auto"/>
          <w:highlight w:val="none"/>
        </w:rPr>
        <w:fldChar w:fldCharType="separate"/>
      </w:r>
      <w:r>
        <w:rPr>
          <w:color w:val="auto"/>
          <w:highlight w:val="none"/>
        </w:rPr>
        <w:t>26</w:t>
      </w:r>
      <w:r>
        <w:rPr>
          <w:color w:val="auto"/>
          <w:highlight w:val="none"/>
        </w:rPr>
        <w:fldChar w:fldCharType="end"/>
      </w:r>
      <w:r>
        <w:rPr>
          <w:rFonts w:hint="eastAsia" w:asciiTheme="majorEastAsia" w:hAnsiTheme="majorEastAsia" w:eastAsiaTheme="majorEastAsia"/>
          <w:color w:val="auto"/>
          <w:highlight w:val="none"/>
        </w:rPr>
        <w:fldChar w:fldCharType="end"/>
      </w:r>
    </w:p>
    <w:p w14:paraId="71E1BEEC">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_Toc7990 </w:instrText>
      </w:r>
      <w:r>
        <w:rPr>
          <w:rFonts w:hint="eastAsia" w:asciiTheme="majorEastAsia" w:hAnsiTheme="majorEastAsia" w:eastAsiaTheme="majorEastAsia"/>
          <w:color w:val="auto"/>
          <w:highlight w:val="none"/>
        </w:rPr>
        <w:fldChar w:fldCharType="separate"/>
      </w:r>
      <w:r>
        <w:rPr>
          <w:rFonts w:hint="eastAsia" w:ascii="宋体" w:hAnsi="宋体" w:cs="宋体"/>
          <w:color w:val="auto"/>
          <w:szCs w:val="28"/>
          <w:highlight w:val="none"/>
        </w:rPr>
        <w:t>七、异议</w:t>
      </w:r>
      <w:r>
        <w:rPr>
          <w:color w:val="auto"/>
          <w:highlight w:val="none"/>
        </w:rPr>
        <w:tab/>
      </w:r>
      <w:r>
        <w:rPr>
          <w:color w:val="auto"/>
          <w:highlight w:val="none"/>
        </w:rPr>
        <w:fldChar w:fldCharType="begin"/>
      </w:r>
      <w:r>
        <w:rPr>
          <w:color w:val="auto"/>
          <w:highlight w:val="none"/>
        </w:rPr>
        <w:instrText xml:space="preserve"> PAGEREF _Toc7990 \h </w:instrText>
      </w:r>
      <w:r>
        <w:rPr>
          <w:color w:val="auto"/>
          <w:highlight w:val="none"/>
        </w:rPr>
        <w:fldChar w:fldCharType="separate"/>
      </w:r>
      <w:r>
        <w:rPr>
          <w:color w:val="auto"/>
          <w:highlight w:val="none"/>
        </w:rPr>
        <w:t>27</w:t>
      </w:r>
      <w:r>
        <w:rPr>
          <w:color w:val="auto"/>
          <w:highlight w:val="none"/>
        </w:rPr>
        <w:fldChar w:fldCharType="end"/>
      </w:r>
      <w:r>
        <w:rPr>
          <w:rFonts w:hint="eastAsia" w:asciiTheme="majorEastAsia" w:hAnsiTheme="majorEastAsia" w:eastAsiaTheme="majorEastAsia"/>
          <w:color w:val="auto"/>
          <w:highlight w:val="none"/>
        </w:rPr>
        <w:fldChar w:fldCharType="end"/>
      </w:r>
    </w:p>
    <w:p w14:paraId="4E6AC7F4">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_Toc17665 </w:instrText>
      </w:r>
      <w:r>
        <w:rPr>
          <w:rFonts w:hint="eastAsia" w:asciiTheme="majorEastAsia" w:hAnsiTheme="majorEastAsia" w:eastAsiaTheme="majorEastAsia"/>
          <w:color w:val="auto"/>
          <w:highlight w:val="none"/>
        </w:rPr>
        <w:fldChar w:fldCharType="separate"/>
      </w:r>
      <w:r>
        <w:rPr>
          <w:rFonts w:hint="eastAsia" w:ascii="宋体" w:hAnsi="宋体" w:cs="宋体"/>
          <w:color w:val="auto"/>
          <w:szCs w:val="28"/>
          <w:highlight w:val="none"/>
        </w:rPr>
        <w:t>八、其他事项</w:t>
      </w:r>
      <w:r>
        <w:rPr>
          <w:color w:val="auto"/>
          <w:highlight w:val="none"/>
        </w:rPr>
        <w:tab/>
      </w:r>
      <w:r>
        <w:rPr>
          <w:color w:val="auto"/>
          <w:highlight w:val="none"/>
        </w:rPr>
        <w:fldChar w:fldCharType="begin"/>
      </w:r>
      <w:r>
        <w:rPr>
          <w:color w:val="auto"/>
          <w:highlight w:val="none"/>
        </w:rPr>
        <w:instrText xml:space="preserve"> PAGEREF _Toc17665 \h </w:instrText>
      </w:r>
      <w:r>
        <w:rPr>
          <w:color w:val="auto"/>
          <w:highlight w:val="none"/>
        </w:rPr>
        <w:fldChar w:fldCharType="separate"/>
      </w:r>
      <w:r>
        <w:rPr>
          <w:color w:val="auto"/>
          <w:highlight w:val="none"/>
        </w:rPr>
        <w:t>27</w:t>
      </w:r>
      <w:r>
        <w:rPr>
          <w:color w:val="auto"/>
          <w:highlight w:val="none"/>
        </w:rPr>
        <w:fldChar w:fldCharType="end"/>
      </w:r>
      <w:r>
        <w:rPr>
          <w:rFonts w:hint="eastAsia" w:asciiTheme="majorEastAsia" w:hAnsiTheme="majorEastAsia" w:eastAsiaTheme="majorEastAsia"/>
          <w:color w:val="auto"/>
          <w:highlight w:val="none"/>
        </w:rPr>
        <w:fldChar w:fldCharType="end"/>
      </w:r>
    </w:p>
    <w:p w14:paraId="476F8F6A">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_Toc17246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第三章招标内容及要求</w:t>
      </w:r>
      <w:r>
        <w:rPr>
          <w:color w:val="auto"/>
          <w:highlight w:val="none"/>
        </w:rPr>
        <w:tab/>
      </w:r>
      <w:r>
        <w:rPr>
          <w:color w:val="auto"/>
          <w:highlight w:val="none"/>
        </w:rPr>
        <w:fldChar w:fldCharType="begin"/>
      </w:r>
      <w:r>
        <w:rPr>
          <w:color w:val="auto"/>
          <w:highlight w:val="none"/>
        </w:rPr>
        <w:instrText xml:space="preserve"> PAGEREF _Toc17246 \h </w:instrText>
      </w:r>
      <w:r>
        <w:rPr>
          <w:color w:val="auto"/>
          <w:highlight w:val="none"/>
        </w:rPr>
        <w:fldChar w:fldCharType="separate"/>
      </w:r>
      <w:r>
        <w:rPr>
          <w:color w:val="auto"/>
          <w:highlight w:val="none"/>
        </w:rPr>
        <w:t>28</w:t>
      </w:r>
      <w:r>
        <w:rPr>
          <w:color w:val="auto"/>
          <w:highlight w:val="none"/>
        </w:rPr>
        <w:fldChar w:fldCharType="end"/>
      </w:r>
      <w:r>
        <w:rPr>
          <w:rFonts w:hint="eastAsia" w:asciiTheme="majorEastAsia" w:hAnsiTheme="majorEastAsia" w:eastAsiaTheme="majorEastAsia"/>
          <w:color w:val="auto"/>
          <w:highlight w:val="none"/>
        </w:rPr>
        <w:fldChar w:fldCharType="end"/>
      </w:r>
    </w:p>
    <w:p w14:paraId="2F8D26FB">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_Toc30270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一、项目概况</w:t>
      </w:r>
      <w:r>
        <w:rPr>
          <w:color w:val="auto"/>
          <w:highlight w:val="none"/>
        </w:rPr>
        <w:tab/>
      </w:r>
      <w:r>
        <w:rPr>
          <w:color w:val="auto"/>
          <w:highlight w:val="none"/>
        </w:rPr>
        <w:fldChar w:fldCharType="begin"/>
      </w:r>
      <w:r>
        <w:rPr>
          <w:color w:val="auto"/>
          <w:highlight w:val="none"/>
        </w:rPr>
        <w:instrText xml:space="preserve"> PAGEREF _Toc30270 \h </w:instrText>
      </w:r>
      <w:r>
        <w:rPr>
          <w:color w:val="auto"/>
          <w:highlight w:val="none"/>
        </w:rPr>
        <w:fldChar w:fldCharType="separate"/>
      </w:r>
      <w:r>
        <w:rPr>
          <w:color w:val="auto"/>
          <w:highlight w:val="none"/>
        </w:rPr>
        <w:t>28</w:t>
      </w:r>
      <w:r>
        <w:rPr>
          <w:color w:val="auto"/>
          <w:highlight w:val="none"/>
        </w:rPr>
        <w:fldChar w:fldCharType="end"/>
      </w:r>
      <w:r>
        <w:rPr>
          <w:rFonts w:hint="eastAsia" w:asciiTheme="majorEastAsia" w:hAnsiTheme="majorEastAsia" w:eastAsiaTheme="majorEastAsia"/>
          <w:color w:val="auto"/>
          <w:highlight w:val="none"/>
        </w:rPr>
        <w:fldChar w:fldCharType="end"/>
      </w:r>
    </w:p>
    <w:p w14:paraId="639A7B9E">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_Toc7207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二、技术及服务要求</w:t>
      </w:r>
      <w:r>
        <w:rPr>
          <w:color w:val="auto"/>
          <w:highlight w:val="none"/>
        </w:rPr>
        <w:tab/>
      </w:r>
      <w:r>
        <w:rPr>
          <w:color w:val="auto"/>
          <w:highlight w:val="none"/>
        </w:rPr>
        <w:fldChar w:fldCharType="begin"/>
      </w:r>
      <w:r>
        <w:rPr>
          <w:color w:val="auto"/>
          <w:highlight w:val="none"/>
        </w:rPr>
        <w:instrText xml:space="preserve"> PAGEREF _Toc7207 \h </w:instrText>
      </w:r>
      <w:r>
        <w:rPr>
          <w:color w:val="auto"/>
          <w:highlight w:val="none"/>
        </w:rPr>
        <w:fldChar w:fldCharType="separate"/>
      </w:r>
      <w:r>
        <w:rPr>
          <w:color w:val="auto"/>
          <w:highlight w:val="none"/>
        </w:rPr>
        <w:t>28</w:t>
      </w:r>
      <w:r>
        <w:rPr>
          <w:color w:val="auto"/>
          <w:highlight w:val="none"/>
        </w:rPr>
        <w:fldChar w:fldCharType="end"/>
      </w:r>
      <w:r>
        <w:rPr>
          <w:rFonts w:hint="eastAsia" w:asciiTheme="majorEastAsia" w:hAnsiTheme="majorEastAsia" w:eastAsiaTheme="majorEastAsia"/>
          <w:color w:val="auto"/>
          <w:highlight w:val="none"/>
        </w:rPr>
        <w:fldChar w:fldCharType="end"/>
      </w:r>
    </w:p>
    <w:p w14:paraId="6B4CF3D2">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_Toc21887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三、投标要求</w:t>
      </w:r>
      <w:r>
        <w:rPr>
          <w:color w:val="auto"/>
          <w:highlight w:val="none"/>
        </w:rPr>
        <w:tab/>
      </w:r>
      <w:r>
        <w:rPr>
          <w:color w:val="auto"/>
          <w:highlight w:val="none"/>
        </w:rPr>
        <w:fldChar w:fldCharType="begin"/>
      </w:r>
      <w:r>
        <w:rPr>
          <w:color w:val="auto"/>
          <w:highlight w:val="none"/>
        </w:rPr>
        <w:instrText xml:space="preserve"> PAGEREF _Toc21887 \h </w:instrText>
      </w:r>
      <w:r>
        <w:rPr>
          <w:color w:val="auto"/>
          <w:highlight w:val="none"/>
        </w:rPr>
        <w:fldChar w:fldCharType="separate"/>
      </w:r>
      <w:r>
        <w:rPr>
          <w:color w:val="auto"/>
          <w:highlight w:val="none"/>
        </w:rPr>
        <w:t>28</w:t>
      </w:r>
      <w:r>
        <w:rPr>
          <w:color w:val="auto"/>
          <w:highlight w:val="none"/>
        </w:rPr>
        <w:fldChar w:fldCharType="end"/>
      </w:r>
      <w:r>
        <w:rPr>
          <w:rFonts w:hint="eastAsia" w:asciiTheme="majorEastAsia" w:hAnsiTheme="majorEastAsia" w:eastAsiaTheme="majorEastAsia"/>
          <w:color w:val="auto"/>
          <w:highlight w:val="none"/>
        </w:rPr>
        <w:fldChar w:fldCharType="end"/>
      </w:r>
    </w:p>
    <w:p w14:paraId="7073A602">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_Toc13360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四、现场踏勘</w:t>
      </w:r>
      <w:r>
        <w:rPr>
          <w:color w:val="auto"/>
          <w:highlight w:val="none"/>
        </w:rPr>
        <w:tab/>
      </w:r>
      <w:r>
        <w:rPr>
          <w:color w:val="auto"/>
          <w:highlight w:val="none"/>
        </w:rPr>
        <w:fldChar w:fldCharType="begin"/>
      </w:r>
      <w:r>
        <w:rPr>
          <w:color w:val="auto"/>
          <w:highlight w:val="none"/>
        </w:rPr>
        <w:instrText xml:space="preserve"> PAGEREF _Toc13360 \h </w:instrText>
      </w:r>
      <w:r>
        <w:rPr>
          <w:color w:val="auto"/>
          <w:highlight w:val="none"/>
        </w:rPr>
        <w:fldChar w:fldCharType="separate"/>
      </w:r>
      <w:r>
        <w:rPr>
          <w:color w:val="auto"/>
          <w:highlight w:val="none"/>
        </w:rPr>
        <w:t>38</w:t>
      </w:r>
      <w:r>
        <w:rPr>
          <w:color w:val="auto"/>
          <w:highlight w:val="none"/>
        </w:rPr>
        <w:fldChar w:fldCharType="end"/>
      </w:r>
      <w:r>
        <w:rPr>
          <w:rFonts w:hint="eastAsia" w:asciiTheme="majorEastAsia" w:hAnsiTheme="majorEastAsia" w:eastAsiaTheme="majorEastAsia"/>
          <w:color w:val="auto"/>
          <w:highlight w:val="none"/>
        </w:rPr>
        <w:fldChar w:fldCharType="end"/>
      </w:r>
    </w:p>
    <w:p w14:paraId="20D57AA7">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_Toc5152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五</w:t>
      </w:r>
      <w:r>
        <w:rPr>
          <w:rFonts w:hint="eastAsia" w:ascii="宋体" w:hAnsi="宋体" w:eastAsia="宋体" w:cs="宋体"/>
          <w:bCs/>
          <w:color w:val="auto"/>
          <w:szCs w:val="24"/>
          <w:highlight w:val="none"/>
        </w:rPr>
        <w:t>、商务条件</w:t>
      </w:r>
      <w:r>
        <w:rPr>
          <w:color w:val="auto"/>
          <w:highlight w:val="none"/>
        </w:rPr>
        <w:tab/>
      </w:r>
      <w:r>
        <w:rPr>
          <w:color w:val="auto"/>
          <w:highlight w:val="none"/>
        </w:rPr>
        <w:fldChar w:fldCharType="begin"/>
      </w:r>
      <w:r>
        <w:rPr>
          <w:color w:val="auto"/>
          <w:highlight w:val="none"/>
        </w:rPr>
        <w:instrText xml:space="preserve"> PAGEREF _Toc5152 \h </w:instrText>
      </w:r>
      <w:r>
        <w:rPr>
          <w:color w:val="auto"/>
          <w:highlight w:val="none"/>
        </w:rPr>
        <w:fldChar w:fldCharType="separate"/>
      </w:r>
      <w:r>
        <w:rPr>
          <w:color w:val="auto"/>
          <w:highlight w:val="none"/>
        </w:rPr>
        <w:t>38</w:t>
      </w:r>
      <w:r>
        <w:rPr>
          <w:color w:val="auto"/>
          <w:highlight w:val="none"/>
        </w:rPr>
        <w:fldChar w:fldCharType="end"/>
      </w:r>
      <w:r>
        <w:rPr>
          <w:rFonts w:hint="eastAsia" w:asciiTheme="majorEastAsia" w:hAnsiTheme="majorEastAsia" w:eastAsiaTheme="majorEastAsia"/>
          <w:color w:val="auto"/>
          <w:highlight w:val="none"/>
        </w:rPr>
        <w:fldChar w:fldCharType="end"/>
      </w:r>
    </w:p>
    <w:p w14:paraId="6BA0D0E0">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_Toc15575 </w:instrText>
      </w:r>
      <w:r>
        <w:rPr>
          <w:rFonts w:hint="eastAsia" w:asciiTheme="majorEastAsia" w:hAnsiTheme="majorEastAsia" w:eastAsiaTheme="majorEastAsia"/>
          <w:color w:val="auto"/>
          <w:highlight w:val="none"/>
        </w:rPr>
        <w:fldChar w:fldCharType="separate"/>
      </w:r>
      <w:r>
        <w:rPr>
          <w:rFonts w:hint="eastAsia" w:ascii="宋体" w:hAnsi="宋体" w:cs="宋体"/>
          <w:bCs/>
          <w:color w:val="auto"/>
          <w:szCs w:val="24"/>
          <w:highlight w:val="none"/>
          <w:lang w:val="en-US" w:eastAsia="zh-CN"/>
        </w:rPr>
        <w:t>六</w:t>
      </w:r>
      <w:r>
        <w:rPr>
          <w:rFonts w:hint="eastAsia" w:ascii="宋体" w:hAnsi="宋体" w:eastAsia="宋体" w:cs="宋体"/>
          <w:bCs/>
          <w:color w:val="auto"/>
          <w:szCs w:val="24"/>
          <w:highlight w:val="none"/>
        </w:rPr>
        <w:t>、其他事项</w:t>
      </w:r>
      <w:r>
        <w:rPr>
          <w:color w:val="auto"/>
          <w:highlight w:val="none"/>
        </w:rPr>
        <w:tab/>
      </w:r>
      <w:r>
        <w:rPr>
          <w:color w:val="auto"/>
          <w:highlight w:val="none"/>
        </w:rPr>
        <w:fldChar w:fldCharType="begin"/>
      </w:r>
      <w:r>
        <w:rPr>
          <w:color w:val="auto"/>
          <w:highlight w:val="none"/>
        </w:rPr>
        <w:instrText xml:space="preserve"> PAGEREF _Toc15575 \h </w:instrText>
      </w:r>
      <w:r>
        <w:rPr>
          <w:color w:val="auto"/>
          <w:highlight w:val="none"/>
        </w:rPr>
        <w:fldChar w:fldCharType="separate"/>
      </w:r>
      <w:r>
        <w:rPr>
          <w:color w:val="auto"/>
          <w:highlight w:val="none"/>
        </w:rPr>
        <w:t>41</w:t>
      </w:r>
      <w:r>
        <w:rPr>
          <w:color w:val="auto"/>
          <w:highlight w:val="none"/>
        </w:rPr>
        <w:fldChar w:fldCharType="end"/>
      </w:r>
      <w:r>
        <w:rPr>
          <w:rFonts w:hint="eastAsia" w:asciiTheme="majorEastAsia" w:hAnsiTheme="majorEastAsia" w:eastAsiaTheme="majorEastAsia"/>
          <w:color w:val="auto"/>
          <w:highlight w:val="none"/>
        </w:rPr>
        <w:fldChar w:fldCharType="end"/>
      </w:r>
    </w:p>
    <w:p w14:paraId="129449AF">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_Toc12768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第四章  采购合同参考文本</w:t>
      </w:r>
      <w:r>
        <w:rPr>
          <w:color w:val="auto"/>
          <w:highlight w:val="none"/>
        </w:rPr>
        <w:tab/>
      </w:r>
      <w:r>
        <w:rPr>
          <w:color w:val="auto"/>
          <w:highlight w:val="none"/>
        </w:rPr>
        <w:fldChar w:fldCharType="begin"/>
      </w:r>
      <w:r>
        <w:rPr>
          <w:color w:val="auto"/>
          <w:highlight w:val="none"/>
        </w:rPr>
        <w:instrText xml:space="preserve"> PAGEREF _Toc12768 \h </w:instrText>
      </w:r>
      <w:r>
        <w:rPr>
          <w:color w:val="auto"/>
          <w:highlight w:val="none"/>
        </w:rPr>
        <w:fldChar w:fldCharType="separate"/>
      </w:r>
      <w:r>
        <w:rPr>
          <w:color w:val="auto"/>
          <w:highlight w:val="none"/>
        </w:rPr>
        <w:t>41</w:t>
      </w:r>
      <w:r>
        <w:rPr>
          <w:color w:val="auto"/>
          <w:highlight w:val="none"/>
        </w:rPr>
        <w:fldChar w:fldCharType="end"/>
      </w:r>
      <w:r>
        <w:rPr>
          <w:rFonts w:hint="eastAsia" w:asciiTheme="majorEastAsia" w:hAnsiTheme="majorEastAsia" w:eastAsiaTheme="majorEastAsia"/>
          <w:color w:val="auto"/>
          <w:highlight w:val="none"/>
        </w:rPr>
        <w:fldChar w:fldCharType="end"/>
      </w:r>
    </w:p>
    <w:p w14:paraId="33DB8B9C">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_Toc30596 </w:instrText>
      </w:r>
      <w:r>
        <w:rPr>
          <w:rFonts w:hint="eastAsia" w:asciiTheme="majorEastAsia" w:hAnsiTheme="majorEastAsia" w:eastAsiaTheme="majorEastAsia"/>
          <w:color w:val="auto"/>
          <w:highlight w:val="none"/>
        </w:rPr>
        <w:fldChar w:fldCharType="separate"/>
      </w:r>
      <w:r>
        <w:rPr>
          <w:rFonts w:hint="eastAsia" w:asciiTheme="majorEastAsia" w:hAnsiTheme="majorEastAsia" w:eastAsiaTheme="majorEastAsia"/>
          <w:color w:val="auto"/>
          <w:szCs w:val="28"/>
          <w:highlight w:val="none"/>
        </w:rPr>
        <w:t>第五章投标文件格式</w:t>
      </w:r>
      <w:r>
        <w:rPr>
          <w:color w:val="auto"/>
          <w:highlight w:val="none"/>
        </w:rPr>
        <w:tab/>
      </w:r>
      <w:r>
        <w:rPr>
          <w:color w:val="auto"/>
          <w:highlight w:val="none"/>
        </w:rPr>
        <w:fldChar w:fldCharType="begin"/>
      </w:r>
      <w:r>
        <w:rPr>
          <w:color w:val="auto"/>
          <w:highlight w:val="none"/>
        </w:rPr>
        <w:instrText xml:space="preserve"> PAGEREF _Toc30596 \h </w:instrText>
      </w:r>
      <w:r>
        <w:rPr>
          <w:color w:val="auto"/>
          <w:highlight w:val="none"/>
        </w:rPr>
        <w:fldChar w:fldCharType="separate"/>
      </w:r>
      <w:r>
        <w:rPr>
          <w:color w:val="auto"/>
          <w:highlight w:val="none"/>
        </w:rPr>
        <w:t>52</w:t>
      </w:r>
      <w:r>
        <w:rPr>
          <w:color w:val="auto"/>
          <w:highlight w:val="none"/>
        </w:rPr>
        <w:fldChar w:fldCharType="end"/>
      </w:r>
      <w:r>
        <w:rPr>
          <w:rFonts w:hint="eastAsia" w:asciiTheme="majorEastAsia" w:hAnsiTheme="majorEastAsia" w:eastAsiaTheme="majorEastAsia"/>
          <w:color w:val="auto"/>
          <w:highlight w:val="none"/>
        </w:rPr>
        <w:fldChar w:fldCharType="end"/>
      </w:r>
    </w:p>
    <w:p w14:paraId="3581C5FB">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_Toc17740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28"/>
          <w:highlight w:val="none"/>
        </w:rPr>
        <w:t>资格性及符合性审查表</w:t>
      </w:r>
      <w:r>
        <w:rPr>
          <w:color w:val="auto"/>
          <w:highlight w:val="none"/>
        </w:rPr>
        <w:tab/>
      </w:r>
      <w:r>
        <w:rPr>
          <w:color w:val="auto"/>
          <w:highlight w:val="none"/>
        </w:rPr>
        <w:fldChar w:fldCharType="begin"/>
      </w:r>
      <w:r>
        <w:rPr>
          <w:color w:val="auto"/>
          <w:highlight w:val="none"/>
        </w:rPr>
        <w:instrText xml:space="preserve"> PAGEREF _Toc17740 \h </w:instrText>
      </w:r>
      <w:r>
        <w:rPr>
          <w:color w:val="auto"/>
          <w:highlight w:val="none"/>
        </w:rPr>
        <w:fldChar w:fldCharType="separate"/>
      </w:r>
      <w:r>
        <w:rPr>
          <w:color w:val="auto"/>
          <w:highlight w:val="none"/>
        </w:rPr>
        <w:t>55</w:t>
      </w:r>
      <w:r>
        <w:rPr>
          <w:color w:val="auto"/>
          <w:highlight w:val="none"/>
        </w:rPr>
        <w:fldChar w:fldCharType="end"/>
      </w:r>
      <w:r>
        <w:rPr>
          <w:rFonts w:hint="eastAsia" w:asciiTheme="majorEastAsia" w:hAnsiTheme="majorEastAsia" w:eastAsiaTheme="majorEastAsia"/>
          <w:color w:val="auto"/>
          <w:highlight w:val="none"/>
        </w:rPr>
        <w:fldChar w:fldCharType="end"/>
      </w:r>
    </w:p>
    <w:p w14:paraId="0DC5B8B6">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_Toc6407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28"/>
          <w:highlight w:val="none"/>
        </w:rPr>
        <w:t>技术商务评分响应表</w:t>
      </w:r>
      <w:r>
        <w:rPr>
          <w:color w:val="auto"/>
          <w:highlight w:val="none"/>
        </w:rPr>
        <w:tab/>
      </w:r>
      <w:r>
        <w:rPr>
          <w:color w:val="auto"/>
          <w:highlight w:val="none"/>
        </w:rPr>
        <w:fldChar w:fldCharType="begin"/>
      </w:r>
      <w:r>
        <w:rPr>
          <w:color w:val="auto"/>
          <w:highlight w:val="none"/>
        </w:rPr>
        <w:instrText xml:space="preserve"> PAGEREF _Toc6407 \h </w:instrText>
      </w:r>
      <w:r>
        <w:rPr>
          <w:color w:val="auto"/>
          <w:highlight w:val="none"/>
        </w:rPr>
        <w:fldChar w:fldCharType="separate"/>
      </w:r>
      <w:r>
        <w:rPr>
          <w:color w:val="auto"/>
          <w:highlight w:val="none"/>
        </w:rPr>
        <w:t>56</w:t>
      </w:r>
      <w:r>
        <w:rPr>
          <w:color w:val="auto"/>
          <w:highlight w:val="none"/>
        </w:rPr>
        <w:fldChar w:fldCharType="end"/>
      </w:r>
      <w:r>
        <w:rPr>
          <w:rFonts w:hint="eastAsia" w:asciiTheme="majorEastAsia" w:hAnsiTheme="majorEastAsia" w:eastAsiaTheme="majorEastAsia"/>
          <w:color w:val="auto"/>
          <w:highlight w:val="none"/>
        </w:rPr>
        <w:fldChar w:fldCharType="end"/>
      </w:r>
    </w:p>
    <w:p w14:paraId="45E40816">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_Toc23313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投 标 书</w:t>
      </w:r>
      <w:r>
        <w:rPr>
          <w:color w:val="auto"/>
          <w:highlight w:val="none"/>
        </w:rPr>
        <w:tab/>
      </w:r>
      <w:r>
        <w:rPr>
          <w:color w:val="auto"/>
          <w:highlight w:val="none"/>
        </w:rPr>
        <w:fldChar w:fldCharType="begin"/>
      </w:r>
      <w:r>
        <w:rPr>
          <w:color w:val="auto"/>
          <w:highlight w:val="none"/>
        </w:rPr>
        <w:instrText xml:space="preserve"> PAGEREF _Toc23313 \h </w:instrText>
      </w:r>
      <w:r>
        <w:rPr>
          <w:color w:val="auto"/>
          <w:highlight w:val="none"/>
        </w:rPr>
        <w:fldChar w:fldCharType="separate"/>
      </w:r>
      <w:r>
        <w:rPr>
          <w:color w:val="auto"/>
          <w:highlight w:val="none"/>
        </w:rPr>
        <w:t>57</w:t>
      </w:r>
      <w:r>
        <w:rPr>
          <w:color w:val="auto"/>
          <w:highlight w:val="none"/>
        </w:rPr>
        <w:fldChar w:fldCharType="end"/>
      </w:r>
      <w:r>
        <w:rPr>
          <w:rFonts w:hint="eastAsia" w:asciiTheme="majorEastAsia" w:hAnsiTheme="majorEastAsia" w:eastAsiaTheme="majorEastAsia"/>
          <w:color w:val="auto"/>
          <w:highlight w:val="none"/>
        </w:rPr>
        <w:fldChar w:fldCharType="end"/>
      </w:r>
    </w:p>
    <w:p w14:paraId="0BF7B4DC">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_Toc16376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开标一览表</w:t>
      </w:r>
      <w:r>
        <w:rPr>
          <w:color w:val="auto"/>
          <w:highlight w:val="none"/>
        </w:rPr>
        <w:tab/>
      </w:r>
      <w:r>
        <w:rPr>
          <w:color w:val="auto"/>
          <w:highlight w:val="none"/>
        </w:rPr>
        <w:fldChar w:fldCharType="begin"/>
      </w:r>
      <w:r>
        <w:rPr>
          <w:color w:val="auto"/>
          <w:highlight w:val="none"/>
        </w:rPr>
        <w:instrText xml:space="preserve"> PAGEREF _Toc16376 \h </w:instrText>
      </w:r>
      <w:r>
        <w:rPr>
          <w:color w:val="auto"/>
          <w:highlight w:val="none"/>
        </w:rPr>
        <w:fldChar w:fldCharType="separate"/>
      </w:r>
      <w:r>
        <w:rPr>
          <w:color w:val="auto"/>
          <w:highlight w:val="none"/>
        </w:rPr>
        <w:t>59</w:t>
      </w:r>
      <w:r>
        <w:rPr>
          <w:color w:val="auto"/>
          <w:highlight w:val="none"/>
        </w:rPr>
        <w:fldChar w:fldCharType="end"/>
      </w:r>
      <w:r>
        <w:rPr>
          <w:rFonts w:hint="eastAsia" w:asciiTheme="majorEastAsia" w:hAnsiTheme="majorEastAsia" w:eastAsiaTheme="majorEastAsia"/>
          <w:color w:val="auto"/>
          <w:highlight w:val="none"/>
        </w:rPr>
        <w:fldChar w:fldCharType="end"/>
      </w:r>
    </w:p>
    <w:p w14:paraId="0260F1EC">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_Toc10276 </w:instrText>
      </w:r>
      <w:r>
        <w:rPr>
          <w:rFonts w:hint="eastAsia" w:asciiTheme="majorEastAsia" w:hAnsiTheme="majorEastAsia" w:eastAsiaTheme="majorEastAsia"/>
          <w:color w:val="auto"/>
          <w:highlight w:val="none"/>
        </w:rPr>
        <w:fldChar w:fldCharType="separate"/>
      </w:r>
      <w:r>
        <w:rPr>
          <w:rFonts w:hint="eastAsia" w:ascii="宋体" w:hAnsi="宋体" w:cs="宋体"/>
          <w:color w:val="auto"/>
          <w:szCs w:val="30"/>
          <w:highlight w:val="none"/>
        </w:rPr>
        <w:t>费用明细表</w:t>
      </w:r>
      <w:r>
        <w:rPr>
          <w:color w:val="auto"/>
          <w:highlight w:val="none"/>
        </w:rPr>
        <w:tab/>
      </w:r>
      <w:r>
        <w:rPr>
          <w:color w:val="auto"/>
          <w:highlight w:val="none"/>
        </w:rPr>
        <w:fldChar w:fldCharType="begin"/>
      </w:r>
      <w:r>
        <w:rPr>
          <w:color w:val="auto"/>
          <w:highlight w:val="none"/>
        </w:rPr>
        <w:instrText xml:space="preserve"> PAGEREF _Toc10276 \h </w:instrText>
      </w:r>
      <w:r>
        <w:rPr>
          <w:color w:val="auto"/>
          <w:highlight w:val="none"/>
        </w:rPr>
        <w:fldChar w:fldCharType="separate"/>
      </w:r>
      <w:r>
        <w:rPr>
          <w:color w:val="auto"/>
          <w:highlight w:val="none"/>
        </w:rPr>
        <w:t>60</w:t>
      </w:r>
      <w:r>
        <w:rPr>
          <w:color w:val="auto"/>
          <w:highlight w:val="none"/>
        </w:rPr>
        <w:fldChar w:fldCharType="end"/>
      </w:r>
      <w:r>
        <w:rPr>
          <w:rFonts w:hint="eastAsia" w:asciiTheme="majorEastAsia" w:hAnsiTheme="majorEastAsia" w:eastAsiaTheme="majorEastAsia"/>
          <w:color w:val="auto"/>
          <w:highlight w:val="none"/>
        </w:rPr>
        <w:fldChar w:fldCharType="end"/>
      </w:r>
    </w:p>
    <w:p w14:paraId="2D80BD72">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_Toc9007 </w:instrText>
      </w:r>
      <w:r>
        <w:rPr>
          <w:rFonts w:hint="eastAsia" w:asciiTheme="majorEastAsia" w:hAnsiTheme="majorEastAsia" w:eastAsiaTheme="majorEastAsia"/>
          <w:color w:val="auto"/>
          <w:highlight w:val="none"/>
        </w:rPr>
        <w:fldChar w:fldCharType="separate"/>
      </w:r>
      <w:r>
        <w:rPr>
          <w:rFonts w:hint="eastAsia" w:ascii="宋体" w:hAnsi="宋体" w:cs="宋体"/>
          <w:color w:val="auto"/>
          <w:szCs w:val="30"/>
          <w:highlight w:val="none"/>
        </w:rPr>
        <w:t>服务方案</w:t>
      </w:r>
      <w:r>
        <w:rPr>
          <w:color w:val="auto"/>
          <w:highlight w:val="none"/>
        </w:rPr>
        <w:tab/>
      </w:r>
      <w:r>
        <w:rPr>
          <w:color w:val="auto"/>
          <w:highlight w:val="none"/>
        </w:rPr>
        <w:fldChar w:fldCharType="begin"/>
      </w:r>
      <w:r>
        <w:rPr>
          <w:color w:val="auto"/>
          <w:highlight w:val="none"/>
        </w:rPr>
        <w:instrText xml:space="preserve"> PAGEREF _Toc9007 \h </w:instrText>
      </w:r>
      <w:r>
        <w:rPr>
          <w:color w:val="auto"/>
          <w:highlight w:val="none"/>
        </w:rPr>
        <w:fldChar w:fldCharType="separate"/>
      </w:r>
      <w:r>
        <w:rPr>
          <w:color w:val="auto"/>
          <w:highlight w:val="none"/>
        </w:rPr>
        <w:t>61</w:t>
      </w:r>
      <w:r>
        <w:rPr>
          <w:color w:val="auto"/>
          <w:highlight w:val="none"/>
        </w:rPr>
        <w:fldChar w:fldCharType="end"/>
      </w:r>
      <w:r>
        <w:rPr>
          <w:rFonts w:hint="eastAsia" w:asciiTheme="majorEastAsia" w:hAnsiTheme="majorEastAsia" w:eastAsiaTheme="majorEastAsia"/>
          <w:color w:val="auto"/>
          <w:highlight w:val="none"/>
        </w:rPr>
        <w:fldChar w:fldCharType="end"/>
      </w:r>
    </w:p>
    <w:p w14:paraId="0AAC7E2E">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_Toc3924 </w:instrText>
      </w:r>
      <w:r>
        <w:rPr>
          <w:rFonts w:hint="eastAsia" w:asciiTheme="majorEastAsia" w:hAnsiTheme="majorEastAsia" w:eastAsiaTheme="majorEastAsia"/>
          <w:color w:val="auto"/>
          <w:highlight w:val="none"/>
        </w:rPr>
        <w:fldChar w:fldCharType="separate"/>
      </w:r>
      <w:r>
        <w:rPr>
          <w:rFonts w:hint="eastAsia" w:ascii="宋体" w:hAnsi="宋体" w:eastAsia="宋体"/>
          <w:color w:val="auto"/>
          <w:szCs w:val="28"/>
          <w:highlight w:val="none"/>
        </w:rPr>
        <w:t>技术服务</w:t>
      </w:r>
      <w:r>
        <w:rPr>
          <w:rFonts w:hint="eastAsia" w:ascii="宋体" w:hAnsi="宋体" w:eastAsia="宋体"/>
          <w:color w:val="auto"/>
          <w:szCs w:val="28"/>
          <w:highlight w:val="none"/>
          <w:lang w:val="en-US" w:eastAsia="zh-CN"/>
        </w:rPr>
        <w:t>及</w:t>
      </w:r>
      <w:r>
        <w:rPr>
          <w:rFonts w:hint="eastAsia" w:ascii="宋体" w:hAnsi="宋体" w:cs="宋体"/>
          <w:color w:val="auto"/>
          <w:szCs w:val="30"/>
          <w:highlight w:val="none"/>
        </w:rPr>
        <w:t>商务偏离表</w:t>
      </w:r>
      <w:r>
        <w:rPr>
          <w:color w:val="auto"/>
          <w:highlight w:val="none"/>
        </w:rPr>
        <w:tab/>
      </w:r>
      <w:r>
        <w:rPr>
          <w:color w:val="auto"/>
          <w:highlight w:val="none"/>
        </w:rPr>
        <w:fldChar w:fldCharType="begin"/>
      </w:r>
      <w:r>
        <w:rPr>
          <w:color w:val="auto"/>
          <w:highlight w:val="none"/>
        </w:rPr>
        <w:instrText xml:space="preserve"> PAGEREF _Toc3924 \h </w:instrText>
      </w:r>
      <w:r>
        <w:rPr>
          <w:color w:val="auto"/>
          <w:highlight w:val="none"/>
        </w:rPr>
        <w:fldChar w:fldCharType="separate"/>
      </w:r>
      <w:r>
        <w:rPr>
          <w:color w:val="auto"/>
          <w:highlight w:val="none"/>
        </w:rPr>
        <w:t>62</w:t>
      </w:r>
      <w:r>
        <w:rPr>
          <w:color w:val="auto"/>
          <w:highlight w:val="none"/>
        </w:rPr>
        <w:fldChar w:fldCharType="end"/>
      </w:r>
      <w:r>
        <w:rPr>
          <w:rFonts w:hint="eastAsia" w:asciiTheme="majorEastAsia" w:hAnsiTheme="majorEastAsia" w:eastAsiaTheme="majorEastAsia"/>
          <w:color w:val="auto"/>
          <w:highlight w:val="none"/>
        </w:rPr>
        <w:fldChar w:fldCharType="end"/>
      </w:r>
    </w:p>
    <w:p w14:paraId="71CB0879">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_Toc13952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拟投入本项目的人员配备一览表</w:t>
      </w:r>
      <w:r>
        <w:rPr>
          <w:color w:val="auto"/>
          <w:highlight w:val="none"/>
        </w:rPr>
        <w:tab/>
      </w:r>
      <w:r>
        <w:rPr>
          <w:color w:val="auto"/>
          <w:highlight w:val="none"/>
        </w:rPr>
        <w:fldChar w:fldCharType="begin"/>
      </w:r>
      <w:r>
        <w:rPr>
          <w:color w:val="auto"/>
          <w:highlight w:val="none"/>
        </w:rPr>
        <w:instrText xml:space="preserve"> PAGEREF _Toc13952 \h </w:instrText>
      </w:r>
      <w:r>
        <w:rPr>
          <w:color w:val="auto"/>
          <w:highlight w:val="none"/>
        </w:rPr>
        <w:fldChar w:fldCharType="separate"/>
      </w:r>
      <w:r>
        <w:rPr>
          <w:color w:val="auto"/>
          <w:highlight w:val="none"/>
        </w:rPr>
        <w:t>63</w:t>
      </w:r>
      <w:r>
        <w:rPr>
          <w:color w:val="auto"/>
          <w:highlight w:val="none"/>
        </w:rPr>
        <w:fldChar w:fldCharType="end"/>
      </w:r>
      <w:r>
        <w:rPr>
          <w:rFonts w:hint="eastAsia" w:asciiTheme="majorEastAsia" w:hAnsiTheme="majorEastAsia" w:eastAsiaTheme="majorEastAsia"/>
          <w:color w:val="auto"/>
          <w:highlight w:val="none"/>
        </w:rPr>
        <w:fldChar w:fldCharType="end"/>
      </w:r>
    </w:p>
    <w:p w14:paraId="6E344EF9">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_Toc11779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拟投入本项目的设备情况表</w:t>
      </w:r>
      <w:r>
        <w:rPr>
          <w:color w:val="auto"/>
          <w:highlight w:val="none"/>
        </w:rPr>
        <w:tab/>
      </w:r>
      <w:r>
        <w:rPr>
          <w:color w:val="auto"/>
          <w:highlight w:val="none"/>
        </w:rPr>
        <w:fldChar w:fldCharType="begin"/>
      </w:r>
      <w:r>
        <w:rPr>
          <w:color w:val="auto"/>
          <w:highlight w:val="none"/>
        </w:rPr>
        <w:instrText xml:space="preserve"> PAGEREF _Toc11779 \h </w:instrText>
      </w:r>
      <w:r>
        <w:rPr>
          <w:color w:val="auto"/>
          <w:highlight w:val="none"/>
        </w:rPr>
        <w:fldChar w:fldCharType="separate"/>
      </w:r>
      <w:r>
        <w:rPr>
          <w:color w:val="auto"/>
          <w:highlight w:val="none"/>
        </w:rPr>
        <w:t>64</w:t>
      </w:r>
      <w:r>
        <w:rPr>
          <w:color w:val="auto"/>
          <w:highlight w:val="none"/>
        </w:rPr>
        <w:fldChar w:fldCharType="end"/>
      </w:r>
      <w:r>
        <w:rPr>
          <w:rFonts w:hint="eastAsia" w:asciiTheme="majorEastAsia" w:hAnsiTheme="majorEastAsia" w:eastAsiaTheme="majorEastAsia"/>
          <w:color w:val="auto"/>
          <w:highlight w:val="none"/>
        </w:rPr>
        <w:fldChar w:fldCharType="end"/>
      </w:r>
    </w:p>
    <w:p w14:paraId="42DE9BC0">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_Toc10964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项目服务经验一览表</w:t>
      </w:r>
      <w:r>
        <w:rPr>
          <w:color w:val="auto"/>
          <w:highlight w:val="none"/>
        </w:rPr>
        <w:tab/>
      </w:r>
      <w:r>
        <w:rPr>
          <w:color w:val="auto"/>
          <w:highlight w:val="none"/>
        </w:rPr>
        <w:fldChar w:fldCharType="begin"/>
      </w:r>
      <w:r>
        <w:rPr>
          <w:color w:val="auto"/>
          <w:highlight w:val="none"/>
        </w:rPr>
        <w:instrText xml:space="preserve"> PAGEREF _Toc10964 \h </w:instrText>
      </w:r>
      <w:r>
        <w:rPr>
          <w:color w:val="auto"/>
          <w:highlight w:val="none"/>
        </w:rPr>
        <w:fldChar w:fldCharType="separate"/>
      </w:r>
      <w:r>
        <w:rPr>
          <w:color w:val="auto"/>
          <w:highlight w:val="none"/>
        </w:rPr>
        <w:t>66</w:t>
      </w:r>
      <w:r>
        <w:rPr>
          <w:color w:val="auto"/>
          <w:highlight w:val="none"/>
        </w:rPr>
        <w:fldChar w:fldCharType="end"/>
      </w:r>
      <w:r>
        <w:rPr>
          <w:rFonts w:hint="eastAsia" w:asciiTheme="majorEastAsia" w:hAnsiTheme="majorEastAsia" w:eastAsiaTheme="majorEastAsia"/>
          <w:color w:val="auto"/>
          <w:highlight w:val="none"/>
        </w:rPr>
        <w:fldChar w:fldCharType="end"/>
      </w:r>
    </w:p>
    <w:p w14:paraId="244FDECD">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_Toc19206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投标人的资格证明文件</w:t>
      </w:r>
      <w:r>
        <w:rPr>
          <w:color w:val="auto"/>
          <w:highlight w:val="none"/>
        </w:rPr>
        <w:tab/>
      </w:r>
      <w:r>
        <w:rPr>
          <w:color w:val="auto"/>
          <w:highlight w:val="none"/>
        </w:rPr>
        <w:fldChar w:fldCharType="begin"/>
      </w:r>
      <w:r>
        <w:rPr>
          <w:color w:val="auto"/>
          <w:highlight w:val="none"/>
        </w:rPr>
        <w:instrText xml:space="preserve"> PAGEREF _Toc19206 \h </w:instrText>
      </w:r>
      <w:r>
        <w:rPr>
          <w:color w:val="auto"/>
          <w:highlight w:val="none"/>
        </w:rPr>
        <w:fldChar w:fldCharType="separate"/>
      </w:r>
      <w:r>
        <w:rPr>
          <w:color w:val="auto"/>
          <w:highlight w:val="none"/>
        </w:rPr>
        <w:t>67</w:t>
      </w:r>
      <w:r>
        <w:rPr>
          <w:color w:val="auto"/>
          <w:highlight w:val="none"/>
        </w:rPr>
        <w:fldChar w:fldCharType="end"/>
      </w:r>
      <w:r>
        <w:rPr>
          <w:rFonts w:hint="eastAsia" w:asciiTheme="majorEastAsia" w:hAnsiTheme="majorEastAsia" w:eastAsiaTheme="majorEastAsia"/>
          <w:color w:val="auto"/>
          <w:highlight w:val="none"/>
        </w:rPr>
        <w:fldChar w:fldCharType="end"/>
      </w:r>
    </w:p>
    <w:p w14:paraId="5F5A96C3">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_Toc9324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投标人的资格声明</w:t>
      </w:r>
      <w:r>
        <w:rPr>
          <w:color w:val="auto"/>
          <w:highlight w:val="none"/>
        </w:rPr>
        <w:tab/>
      </w:r>
      <w:r>
        <w:rPr>
          <w:color w:val="auto"/>
          <w:highlight w:val="none"/>
        </w:rPr>
        <w:fldChar w:fldCharType="begin"/>
      </w:r>
      <w:r>
        <w:rPr>
          <w:color w:val="auto"/>
          <w:highlight w:val="none"/>
        </w:rPr>
        <w:instrText xml:space="preserve"> PAGEREF _Toc9324 \h </w:instrText>
      </w:r>
      <w:r>
        <w:rPr>
          <w:color w:val="auto"/>
          <w:highlight w:val="none"/>
        </w:rPr>
        <w:fldChar w:fldCharType="separate"/>
      </w:r>
      <w:r>
        <w:rPr>
          <w:color w:val="auto"/>
          <w:highlight w:val="none"/>
        </w:rPr>
        <w:t>68</w:t>
      </w:r>
      <w:r>
        <w:rPr>
          <w:color w:val="auto"/>
          <w:highlight w:val="none"/>
        </w:rPr>
        <w:fldChar w:fldCharType="end"/>
      </w:r>
      <w:r>
        <w:rPr>
          <w:rFonts w:hint="eastAsia" w:asciiTheme="majorEastAsia" w:hAnsiTheme="majorEastAsia" w:eastAsiaTheme="majorEastAsia"/>
          <w:color w:val="auto"/>
          <w:highlight w:val="none"/>
        </w:rPr>
        <w:fldChar w:fldCharType="end"/>
      </w:r>
    </w:p>
    <w:p w14:paraId="65238A84">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_Toc12406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法定代表人（或单位负责人）授权书</w:t>
      </w:r>
      <w:r>
        <w:rPr>
          <w:color w:val="auto"/>
          <w:highlight w:val="none"/>
        </w:rPr>
        <w:tab/>
      </w:r>
      <w:r>
        <w:rPr>
          <w:color w:val="auto"/>
          <w:highlight w:val="none"/>
        </w:rPr>
        <w:fldChar w:fldCharType="begin"/>
      </w:r>
      <w:r>
        <w:rPr>
          <w:color w:val="auto"/>
          <w:highlight w:val="none"/>
        </w:rPr>
        <w:instrText xml:space="preserve"> PAGEREF _Toc12406 \h </w:instrText>
      </w:r>
      <w:r>
        <w:rPr>
          <w:color w:val="auto"/>
          <w:highlight w:val="none"/>
        </w:rPr>
        <w:fldChar w:fldCharType="separate"/>
      </w:r>
      <w:r>
        <w:rPr>
          <w:color w:val="auto"/>
          <w:highlight w:val="none"/>
        </w:rPr>
        <w:t>70</w:t>
      </w:r>
      <w:r>
        <w:rPr>
          <w:color w:val="auto"/>
          <w:highlight w:val="none"/>
        </w:rPr>
        <w:fldChar w:fldCharType="end"/>
      </w:r>
      <w:r>
        <w:rPr>
          <w:rFonts w:hint="eastAsia" w:asciiTheme="majorEastAsia" w:hAnsiTheme="majorEastAsia" w:eastAsiaTheme="majorEastAsia"/>
          <w:color w:val="auto"/>
          <w:highlight w:val="none"/>
        </w:rPr>
        <w:fldChar w:fldCharType="end"/>
      </w:r>
    </w:p>
    <w:p w14:paraId="30F0EFC5">
      <w:pPr>
        <w:pStyle w:val="25"/>
        <w:tabs>
          <w:tab w:val="right" w:leader="dot" w:pos="9412"/>
        </w:tabs>
        <w:ind w:left="0" w:leftChars="0" w:firstLine="0" w:firstLineChars="0"/>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_Toc12563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营业执照（或事业单位法人证书或执业许可证或相应具体证照）</w:t>
      </w:r>
      <w:r>
        <w:rPr>
          <w:color w:val="auto"/>
          <w:highlight w:val="none"/>
        </w:rPr>
        <w:tab/>
      </w:r>
      <w:r>
        <w:rPr>
          <w:color w:val="auto"/>
          <w:highlight w:val="none"/>
        </w:rPr>
        <w:fldChar w:fldCharType="begin"/>
      </w:r>
      <w:r>
        <w:rPr>
          <w:color w:val="auto"/>
          <w:highlight w:val="none"/>
        </w:rPr>
        <w:instrText xml:space="preserve"> PAGEREF _Toc12563 \h </w:instrText>
      </w:r>
      <w:r>
        <w:rPr>
          <w:color w:val="auto"/>
          <w:highlight w:val="none"/>
        </w:rPr>
        <w:fldChar w:fldCharType="separate"/>
      </w:r>
      <w:r>
        <w:rPr>
          <w:color w:val="auto"/>
          <w:highlight w:val="none"/>
        </w:rPr>
        <w:t>72</w:t>
      </w:r>
      <w:r>
        <w:rPr>
          <w:color w:val="auto"/>
          <w:highlight w:val="none"/>
        </w:rPr>
        <w:fldChar w:fldCharType="end"/>
      </w:r>
      <w:r>
        <w:rPr>
          <w:rFonts w:hint="eastAsia" w:asciiTheme="majorEastAsia" w:hAnsiTheme="majorEastAsia" w:eastAsiaTheme="majorEastAsia"/>
          <w:color w:val="auto"/>
          <w:highlight w:val="none"/>
        </w:rPr>
        <w:fldChar w:fldCharType="end"/>
      </w:r>
    </w:p>
    <w:p w14:paraId="0C6D1A57">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_Toc14525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服务承诺书</w:t>
      </w:r>
      <w:r>
        <w:rPr>
          <w:color w:val="auto"/>
          <w:highlight w:val="none"/>
        </w:rPr>
        <w:tab/>
      </w:r>
      <w:r>
        <w:rPr>
          <w:color w:val="auto"/>
          <w:highlight w:val="none"/>
        </w:rPr>
        <w:fldChar w:fldCharType="begin"/>
      </w:r>
      <w:r>
        <w:rPr>
          <w:color w:val="auto"/>
          <w:highlight w:val="none"/>
        </w:rPr>
        <w:instrText xml:space="preserve"> PAGEREF _Toc14525 \h </w:instrText>
      </w:r>
      <w:r>
        <w:rPr>
          <w:color w:val="auto"/>
          <w:highlight w:val="none"/>
        </w:rPr>
        <w:fldChar w:fldCharType="separate"/>
      </w:r>
      <w:r>
        <w:rPr>
          <w:color w:val="auto"/>
          <w:highlight w:val="none"/>
        </w:rPr>
        <w:t>73</w:t>
      </w:r>
      <w:r>
        <w:rPr>
          <w:color w:val="auto"/>
          <w:highlight w:val="none"/>
        </w:rPr>
        <w:fldChar w:fldCharType="end"/>
      </w:r>
      <w:r>
        <w:rPr>
          <w:rFonts w:hint="eastAsia" w:asciiTheme="majorEastAsia" w:hAnsiTheme="majorEastAsia" w:eastAsiaTheme="majorEastAsia"/>
          <w:color w:val="auto"/>
          <w:highlight w:val="none"/>
        </w:rPr>
        <w:fldChar w:fldCharType="end"/>
      </w:r>
    </w:p>
    <w:p w14:paraId="693EF926">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_Toc24106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投标人提交的其他资料</w:t>
      </w:r>
      <w:r>
        <w:rPr>
          <w:color w:val="auto"/>
          <w:highlight w:val="none"/>
        </w:rPr>
        <w:tab/>
      </w:r>
      <w:r>
        <w:rPr>
          <w:color w:val="auto"/>
          <w:highlight w:val="none"/>
        </w:rPr>
        <w:fldChar w:fldCharType="begin"/>
      </w:r>
      <w:r>
        <w:rPr>
          <w:color w:val="auto"/>
          <w:highlight w:val="none"/>
        </w:rPr>
        <w:instrText xml:space="preserve"> PAGEREF _Toc24106 \h </w:instrText>
      </w:r>
      <w:r>
        <w:rPr>
          <w:color w:val="auto"/>
          <w:highlight w:val="none"/>
        </w:rPr>
        <w:fldChar w:fldCharType="separate"/>
      </w:r>
      <w:r>
        <w:rPr>
          <w:color w:val="auto"/>
          <w:highlight w:val="none"/>
        </w:rPr>
        <w:t>75</w:t>
      </w:r>
      <w:r>
        <w:rPr>
          <w:color w:val="auto"/>
          <w:highlight w:val="none"/>
        </w:rPr>
        <w:fldChar w:fldCharType="end"/>
      </w:r>
      <w:r>
        <w:rPr>
          <w:rFonts w:hint="eastAsia" w:asciiTheme="majorEastAsia" w:hAnsiTheme="majorEastAsia" w:eastAsiaTheme="majorEastAsia"/>
          <w:color w:val="auto"/>
          <w:highlight w:val="none"/>
        </w:rPr>
        <w:fldChar w:fldCharType="end"/>
      </w:r>
    </w:p>
    <w:p w14:paraId="62AA0220">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_Toc28113 </w:instrText>
      </w:r>
      <w:r>
        <w:rPr>
          <w:rFonts w:hint="eastAsia" w:asciiTheme="majorEastAsia" w:hAnsiTheme="majorEastAsia" w:eastAsiaTheme="majorEastAsia"/>
          <w:color w:val="auto"/>
          <w:highlight w:val="none"/>
        </w:rPr>
        <w:fldChar w:fldCharType="separate"/>
      </w:r>
      <w:r>
        <w:rPr>
          <w:rFonts w:hint="eastAsia" w:ascii="宋体" w:hAnsi="宋体" w:eastAsia="宋体" w:cs="宋体"/>
          <w:color w:val="auto"/>
          <w:szCs w:val="30"/>
          <w:highlight w:val="none"/>
        </w:rPr>
        <w:t>招标代理服务费承诺书</w:t>
      </w:r>
      <w:r>
        <w:rPr>
          <w:color w:val="auto"/>
          <w:highlight w:val="none"/>
        </w:rPr>
        <w:tab/>
      </w:r>
      <w:r>
        <w:rPr>
          <w:color w:val="auto"/>
          <w:highlight w:val="none"/>
        </w:rPr>
        <w:fldChar w:fldCharType="begin"/>
      </w:r>
      <w:r>
        <w:rPr>
          <w:color w:val="auto"/>
          <w:highlight w:val="none"/>
        </w:rPr>
        <w:instrText xml:space="preserve"> PAGEREF _Toc28113 \h </w:instrText>
      </w:r>
      <w:r>
        <w:rPr>
          <w:color w:val="auto"/>
          <w:highlight w:val="none"/>
        </w:rPr>
        <w:fldChar w:fldCharType="separate"/>
      </w:r>
      <w:r>
        <w:rPr>
          <w:color w:val="auto"/>
          <w:highlight w:val="none"/>
        </w:rPr>
        <w:t>76</w:t>
      </w:r>
      <w:r>
        <w:rPr>
          <w:color w:val="auto"/>
          <w:highlight w:val="none"/>
        </w:rPr>
        <w:fldChar w:fldCharType="end"/>
      </w:r>
      <w:r>
        <w:rPr>
          <w:rFonts w:hint="eastAsia" w:asciiTheme="majorEastAsia" w:hAnsiTheme="majorEastAsia" w:eastAsiaTheme="majorEastAsia"/>
          <w:color w:val="auto"/>
          <w:highlight w:val="none"/>
        </w:rPr>
        <w:fldChar w:fldCharType="end"/>
      </w:r>
    </w:p>
    <w:p w14:paraId="44015464">
      <w:pPr>
        <w:pStyle w:val="42"/>
        <w:tabs>
          <w:tab w:val="right" w:leader="dot" w:pos="9412"/>
          <w:tab w:val="clear" w:pos="9710"/>
        </w:tabs>
        <w:rPr>
          <w:color w:val="auto"/>
          <w:highlight w:val="none"/>
        </w:rPr>
      </w:pPr>
      <w:r>
        <w:rPr>
          <w:rFonts w:hint="eastAsia" w:asciiTheme="majorEastAsia" w:hAnsiTheme="majorEastAsia" w:eastAsiaTheme="majorEastAsia"/>
          <w:color w:val="auto"/>
          <w:highlight w:val="none"/>
        </w:rPr>
        <w:fldChar w:fldCharType="begin"/>
      </w:r>
      <w:r>
        <w:rPr>
          <w:rFonts w:hint="eastAsia" w:asciiTheme="majorEastAsia" w:hAnsiTheme="majorEastAsia" w:eastAsiaTheme="majorEastAsia"/>
          <w:color w:val="auto"/>
          <w:highlight w:val="none"/>
        </w:rPr>
        <w:instrText xml:space="preserve"> HYPERLINK \l _Toc24454 </w:instrText>
      </w:r>
      <w:r>
        <w:rPr>
          <w:rFonts w:hint="eastAsia" w:asciiTheme="majorEastAsia" w:hAnsiTheme="majorEastAsia" w:eastAsiaTheme="majorEastAsia"/>
          <w:color w:val="auto"/>
          <w:highlight w:val="none"/>
        </w:rPr>
        <w:fldChar w:fldCharType="separate"/>
      </w:r>
      <w:r>
        <w:rPr>
          <w:rFonts w:hint="eastAsia" w:ascii="宋体" w:hAnsi="宋体" w:cs="宋体"/>
          <w:color w:val="auto"/>
          <w:szCs w:val="30"/>
          <w:highlight w:val="none"/>
          <w:lang w:val="en-US" w:eastAsia="zh-CN"/>
        </w:rPr>
        <w:t>投标</w:t>
      </w:r>
      <w:r>
        <w:rPr>
          <w:rFonts w:hint="eastAsia" w:ascii="宋体" w:hAnsi="宋体" w:eastAsia="宋体" w:cs="宋体"/>
          <w:color w:val="auto"/>
          <w:szCs w:val="30"/>
          <w:highlight w:val="none"/>
        </w:rPr>
        <w:t>保证金退还申请书（参考格式）</w:t>
      </w:r>
      <w:r>
        <w:rPr>
          <w:color w:val="auto"/>
          <w:highlight w:val="none"/>
        </w:rPr>
        <w:tab/>
      </w:r>
      <w:r>
        <w:rPr>
          <w:color w:val="auto"/>
          <w:highlight w:val="none"/>
        </w:rPr>
        <w:fldChar w:fldCharType="begin"/>
      </w:r>
      <w:r>
        <w:rPr>
          <w:color w:val="auto"/>
          <w:highlight w:val="none"/>
        </w:rPr>
        <w:instrText xml:space="preserve"> PAGEREF _Toc24454 \h </w:instrText>
      </w:r>
      <w:r>
        <w:rPr>
          <w:color w:val="auto"/>
          <w:highlight w:val="none"/>
        </w:rPr>
        <w:fldChar w:fldCharType="separate"/>
      </w:r>
      <w:r>
        <w:rPr>
          <w:color w:val="auto"/>
          <w:highlight w:val="none"/>
        </w:rPr>
        <w:t>77</w:t>
      </w:r>
      <w:r>
        <w:rPr>
          <w:color w:val="auto"/>
          <w:highlight w:val="none"/>
        </w:rPr>
        <w:fldChar w:fldCharType="end"/>
      </w:r>
      <w:r>
        <w:rPr>
          <w:rFonts w:hint="eastAsia" w:asciiTheme="majorEastAsia" w:hAnsiTheme="majorEastAsia" w:eastAsiaTheme="majorEastAsia"/>
          <w:color w:val="auto"/>
          <w:highlight w:val="none"/>
        </w:rPr>
        <w:fldChar w:fldCharType="end"/>
      </w:r>
    </w:p>
    <w:p w14:paraId="2E41A4D8">
      <w:pPr>
        <w:pStyle w:val="3"/>
        <w:keepNext w:val="0"/>
        <w:keepLines w:val="0"/>
        <w:pageBreakBefore/>
        <w:widowControl w:val="0"/>
        <w:numPr>
          <w:ilvl w:val="1"/>
          <w:numId w:val="0"/>
        </w:numPr>
        <w:kinsoku/>
        <w:wordWrap/>
        <w:overflowPunct/>
        <w:topLinePunct w:val="0"/>
        <w:autoSpaceDE/>
        <w:autoSpaceDN/>
        <w:bidi w:val="0"/>
        <w:adjustRightInd/>
        <w:snapToGrid/>
        <w:spacing w:before="0" w:after="0" w:line="360" w:lineRule="auto"/>
        <w:textAlignment w:val="auto"/>
        <w:rPr>
          <w:rFonts w:asciiTheme="majorEastAsia" w:hAnsiTheme="majorEastAsia" w:eastAsiaTheme="majorEastAsia"/>
          <w:color w:val="auto"/>
          <w:sz w:val="28"/>
          <w:szCs w:val="28"/>
          <w:highlight w:val="none"/>
        </w:rPr>
      </w:pPr>
      <w:r>
        <w:rPr>
          <w:rFonts w:hint="eastAsia" w:asciiTheme="majorEastAsia" w:hAnsiTheme="majorEastAsia" w:eastAsiaTheme="majorEastAsia"/>
          <w:color w:val="auto"/>
          <w:highlight w:val="none"/>
        </w:rPr>
        <w:fldChar w:fldCharType="end"/>
      </w:r>
      <w:bookmarkStart w:id="2" w:name="_Toc5849"/>
      <w:bookmarkStart w:id="3" w:name="_Toc29112"/>
      <w:r>
        <w:rPr>
          <w:rFonts w:hint="eastAsia" w:asciiTheme="majorEastAsia" w:hAnsiTheme="majorEastAsia" w:eastAsiaTheme="majorEastAsia"/>
          <w:color w:val="auto"/>
          <w:sz w:val="28"/>
          <w:szCs w:val="28"/>
          <w:highlight w:val="none"/>
        </w:rPr>
        <w:t>第一章 投标邀请</w:t>
      </w:r>
      <w:bookmarkEnd w:id="2"/>
      <w:bookmarkEnd w:id="3"/>
      <w:bookmarkStart w:id="4" w:name="_Toc332895784"/>
      <w:bookmarkStart w:id="5" w:name="_Toc332894814"/>
      <w:bookmarkStart w:id="6" w:name="_Toc222388514"/>
    </w:p>
    <w:p w14:paraId="4D7B9F28">
      <w:pPr>
        <w:pStyle w:val="3"/>
        <w:numPr>
          <w:ilvl w:val="1"/>
          <w:numId w:val="0"/>
        </w:numPr>
        <w:spacing w:before="0" w:after="0" w:line="440" w:lineRule="exact"/>
        <w:rPr>
          <w:rFonts w:asciiTheme="majorEastAsia" w:hAnsiTheme="majorEastAsia" w:eastAsiaTheme="majorEastAsia"/>
          <w:color w:val="auto"/>
          <w:sz w:val="28"/>
          <w:szCs w:val="28"/>
          <w:highlight w:val="none"/>
        </w:rPr>
      </w:pPr>
      <w:bookmarkStart w:id="7" w:name="_Toc418517536"/>
      <w:bookmarkStart w:id="8" w:name="_Toc12639"/>
      <w:bookmarkStart w:id="9" w:name="_Toc13038"/>
      <w:r>
        <w:rPr>
          <w:rFonts w:hint="eastAsia" w:asciiTheme="majorEastAsia" w:hAnsiTheme="majorEastAsia" w:eastAsiaTheme="majorEastAsia"/>
          <w:color w:val="auto"/>
          <w:sz w:val="28"/>
          <w:szCs w:val="28"/>
          <w:highlight w:val="none"/>
        </w:rPr>
        <w:t>一、投标邀请</w:t>
      </w:r>
      <w:bookmarkEnd w:id="4"/>
      <w:bookmarkEnd w:id="5"/>
      <w:bookmarkEnd w:id="6"/>
      <w:bookmarkEnd w:id="7"/>
      <w:bookmarkEnd w:id="8"/>
      <w:bookmarkEnd w:id="9"/>
    </w:p>
    <w:p w14:paraId="4C43AACD">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受</w:t>
      </w:r>
      <w:r>
        <w:rPr>
          <w:rFonts w:hint="eastAsia" w:asciiTheme="majorEastAsia" w:hAnsiTheme="majorEastAsia" w:eastAsiaTheme="majorEastAsia"/>
          <w:b/>
          <w:bCs/>
          <w:color w:val="auto"/>
          <w:sz w:val="24"/>
          <w:highlight w:val="none"/>
          <w:u w:val="single"/>
          <w:lang w:eastAsia="zh-CN"/>
        </w:rPr>
        <w:t>厦门海沧信息产业发展有限公司</w:t>
      </w:r>
      <w:r>
        <w:rPr>
          <w:rFonts w:hint="eastAsia" w:asciiTheme="majorEastAsia" w:hAnsiTheme="majorEastAsia" w:eastAsiaTheme="majorEastAsia"/>
          <w:color w:val="auto"/>
          <w:sz w:val="24"/>
          <w:highlight w:val="none"/>
        </w:rPr>
        <w:t>委托，我司对“</w:t>
      </w:r>
      <w:r>
        <w:rPr>
          <w:rFonts w:hint="eastAsia" w:asciiTheme="majorEastAsia" w:hAnsiTheme="majorEastAsia" w:eastAsiaTheme="majorEastAsia"/>
          <w:b/>
          <w:bCs/>
          <w:color w:val="auto"/>
          <w:sz w:val="24"/>
          <w:highlight w:val="none"/>
          <w:u w:val="single"/>
          <w:lang w:eastAsia="zh-CN"/>
        </w:rPr>
        <w:t>海沧半导体产业基地项目废水站系统运营服务采购</w:t>
      </w:r>
      <w:r>
        <w:rPr>
          <w:rFonts w:hint="eastAsia" w:asciiTheme="majorEastAsia" w:hAnsiTheme="majorEastAsia" w:eastAsiaTheme="majorEastAsia"/>
          <w:color w:val="auto"/>
          <w:sz w:val="24"/>
          <w:highlight w:val="none"/>
        </w:rPr>
        <w:t>”项目进行国内公开招标，现欢迎国内合格的投标人前来提交密封的投标。</w:t>
      </w:r>
    </w:p>
    <w:p w14:paraId="14A49FF1">
      <w:pPr>
        <w:numPr>
          <w:ilvl w:val="0"/>
          <w:numId w:val="2"/>
        </w:numPr>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项目编号：</w:t>
      </w:r>
      <w:r>
        <w:rPr>
          <w:rFonts w:hint="eastAsia" w:asciiTheme="majorEastAsia" w:hAnsiTheme="majorEastAsia" w:eastAsiaTheme="majorEastAsia"/>
          <w:color w:val="auto"/>
          <w:sz w:val="24"/>
          <w:highlight w:val="none"/>
          <w:lang w:eastAsia="zh-CN"/>
        </w:rPr>
        <w:t>2024-HCGK-SH1508</w:t>
      </w:r>
    </w:p>
    <w:p w14:paraId="6F45DDFB">
      <w:pPr>
        <w:numPr>
          <w:ilvl w:val="0"/>
          <w:numId w:val="2"/>
        </w:numPr>
        <w:spacing w:line="440" w:lineRule="exact"/>
        <w:rPr>
          <w:rFonts w:asciiTheme="majorEastAsia" w:hAnsiTheme="majorEastAsia" w:eastAsiaTheme="majorEastAsia"/>
          <w:color w:val="auto"/>
          <w:spacing w:val="-14"/>
          <w:sz w:val="24"/>
          <w:highlight w:val="none"/>
        </w:rPr>
      </w:pPr>
      <w:r>
        <w:rPr>
          <w:rFonts w:hint="eastAsia" w:asciiTheme="majorEastAsia" w:hAnsiTheme="majorEastAsia" w:eastAsiaTheme="majorEastAsia"/>
          <w:color w:val="auto"/>
          <w:spacing w:val="-14"/>
          <w:sz w:val="24"/>
          <w:highlight w:val="none"/>
        </w:rPr>
        <w:t>招标</w:t>
      </w:r>
      <w:r>
        <w:rPr>
          <w:rFonts w:hint="eastAsia" w:asciiTheme="majorEastAsia" w:hAnsiTheme="majorEastAsia" w:eastAsiaTheme="majorEastAsia"/>
          <w:color w:val="auto"/>
          <w:spacing w:val="-14"/>
          <w:sz w:val="24"/>
          <w:highlight w:val="none"/>
          <w:lang w:val="en-US" w:eastAsia="zh-CN"/>
        </w:rPr>
        <w:t>服务</w:t>
      </w:r>
      <w:r>
        <w:rPr>
          <w:rFonts w:hint="eastAsia" w:asciiTheme="majorEastAsia" w:hAnsiTheme="majorEastAsia" w:eastAsiaTheme="majorEastAsia"/>
          <w:color w:val="auto"/>
          <w:spacing w:val="-14"/>
          <w:sz w:val="24"/>
          <w:highlight w:val="none"/>
        </w:rPr>
        <w:t>名称、数量及主要技术</w:t>
      </w:r>
      <w:r>
        <w:rPr>
          <w:rFonts w:hint="eastAsia" w:asciiTheme="majorEastAsia" w:hAnsiTheme="majorEastAsia" w:eastAsiaTheme="majorEastAsia"/>
          <w:color w:val="auto"/>
          <w:spacing w:val="-14"/>
          <w:sz w:val="24"/>
          <w:highlight w:val="none"/>
          <w:lang w:val="en-US" w:eastAsia="zh-CN"/>
        </w:rPr>
        <w:t>服务要求</w:t>
      </w:r>
      <w:r>
        <w:rPr>
          <w:rFonts w:hint="eastAsia" w:asciiTheme="majorEastAsia" w:hAnsiTheme="majorEastAsia" w:eastAsiaTheme="majorEastAsia"/>
          <w:color w:val="auto"/>
          <w:spacing w:val="-14"/>
          <w:sz w:val="24"/>
          <w:highlight w:val="none"/>
        </w:rPr>
        <w:t>：见后</w:t>
      </w:r>
      <w:r>
        <w:rPr>
          <w:rFonts w:hint="eastAsia" w:asciiTheme="majorEastAsia" w:hAnsiTheme="majorEastAsia" w:eastAsiaTheme="majorEastAsia"/>
          <w:color w:val="auto"/>
          <w:sz w:val="24"/>
          <w:highlight w:val="none"/>
        </w:rPr>
        <w:t>附：招标项目一览表</w:t>
      </w:r>
    </w:p>
    <w:p w14:paraId="2B9335FE">
      <w:pPr>
        <w:numPr>
          <w:ilvl w:val="0"/>
          <w:numId w:val="2"/>
        </w:numPr>
        <w:spacing w:line="440" w:lineRule="exact"/>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招标文件购买时间：即刻起至202</w:t>
      </w:r>
      <w:r>
        <w:rPr>
          <w:rFonts w:hint="eastAsia" w:asciiTheme="majorEastAsia" w:hAnsiTheme="majorEastAsia" w:eastAsiaTheme="majorEastAsia"/>
          <w:color w:val="auto"/>
          <w:sz w:val="24"/>
          <w:highlight w:val="none"/>
          <w:lang w:val="en-US" w:eastAsia="zh-CN"/>
        </w:rPr>
        <w:t>5</w:t>
      </w:r>
      <w:r>
        <w:rPr>
          <w:rFonts w:hint="eastAsia" w:asciiTheme="majorEastAsia" w:hAnsiTheme="majorEastAsia" w:eastAsiaTheme="majorEastAsia"/>
          <w:color w:val="auto"/>
          <w:sz w:val="24"/>
          <w:highlight w:val="none"/>
        </w:rPr>
        <w:t>年</w:t>
      </w:r>
      <w:r>
        <w:rPr>
          <w:rFonts w:hint="eastAsia" w:asciiTheme="majorEastAsia" w:hAnsiTheme="majorEastAsia" w:eastAsiaTheme="majorEastAsia"/>
          <w:color w:val="auto"/>
          <w:sz w:val="24"/>
          <w:highlight w:val="none"/>
          <w:lang w:val="en-US" w:eastAsia="zh-CN"/>
        </w:rPr>
        <w:t>1</w:t>
      </w:r>
      <w:r>
        <w:rPr>
          <w:rFonts w:hint="eastAsia" w:asciiTheme="majorEastAsia" w:hAnsiTheme="majorEastAsia" w:eastAsiaTheme="majorEastAsia"/>
          <w:color w:val="auto"/>
          <w:sz w:val="24"/>
          <w:highlight w:val="none"/>
        </w:rPr>
        <w:t>月</w:t>
      </w:r>
      <w:r>
        <w:rPr>
          <w:rFonts w:hint="eastAsia" w:asciiTheme="majorEastAsia" w:hAnsiTheme="majorEastAsia" w:eastAsiaTheme="majorEastAsia"/>
          <w:color w:val="auto"/>
          <w:sz w:val="24"/>
          <w:highlight w:val="none"/>
          <w:lang w:val="en-US" w:eastAsia="zh-CN"/>
        </w:rPr>
        <w:t>17</w:t>
      </w:r>
      <w:r>
        <w:rPr>
          <w:rFonts w:hint="eastAsia" w:asciiTheme="majorEastAsia" w:hAnsiTheme="majorEastAsia" w:eastAsiaTheme="majorEastAsia"/>
          <w:color w:val="auto"/>
          <w:sz w:val="24"/>
          <w:highlight w:val="none"/>
        </w:rPr>
        <w:t>日(节假日除外) 上午[8:30:00-11:30:00]或下午[2:30:00-5:</w:t>
      </w:r>
      <w:r>
        <w:rPr>
          <w:rFonts w:hint="eastAsia" w:asciiTheme="majorEastAsia" w:hAnsiTheme="majorEastAsia" w:eastAsiaTheme="majorEastAsia"/>
          <w:color w:val="auto"/>
          <w:sz w:val="24"/>
          <w:highlight w:val="none"/>
          <w:lang w:val="en-US" w:eastAsia="zh-CN"/>
        </w:rPr>
        <w:t>0</w:t>
      </w:r>
      <w:r>
        <w:rPr>
          <w:rFonts w:hint="eastAsia" w:asciiTheme="majorEastAsia" w:hAnsiTheme="majorEastAsia" w:eastAsiaTheme="majorEastAsia"/>
          <w:color w:val="auto"/>
          <w:sz w:val="24"/>
          <w:highlight w:val="none"/>
        </w:rPr>
        <w:t>0:00]（北京时间）。</w:t>
      </w:r>
    </w:p>
    <w:p w14:paraId="2A41C363">
      <w:pPr>
        <w:numPr>
          <w:ilvl w:val="0"/>
          <w:numId w:val="2"/>
        </w:numPr>
        <w:spacing w:line="440" w:lineRule="exact"/>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招标文件售价人民币</w:t>
      </w:r>
      <w:r>
        <w:rPr>
          <w:rFonts w:hint="eastAsia" w:asciiTheme="majorEastAsia" w:hAnsiTheme="majorEastAsia" w:eastAsiaTheme="majorEastAsia"/>
          <w:b/>
          <w:color w:val="auto"/>
          <w:sz w:val="24"/>
          <w:highlight w:val="none"/>
          <w:u w:val="single"/>
        </w:rPr>
        <w:t>50</w:t>
      </w:r>
      <w:r>
        <w:rPr>
          <w:rFonts w:hint="eastAsia" w:asciiTheme="majorEastAsia" w:hAnsiTheme="majorEastAsia" w:eastAsiaTheme="majorEastAsia"/>
          <w:b/>
          <w:color w:val="auto"/>
          <w:sz w:val="24"/>
          <w:highlight w:val="none"/>
        </w:rPr>
        <w:t>元</w:t>
      </w:r>
      <w:r>
        <w:rPr>
          <w:rFonts w:hint="eastAsia" w:asciiTheme="majorEastAsia" w:hAnsiTheme="majorEastAsia" w:eastAsiaTheme="majorEastAsia"/>
          <w:color w:val="auto"/>
          <w:sz w:val="24"/>
          <w:highlight w:val="none"/>
        </w:rPr>
        <w:t>，售后不退，未购买招标文件的投标单位其投标文件将被拒收。</w:t>
      </w:r>
    </w:p>
    <w:p w14:paraId="2F0E4CE9">
      <w:pPr>
        <w:numPr>
          <w:ilvl w:val="0"/>
          <w:numId w:val="2"/>
        </w:numPr>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投标截止时间：投标文件应于</w:t>
      </w:r>
      <w:r>
        <w:rPr>
          <w:rFonts w:hint="eastAsia" w:asciiTheme="majorEastAsia" w:hAnsiTheme="majorEastAsia" w:eastAsiaTheme="majorEastAsia"/>
          <w:b/>
          <w:bCs/>
          <w:color w:val="auto"/>
          <w:sz w:val="24"/>
          <w:highlight w:val="none"/>
        </w:rPr>
        <w:t>[202</w:t>
      </w:r>
      <w:r>
        <w:rPr>
          <w:rFonts w:hint="eastAsia" w:asciiTheme="majorEastAsia" w:hAnsiTheme="majorEastAsia" w:eastAsiaTheme="majorEastAsia"/>
          <w:b/>
          <w:bCs/>
          <w:color w:val="auto"/>
          <w:sz w:val="24"/>
          <w:highlight w:val="none"/>
          <w:lang w:val="en-US" w:eastAsia="zh-CN"/>
        </w:rPr>
        <w:t>5</w:t>
      </w:r>
      <w:r>
        <w:rPr>
          <w:rFonts w:hint="eastAsia" w:asciiTheme="majorEastAsia" w:hAnsiTheme="majorEastAsia" w:eastAsiaTheme="majorEastAsia"/>
          <w:b/>
          <w:bCs/>
          <w:color w:val="auto"/>
          <w:sz w:val="24"/>
          <w:highlight w:val="none"/>
        </w:rPr>
        <w:t>年</w:t>
      </w:r>
      <w:r>
        <w:rPr>
          <w:rFonts w:hint="eastAsia" w:asciiTheme="majorEastAsia" w:hAnsiTheme="majorEastAsia" w:eastAsiaTheme="majorEastAsia"/>
          <w:b/>
          <w:bCs/>
          <w:color w:val="auto"/>
          <w:sz w:val="24"/>
          <w:highlight w:val="none"/>
          <w:lang w:val="en-US" w:eastAsia="zh-CN"/>
        </w:rPr>
        <w:t>1</w:t>
      </w:r>
      <w:r>
        <w:rPr>
          <w:rFonts w:hint="eastAsia" w:asciiTheme="majorEastAsia" w:hAnsiTheme="majorEastAsia" w:eastAsiaTheme="majorEastAsia"/>
          <w:b/>
          <w:bCs/>
          <w:color w:val="auto"/>
          <w:sz w:val="24"/>
          <w:highlight w:val="none"/>
        </w:rPr>
        <w:t>月</w:t>
      </w:r>
      <w:r>
        <w:rPr>
          <w:rFonts w:hint="eastAsia" w:asciiTheme="majorEastAsia" w:hAnsiTheme="majorEastAsia" w:eastAsiaTheme="majorEastAsia"/>
          <w:b/>
          <w:bCs/>
          <w:color w:val="auto"/>
          <w:sz w:val="24"/>
          <w:highlight w:val="none"/>
          <w:lang w:val="en-US" w:eastAsia="zh-CN"/>
        </w:rPr>
        <w:t>24</w:t>
      </w:r>
      <w:r>
        <w:rPr>
          <w:rFonts w:hint="eastAsia" w:asciiTheme="majorEastAsia" w:hAnsiTheme="majorEastAsia" w:eastAsiaTheme="majorEastAsia"/>
          <w:b/>
          <w:bCs/>
          <w:color w:val="auto"/>
          <w:sz w:val="24"/>
          <w:highlight w:val="none"/>
        </w:rPr>
        <w:t>日]</w:t>
      </w:r>
      <w:r>
        <w:rPr>
          <w:rFonts w:hint="eastAsia" w:asciiTheme="majorEastAsia" w:hAnsiTheme="majorEastAsia" w:eastAsiaTheme="majorEastAsia"/>
          <w:b/>
          <w:bCs/>
          <w:color w:val="auto"/>
          <w:sz w:val="24"/>
          <w:highlight w:val="none"/>
          <w:lang w:val="en-US" w:eastAsia="zh-CN"/>
        </w:rPr>
        <w:t>上</w:t>
      </w:r>
      <w:r>
        <w:rPr>
          <w:rFonts w:hint="eastAsia" w:asciiTheme="majorEastAsia" w:hAnsiTheme="majorEastAsia" w:eastAsiaTheme="majorEastAsia"/>
          <w:b/>
          <w:bCs/>
          <w:color w:val="auto"/>
          <w:sz w:val="24"/>
          <w:highlight w:val="none"/>
        </w:rPr>
        <w:t>午[</w:t>
      </w:r>
      <w:r>
        <w:rPr>
          <w:rFonts w:hint="eastAsia" w:asciiTheme="majorEastAsia" w:hAnsiTheme="majorEastAsia" w:eastAsiaTheme="majorEastAsia"/>
          <w:b/>
          <w:bCs/>
          <w:color w:val="auto"/>
          <w:sz w:val="24"/>
          <w:highlight w:val="none"/>
          <w:lang w:val="en-US" w:eastAsia="zh-CN"/>
        </w:rPr>
        <w:t>9</w:t>
      </w:r>
      <w:r>
        <w:rPr>
          <w:rFonts w:hint="eastAsia" w:asciiTheme="majorEastAsia" w:hAnsiTheme="majorEastAsia" w:eastAsiaTheme="majorEastAsia"/>
          <w:b/>
          <w:bCs/>
          <w:color w:val="auto"/>
          <w:sz w:val="24"/>
          <w:highlight w:val="none"/>
        </w:rPr>
        <w:t>:</w:t>
      </w:r>
      <w:r>
        <w:rPr>
          <w:rFonts w:hint="eastAsia" w:asciiTheme="majorEastAsia" w:hAnsiTheme="majorEastAsia" w:eastAsiaTheme="majorEastAsia"/>
          <w:b/>
          <w:bCs/>
          <w:color w:val="auto"/>
          <w:sz w:val="24"/>
          <w:highlight w:val="none"/>
          <w:lang w:val="en-US" w:eastAsia="zh-CN"/>
        </w:rPr>
        <w:t>0</w:t>
      </w:r>
      <w:r>
        <w:rPr>
          <w:rFonts w:hint="eastAsia" w:asciiTheme="majorEastAsia" w:hAnsiTheme="majorEastAsia" w:eastAsiaTheme="majorEastAsia"/>
          <w:b/>
          <w:bCs/>
          <w:color w:val="auto"/>
          <w:sz w:val="24"/>
          <w:highlight w:val="none"/>
        </w:rPr>
        <w:t>0:00]</w:t>
      </w:r>
      <w:r>
        <w:rPr>
          <w:rFonts w:hint="eastAsia" w:asciiTheme="majorEastAsia" w:hAnsiTheme="majorEastAsia" w:eastAsiaTheme="majorEastAsia"/>
          <w:color w:val="auto"/>
          <w:sz w:val="24"/>
          <w:highlight w:val="none"/>
        </w:rPr>
        <w:t>（北京时间）之前提交到</w:t>
      </w:r>
      <w:r>
        <w:rPr>
          <w:rFonts w:hint="eastAsia" w:asciiTheme="majorEastAsia" w:hAnsiTheme="majorEastAsia" w:eastAsiaTheme="majorEastAsia"/>
          <w:b/>
          <w:color w:val="auto"/>
          <w:sz w:val="24"/>
          <w:highlight w:val="none"/>
        </w:rPr>
        <w:t>[厦门市海沧区沧虹路95号工商银行八楼厦门市华沧采购招标有限公司开标厅]</w:t>
      </w:r>
      <w:r>
        <w:rPr>
          <w:rFonts w:hint="eastAsia" w:asciiTheme="majorEastAsia" w:hAnsiTheme="majorEastAsia" w:eastAsiaTheme="majorEastAsia"/>
          <w:color w:val="auto"/>
          <w:sz w:val="24"/>
          <w:highlight w:val="none"/>
        </w:rPr>
        <w:t>，逾期递交的或不符合规定的投标文件将被拒绝。</w:t>
      </w:r>
    </w:p>
    <w:p w14:paraId="0D34C3FB">
      <w:pPr>
        <w:numPr>
          <w:ilvl w:val="0"/>
          <w:numId w:val="2"/>
        </w:numPr>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开标时间、地点: </w:t>
      </w:r>
      <w:r>
        <w:rPr>
          <w:rFonts w:hint="eastAsia" w:asciiTheme="majorEastAsia" w:hAnsiTheme="majorEastAsia" w:eastAsiaTheme="majorEastAsia"/>
          <w:b/>
          <w:bCs/>
          <w:color w:val="auto"/>
          <w:sz w:val="24"/>
          <w:highlight w:val="none"/>
        </w:rPr>
        <w:t>[202</w:t>
      </w:r>
      <w:r>
        <w:rPr>
          <w:rFonts w:hint="eastAsia" w:asciiTheme="majorEastAsia" w:hAnsiTheme="majorEastAsia" w:eastAsiaTheme="majorEastAsia"/>
          <w:b/>
          <w:bCs/>
          <w:color w:val="auto"/>
          <w:sz w:val="24"/>
          <w:highlight w:val="none"/>
          <w:lang w:val="en-US" w:eastAsia="zh-CN"/>
        </w:rPr>
        <w:t>5</w:t>
      </w:r>
      <w:r>
        <w:rPr>
          <w:rFonts w:hint="eastAsia" w:asciiTheme="majorEastAsia" w:hAnsiTheme="majorEastAsia" w:eastAsiaTheme="majorEastAsia"/>
          <w:b/>
          <w:bCs/>
          <w:color w:val="auto"/>
          <w:sz w:val="24"/>
          <w:highlight w:val="none"/>
        </w:rPr>
        <w:t>年</w:t>
      </w:r>
      <w:r>
        <w:rPr>
          <w:rFonts w:hint="eastAsia" w:asciiTheme="majorEastAsia" w:hAnsiTheme="majorEastAsia" w:eastAsiaTheme="majorEastAsia"/>
          <w:b/>
          <w:bCs/>
          <w:color w:val="auto"/>
          <w:sz w:val="24"/>
          <w:highlight w:val="none"/>
          <w:lang w:val="en-US" w:eastAsia="zh-CN"/>
        </w:rPr>
        <w:t>1</w:t>
      </w:r>
      <w:r>
        <w:rPr>
          <w:rFonts w:hint="eastAsia" w:asciiTheme="majorEastAsia" w:hAnsiTheme="majorEastAsia" w:eastAsiaTheme="majorEastAsia"/>
          <w:b/>
          <w:bCs/>
          <w:color w:val="auto"/>
          <w:sz w:val="24"/>
          <w:highlight w:val="none"/>
        </w:rPr>
        <w:t>月</w:t>
      </w:r>
      <w:r>
        <w:rPr>
          <w:rFonts w:hint="eastAsia" w:asciiTheme="majorEastAsia" w:hAnsiTheme="majorEastAsia" w:eastAsiaTheme="majorEastAsia"/>
          <w:b/>
          <w:bCs/>
          <w:color w:val="auto"/>
          <w:sz w:val="24"/>
          <w:highlight w:val="none"/>
          <w:lang w:val="en-US" w:eastAsia="zh-CN"/>
        </w:rPr>
        <w:t>24</w:t>
      </w:r>
      <w:r>
        <w:rPr>
          <w:rFonts w:hint="eastAsia" w:asciiTheme="majorEastAsia" w:hAnsiTheme="majorEastAsia" w:eastAsiaTheme="majorEastAsia"/>
          <w:b/>
          <w:bCs/>
          <w:color w:val="auto"/>
          <w:sz w:val="24"/>
          <w:highlight w:val="none"/>
        </w:rPr>
        <w:t>日]</w:t>
      </w:r>
      <w:r>
        <w:rPr>
          <w:rFonts w:hint="eastAsia" w:asciiTheme="majorEastAsia" w:hAnsiTheme="majorEastAsia" w:eastAsiaTheme="majorEastAsia"/>
          <w:b/>
          <w:bCs/>
          <w:color w:val="auto"/>
          <w:sz w:val="24"/>
          <w:highlight w:val="none"/>
          <w:lang w:val="en-US" w:eastAsia="zh-CN"/>
        </w:rPr>
        <w:t>上</w:t>
      </w:r>
      <w:r>
        <w:rPr>
          <w:rFonts w:hint="eastAsia" w:asciiTheme="majorEastAsia" w:hAnsiTheme="majorEastAsia" w:eastAsiaTheme="majorEastAsia"/>
          <w:b/>
          <w:bCs/>
          <w:color w:val="auto"/>
          <w:sz w:val="24"/>
          <w:highlight w:val="none"/>
        </w:rPr>
        <w:t>午[</w:t>
      </w:r>
      <w:r>
        <w:rPr>
          <w:rFonts w:hint="eastAsia" w:asciiTheme="majorEastAsia" w:hAnsiTheme="majorEastAsia" w:eastAsiaTheme="majorEastAsia"/>
          <w:b/>
          <w:bCs/>
          <w:color w:val="auto"/>
          <w:sz w:val="24"/>
          <w:highlight w:val="none"/>
          <w:lang w:val="en-US" w:eastAsia="zh-CN"/>
        </w:rPr>
        <w:t>9</w:t>
      </w:r>
      <w:r>
        <w:rPr>
          <w:rFonts w:hint="eastAsia" w:asciiTheme="majorEastAsia" w:hAnsiTheme="majorEastAsia" w:eastAsiaTheme="majorEastAsia"/>
          <w:b/>
          <w:bCs/>
          <w:color w:val="auto"/>
          <w:sz w:val="24"/>
          <w:highlight w:val="none"/>
        </w:rPr>
        <w:t>:</w:t>
      </w:r>
      <w:r>
        <w:rPr>
          <w:rFonts w:hint="eastAsia" w:asciiTheme="majorEastAsia" w:hAnsiTheme="majorEastAsia" w:eastAsiaTheme="majorEastAsia"/>
          <w:b/>
          <w:bCs/>
          <w:color w:val="auto"/>
          <w:sz w:val="24"/>
          <w:highlight w:val="none"/>
          <w:lang w:val="en-US" w:eastAsia="zh-CN"/>
        </w:rPr>
        <w:t>0</w:t>
      </w:r>
      <w:r>
        <w:rPr>
          <w:rFonts w:hint="eastAsia" w:asciiTheme="majorEastAsia" w:hAnsiTheme="majorEastAsia" w:eastAsiaTheme="majorEastAsia"/>
          <w:b/>
          <w:bCs/>
          <w:color w:val="auto"/>
          <w:sz w:val="24"/>
          <w:highlight w:val="none"/>
        </w:rPr>
        <w:t>0:00]</w:t>
      </w:r>
      <w:r>
        <w:rPr>
          <w:rFonts w:hint="eastAsia" w:asciiTheme="majorEastAsia" w:hAnsiTheme="majorEastAsia" w:eastAsiaTheme="majorEastAsia"/>
          <w:color w:val="auto"/>
          <w:sz w:val="24"/>
          <w:highlight w:val="none"/>
        </w:rPr>
        <w:t>（北京时间）、</w:t>
      </w:r>
      <w:r>
        <w:rPr>
          <w:rFonts w:hint="eastAsia" w:asciiTheme="majorEastAsia" w:hAnsiTheme="majorEastAsia" w:eastAsiaTheme="majorEastAsia"/>
          <w:b/>
          <w:color w:val="auto"/>
          <w:sz w:val="24"/>
          <w:highlight w:val="none"/>
        </w:rPr>
        <w:t>[厦门市海沧区沧虹路95号工商银行八楼厦门市华沧采购招标有限公司开标厅]。</w:t>
      </w:r>
    </w:p>
    <w:p w14:paraId="59A004F7">
      <w:pPr>
        <w:numPr>
          <w:ilvl w:val="0"/>
          <w:numId w:val="2"/>
        </w:numPr>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bCs/>
          <w:color w:val="auto"/>
          <w:sz w:val="24"/>
          <w:highlight w:val="none"/>
        </w:rPr>
        <w:t>以上信息如有变更，将通过中国招标投标公共服务平台（www.cebpubservice.com）、</w:t>
      </w:r>
      <w:r>
        <w:rPr>
          <w:rFonts w:hint="eastAsia" w:asciiTheme="majorEastAsia" w:hAnsiTheme="majorEastAsia" w:eastAsiaTheme="majorEastAsia"/>
          <w:color w:val="auto"/>
          <w:sz w:val="24"/>
          <w:highlight w:val="none"/>
        </w:rPr>
        <w:t>厦门市招拍挂交易网（资源市场化配置平台）（</w:t>
      </w:r>
      <w:r>
        <w:rPr>
          <w:rFonts w:asciiTheme="majorEastAsia" w:hAnsiTheme="majorEastAsia" w:eastAsiaTheme="majorEastAsia"/>
          <w:color w:val="auto"/>
          <w:sz w:val="24"/>
          <w:highlight w:val="none"/>
        </w:rPr>
        <w:t>www.xmz</w:t>
      </w:r>
      <w:r>
        <w:rPr>
          <w:rFonts w:hint="eastAsia" w:asciiTheme="majorEastAsia" w:hAnsiTheme="majorEastAsia" w:eastAsiaTheme="majorEastAsia"/>
          <w:color w:val="auto"/>
          <w:sz w:val="24"/>
          <w:highlight w:val="none"/>
        </w:rPr>
        <w:t>pg</w:t>
      </w:r>
      <w:r>
        <w:rPr>
          <w:rFonts w:asciiTheme="majorEastAsia" w:hAnsiTheme="majorEastAsia" w:eastAsiaTheme="majorEastAsia"/>
          <w:color w:val="auto"/>
          <w:sz w:val="24"/>
          <w:highlight w:val="none"/>
        </w:rPr>
        <w:t>.com</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bCs/>
          <w:color w:val="auto"/>
          <w:sz w:val="24"/>
          <w:highlight w:val="none"/>
        </w:rPr>
        <w:t>、厦门市华沧采购招标有限公司网站（www.xm-hc.com）发布媒体通知，请投标人关注。</w:t>
      </w:r>
    </w:p>
    <w:p w14:paraId="2ACFC6CC">
      <w:pPr>
        <w:spacing w:line="440" w:lineRule="exact"/>
        <w:ind w:firstLine="480" w:firstLineChars="200"/>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招标代理机构：厦门市华沧采购招标有限公司        邮箱：xm-hc@163.com</w:t>
      </w:r>
    </w:p>
    <w:p w14:paraId="7BB1722C">
      <w:pPr>
        <w:spacing w:line="440" w:lineRule="exact"/>
        <w:ind w:firstLine="480" w:firstLineChars="200"/>
        <w:rPr>
          <w:rFonts w:hint="default" w:asciiTheme="majorEastAsia" w:hAnsiTheme="majorEastAsia" w:eastAsiaTheme="majorEastAsia"/>
          <w:color w:val="auto"/>
          <w:sz w:val="24"/>
          <w:highlight w:val="none"/>
          <w:lang w:val="en-US" w:eastAsia="zh-CN"/>
        </w:rPr>
      </w:pPr>
      <w:r>
        <w:rPr>
          <w:rFonts w:hint="eastAsia" w:asciiTheme="majorEastAsia" w:hAnsiTheme="majorEastAsia" w:eastAsiaTheme="majorEastAsia"/>
          <w:color w:val="auto"/>
          <w:sz w:val="24"/>
          <w:highlight w:val="none"/>
        </w:rPr>
        <w:t>地址：厦门市海沧区沧虹路95号工商银行大厦8楼   邮编：3610</w:t>
      </w:r>
      <w:r>
        <w:rPr>
          <w:rFonts w:hint="eastAsia" w:asciiTheme="majorEastAsia" w:hAnsiTheme="majorEastAsia" w:eastAsiaTheme="majorEastAsia"/>
          <w:color w:val="auto"/>
          <w:sz w:val="24"/>
          <w:highlight w:val="none"/>
          <w:lang w:val="en-US" w:eastAsia="zh-CN"/>
        </w:rPr>
        <w:t>26</w:t>
      </w:r>
    </w:p>
    <w:p w14:paraId="7523F0DE">
      <w:pPr>
        <w:spacing w:line="440" w:lineRule="exact"/>
        <w:rPr>
          <w:rFonts w:asciiTheme="majorEastAsia" w:hAnsiTheme="majorEastAsia" w:eastAsiaTheme="majorEastAsia"/>
          <w:color w:val="auto"/>
          <w:sz w:val="24"/>
          <w:highlight w:val="none"/>
        </w:rPr>
      </w:pPr>
      <w:r>
        <w:rPr>
          <w:rFonts w:hint="eastAsia" w:ascii="宋体" w:hAnsi="宋体"/>
          <w:color w:val="auto"/>
          <w:sz w:val="24"/>
          <w:highlight w:val="none"/>
        </w:rPr>
        <w:t xml:space="preserve">          厦门市思明区莲岳路221-1号（公交大厦</w:t>
      </w:r>
      <w:r>
        <w:rPr>
          <w:rFonts w:hint="eastAsia" w:ascii="宋体" w:hAnsi="宋体"/>
          <w:color w:val="auto"/>
          <w:sz w:val="24"/>
          <w:highlight w:val="none"/>
          <w:lang w:val="en-US" w:eastAsia="zh-CN"/>
        </w:rPr>
        <w:t>A栋</w:t>
      </w:r>
      <w:r>
        <w:rPr>
          <w:rFonts w:hint="eastAsia" w:ascii="宋体" w:hAnsi="宋体"/>
          <w:color w:val="auto"/>
          <w:sz w:val="24"/>
          <w:highlight w:val="none"/>
        </w:rPr>
        <w:t>）11楼</w:t>
      </w:r>
      <w:r>
        <w:rPr>
          <w:rFonts w:hint="eastAsia" w:asciiTheme="majorEastAsia" w:hAnsiTheme="majorEastAsia" w:eastAsiaTheme="majorEastAsia"/>
          <w:color w:val="auto"/>
          <w:sz w:val="24"/>
          <w:highlight w:val="none"/>
        </w:rPr>
        <w:t xml:space="preserve">               </w:t>
      </w:r>
    </w:p>
    <w:p w14:paraId="6A816860">
      <w:pPr>
        <w:snapToGrid w:val="0"/>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项目经办人及联系方式：陈小姐 0592-6080599   0592-6588966（传真）</w:t>
      </w:r>
    </w:p>
    <w:p w14:paraId="5480B581">
      <w:pPr>
        <w:snapToGrid w:val="0"/>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    保证金经办人及联系方式：叶小姐  0592-5333806  0592-5333807（传真）</w:t>
      </w:r>
    </w:p>
    <w:p w14:paraId="5A911443">
      <w:pPr>
        <w:snapToGrid w:val="0"/>
        <w:spacing w:line="440" w:lineRule="exact"/>
        <w:ind w:firstLine="480"/>
        <w:rPr>
          <w:rFonts w:asciiTheme="majorEastAsia" w:hAnsiTheme="majorEastAsia" w:eastAsiaTheme="majorEastAsia"/>
          <w:color w:val="auto"/>
          <w:sz w:val="24"/>
          <w:highlight w:val="none"/>
        </w:rPr>
      </w:pPr>
      <w:r>
        <w:rPr>
          <w:rFonts w:hint="eastAsia" w:asciiTheme="majorEastAsia" w:hAnsiTheme="majorEastAsia" w:eastAsiaTheme="majorEastAsia"/>
          <w:b/>
          <w:color w:val="auto"/>
          <w:sz w:val="24"/>
          <w:highlight w:val="none"/>
        </w:rPr>
        <w:t>投标保证金缴交账户</w:t>
      </w:r>
      <w:r>
        <w:rPr>
          <w:rFonts w:hint="eastAsia" w:asciiTheme="majorEastAsia" w:hAnsiTheme="majorEastAsia" w:eastAsiaTheme="majorEastAsia"/>
          <w:color w:val="auto"/>
          <w:sz w:val="24"/>
          <w:highlight w:val="none"/>
        </w:rPr>
        <w:t>：开户名：厦门市华沧采购招标有限公司</w:t>
      </w:r>
    </w:p>
    <w:p w14:paraId="7933109F">
      <w:pPr>
        <w:spacing w:line="440" w:lineRule="exact"/>
        <w:ind w:firstLine="2880" w:firstLineChars="1200"/>
        <w:rPr>
          <w:rFonts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rPr>
        <w:t>开户行：</w:t>
      </w:r>
      <w:r>
        <w:rPr>
          <w:rFonts w:hint="eastAsia" w:ascii="宋体" w:hAnsi="宋体"/>
          <w:color w:val="auto"/>
          <w:sz w:val="24"/>
          <w:highlight w:val="none"/>
        </w:rPr>
        <w:t xml:space="preserve">厦门银行前埔支行    </w:t>
      </w:r>
      <w:r>
        <w:rPr>
          <w:rFonts w:hint="eastAsia" w:asciiTheme="majorEastAsia" w:hAnsiTheme="majorEastAsia" w:eastAsiaTheme="majorEastAsia"/>
          <w:color w:val="auto"/>
          <w:sz w:val="24"/>
          <w:highlight w:val="none"/>
        </w:rPr>
        <w:t>账号：</w:t>
      </w:r>
      <w:r>
        <w:rPr>
          <w:rFonts w:ascii="宋体" w:hAnsi="宋体"/>
          <w:color w:val="auto"/>
          <w:sz w:val="24"/>
          <w:highlight w:val="none"/>
        </w:rPr>
        <w:t>87430120540000212</w:t>
      </w:r>
    </w:p>
    <w:p w14:paraId="1F1BE10B">
      <w:pPr>
        <w:spacing w:line="440" w:lineRule="exact"/>
        <w:ind w:firstLine="482" w:firstLineChars="200"/>
        <w:rPr>
          <w:rFonts w:asciiTheme="majorEastAsia" w:hAnsiTheme="majorEastAsia" w:eastAsiaTheme="majorEastAsia"/>
          <w:color w:val="auto"/>
          <w:sz w:val="24"/>
          <w:highlight w:val="none"/>
        </w:rPr>
      </w:pPr>
      <w:r>
        <w:rPr>
          <w:rFonts w:hint="eastAsia" w:asciiTheme="majorEastAsia" w:hAnsiTheme="majorEastAsia" w:eastAsiaTheme="majorEastAsia"/>
          <w:b/>
          <w:color w:val="auto"/>
          <w:sz w:val="24"/>
          <w:highlight w:val="none"/>
        </w:rPr>
        <w:t>招标代理服务费缴交账户</w:t>
      </w:r>
      <w:r>
        <w:rPr>
          <w:rFonts w:hint="eastAsia" w:asciiTheme="majorEastAsia" w:hAnsiTheme="majorEastAsia" w:eastAsiaTheme="majorEastAsia"/>
          <w:color w:val="auto"/>
          <w:sz w:val="24"/>
          <w:highlight w:val="none"/>
        </w:rPr>
        <w:t>：开户名：厦门市华沧采购招标有限公司</w:t>
      </w:r>
    </w:p>
    <w:p w14:paraId="6123AD67">
      <w:pPr>
        <w:spacing w:line="440" w:lineRule="exact"/>
        <w:ind w:firstLine="2880" w:firstLineChars="1200"/>
        <w:rPr>
          <w:rFonts w:asciiTheme="majorEastAsia" w:hAnsiTheme="majorEastAsia" w:eastAsiaTheme="majorEastAsia"/>
          <w:color w:val="auto"/>
          <w:sz w:val="24"/>
          <w:highlight w:val="none"/>
        </w:rPr>
        <w:sectPr>
          <w:footerReference r:id="rId5" w:type="default"/>
          <w:pgSz w:w="11906" w:h="16838"/>
          <w:pgMar w:top="851" w:right="1247" w:bottom="709" w:left="1247" w:header="851" w:footer="567" w:gutter="0"/>
          <w:pgBorders>
            <w:top w:val="none" w:sz="0" w:space="0"/>
            <w:left w:val="none" w:sz="0" w:space="0"/>
            <w:bottom w:val="none" w:sz="0" w:space="0"/>
            <w:right w:val="none" w:sz="0" w:space="0"/>
          </w:pgBorders>
          <w:cols w:space="720" w:num="1"/>
          <w:docGrid w:type="lines" w:linePitch="312" w:charSpace="0"/>
        </w:sectPr>
      </w:pPr>
      <w:r>
        <w:rPr>
          <w:rFonts w:hint="eastAsia" w:asciiTheme="majorEastAsia" w:hAnsiTheme="majorEastAsia" w:eastAsiaTheme="majorEastAsia"/>
          <w:color w:val="auto"/>
          <w:sz w:val="24"/>
          <w:highlight w:val="none"/>
        </w:rPr>
        <w:t>开户行：厦门银行银隆支行</w:t>
      </w:r>
      <w:r>
        <w:rPr>
          <w:rFonts w:hint="eastAsia" w:asciiTheme="majorEastAsia" w:hAnsiTheme="majorEastAsia" w:eastAsiaTheme="majorEastAsia"/>
          <w:color w:val="auto"/>
          <w:sz w:val="24"/>
          <w:highlight w:val="none"/>
          <w:lang w:val="en-US" w:eastAsia="zh-CN"/>
        </w:rPr>
        <w:t xml:space="preserve">   </w:t>
      </w:r>
      <w:r>
        <w:rPr>
          <w:rFonts w:hint="eastAsia" w:asciiTheme="majorEastAsia" w:hAnsiTheme="majorEastAsia" w:eastAsiaTheme="majorEastAsia"/>
          <w:color w:val="auto"/>
          <w:sz w:val="24"/>
          <w:highlight w:val="none"/>
        </w:rPr>
        <w:t>账号：8751020109007675</w:t>
      </w:r>
    </w:p>
    <w:p w14:paraId="4FF6A654">
      <w:pPr>
        <w:pStyle w:val="3"/>
        <w:keepNext w:val="0"/>
        <w:keepLines w:val="0"/>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10" w:name="_Toc32058"/>
      <w:bookmarkStart w:id="11" w:name="_Toc7814"/>
      <w:r>
        <w:rPr>
          <w:rFonts w:hint="eastAsia" w:asciiTheme="majorEastAsia" w:hAnsiTheme="majorEastAsia" w:eastAsiaTheme="majorEastAsia"/>
          <w:color w:val="auto"/>
          <w:sz w:val="28"/>
          <w:szCs w:val="28"/>
          <w:highlight w:val="none"/>
        </w:rPr>
        <w:t>二、招标项目一览表</w:t>
      </w:r>
      <w:bookmarkEnd w:id="10"/>
      <w:bookmarkEnd w:id="11"/>
    </w:p>
    <w:tbl>
      <w:tblPr>
        <w:tblStyle w:val="51"/>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1"/>
        <w:gridCol w:w="2610"/>
        <w:gridCol w:w="3112"/>
        <w:gridCol w:w="1454"/>
      </w:tblGrid>
      <w:tr w14:paraId="5CEB5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2241" w:type="dxa"/>
            <w:noWrap w:val="0"/>
            <w:vAlign w:val="center"/>
          </w:tcPr>
          <w:p w14:paraId="0F05C8B9">
            <w:pPr>
              <w:jc w:val="center"/>
              <w:rPr>
                <w:rFonts w:hint="eastAsia" w:hAnsi="宋体" w:cs="宋体"/>
                <w:b/>
                <w:bCs/>
                <w:color w:val="auto"/>
                <w:sz w:val="24"/>
                <w:szCs w:val="24"/>
                <w:highlight w:val="none"/>
              </w:rPr>
            </w:pPr>
            <w:r>
              <w:rPr>
                <w:rFonts w:hint="eastAsia" w:hAnsi="宋体" w:cs="宋体"/>
                <w:b/>
                <w:bCs/>
                <w:color w:val="auto"/>
                <w:sz w:val="24"/>
                <w:szCs w:val="24"/>
                <w:highlight w:val="none"/>
                <w:lang w:bidi="ar"/>
              </w:rPr>
              <w:t>项目名称</w:t>
            </w:r>
          </w:p>
        </w:tc>
        <w:tc>
          <w:tcPr>
            <w:tcW w:w="2610" w:type="dxa"/>
            <w:noWrap w:val="0"/>
            <w:vAlign w:val="center"/>
          </w:tcPr>
          <w:p w14:paraId="519937DF">
            <w:pPr>
              <w:jc w:val="center"/>
              <w:rPr>
                <w:rFonts w:hint="eastAsia" w:hAnsi="宋体" w:cs="宋体"/>
                <w:b/>
                <w:bCs/>
                <w:color w:val="auto"/>
                <w:sz w:val="24"/>
                <w:szCs w:val="24"/>
                <w:highlight w:val="none"/>
              </w:rPr>
            </w:pPr>
            <w:r>
              <w:rPr>
                <w:rFonts w:hint="eastAsia" w:hAnsi="宋体" w:cs="宋体"/>
                <w:b/>
                <w:bCs/>
                <w:color w:val="auto"/>
                <w:sz w:val="24"/>
                <w:szCs w:val="24"/>
                <w:highlight w:val="none"/>
                <w:lang w:bidi="ar"/>
              </w:rPr>
              <w:t>项目内容及技术要求</w:t>
            </w:r>
          </w:p>
        </w:tc>
        <w:tc>
          <w:tcPr>
            <w:tcW w:w="3112" w:type="dxa"/>
            <w:noWrap w:val="0"/>
            <w:vAlign w:val="center"/>
          </w:tcPr>
          <w:p w14:paraId="6F1DAC7F">
            <w:pPr>
              <w:jc w:val="center"/>
              <w:rPr>
                <w:rFonts w:hint="eastAsia" w:hAnsi="宋体" w:cs="宋体"/>
                <w:b/>
                <w:bCs/>
                <w:color w:val="auto"/>
                <w:sz w:val="24"/>
                <w:szCs w:val="24"/>
                <w:highlight w:val="none"/>
              </w:rPr>
            </w:pPr>
            <w:r>
              <w:rPr>
                <w:rFonts w:hint="eastAsia" w:hAnsi="宋体" w:cs="宋体"/>
                <w:b/>
                <w:bCs/>
                <w:color w:val="auto"/>
                <w:sz w:val="24"/>
                <w:szCs w:val="24"/>
                <w:highlight w:val="none"/>
              </w:rPr>
              <w:t>服务期限</w:t>
            </w:r>
          </w:p>
        </w:tc>
        <w:tc>
          <w:tcPr>
            <w:tcW w:w="1454" w:type="dxa"/>
            <w:noWrap w:val="0"/>
            <w:vAlign w:val="center"/>
          </w:tcPr>
          <w:p w14:paraId="5A40960A">
            <w:pPr>
              <w:jc w:val="center"/>
              <w:rPr>
                <w:rFonts w:hint="eastAsia" w:hAnsi="宋体" w:cs="宋体"/>
                <w:b/>
                <w:bCs/>
                <w:color w:val="auto"/>
                <w:sz w:val="24"/>
                <w:szCs w:val="24"/>
                <w:highlight w:val="none"/>
              </w:rPr>
            </w:pPr>
            <w:r>
              <w:rPr>
                <w:rFonts w:hint="eastAsia" w:hAnsi="宋体" w:cs="宋体"/>
                <w:b/>
                <w:bCs/>
                <w:color w:val="auto"/>
                <w:sz w:val="24"/>
                <w:szCs w:val="24"/>
                <w:highlight w:val="none"/>
              </w:rPr>
              <w:t>控制价</w:t>
            </w:r>
          </w:p>
        </w:tc>
      </w:tr>
      <w:tr w14:paraId="0D6DD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2" w:hRule="atLeast"/>
          <w:jc w:val="center"/>
        </w:trPr>
        <w:tc>
          <w:tcPr>
            <w:tcW w:w="2241" w:type="dxa"/>
            <w:noWrap w:val="0"/>
            <w:vAlign w:val="center"/>
          </w:tcPr>
          <w:p w14:paraId="3B03E5FB">
            <w:pPr>
              <w:spacing w:line="360" w:lineRule="auto"/>
              <w:jc w:val="center"/>
              <w:rPr>
                <w:rFonts w:hint="eastAsia" w:hAnsi="宋体" w:cs="宋体"/>
                <w:b/>
                <w:bCs/>
                <w:color w:val="auto"/>
                <w:sz w:val="24"/>
                <w:szCs w:val="24"/>
                <w:highlight w:val="none"/>
                <w:lang w:bidi="ar"/>
              </w:rPr>
            </w:pPr>
            <w:r>
              <w:rPr>
                <w:rFonts w:hint="eastAsia" w:cs="Courier New" w:asciiTheme="majorEastAsia" w:hAnsiTheme="majorEastAsia" w:eastAsiaTheme="majorEastAsia"/>
                <w:color w:val="auto"/>
                <w:sz w:val="24"/>
                <w:highlight w:val="none"/>
                <w:lang w:eastAsia="zh-CN"/>
              </w:rPr>
              <w:t>海沧半导体产业基地项目废水站系统运营服务采购</w:t>
            </w:r>
          </w:p>
        </w:tc>
        <w:tc>
          <w:tcPr>
            <w:tcW w:w="2610" w:type="dxa"/>
            <w:noWrap w:val="0"/>
            <w:vAlign w:val="center"/>
          </w:tcPr>
          <w:p w14:paraId="3BD537CB">
            <w:pPr>
              <w:spacing w:line="360" w:lineRule="auto"/>
              <w:jc w:val="center"/>
              <w:rPr>
                <w:rFonts w:hint="eastAsia" w:hAnsi="宋体" w:cs="宋体"/>
                <w:color w:val="auto"/>
                <w:sz w:val="24"/>
                <w:szCs w:val="24"/>
                <w:highlight w:val="none"/>
                <w:lang w:bidi="ar"/>
              </w:rPr>
            </w:pPr>
            <w:r>
              <w:rPr>
                <w:rFonts w:hint="eastAsia" w:cs="Courier New" w:asciiTheme="majorEastAsia" w:hAnsiTheme="majorEastAsia" w:eastAsiaTheme="majorEastAsia"/>
                <w:color w:val="auto"/>
                <w:sz w:val="24"/>
                <w:highlight w:val="none"/>
              </w:rPr>
              <w:t>详见招标文件第三章“招标内容及要求”。</w:t>
            </w:r>
          </w:p>
        </w:tc>
        <w:tc>
          <w:tcPr>
            <w:tcW w:w="3112" w:type="dxa"/>
            <w:noWrap w:val="0"/>
            <w:vAlign w:val="center"/>
          </w:tcPr>
          <w:p w14:paraId="73C40384">
            <w:pPr>
              <w:spacing w:line="360" w:lineRule="auto"/>
              <w:rPr>
                <w:rFonts w:hint="default" w:hAnsi="宋体" w:eastAsia="宋体" w:cs="宋体"/>
                <w:color w:val="auto"/>
                <w:sz w:val="24"/>
                <w:szCs w:val="24"/>
                <w:highlight w:val="none"/>
                <w:lang w:val="en-US" w:eastAsia="zh-CN" w:bidi="ar"/>
              </w:rPr>
            </w:pPr>
            <w:r>
              <w:rPr>
                <w:rFonts w:hint="eastAsia" w:ascii="宋体" w:hAnsi="宋体" w:eastAsia="宋体" w:cs="宋体"/>
                <w:color w:val="auto"/>
                <w:kern w:val="0"/>
                <w:sz w:val="24"/>
                <w:szCs w:val="24"/>
                <w:highlight w:val="none"/>
                <w:lang w:val="en-US" w:eastAsia="zh-CN"/>
              </w:rPr>
              <w:t>合同签订之日起</w:t>
            </w:r>
            <w:r>
              <w:rPr>
                <w:rFonts w:hint="eastAsia" w:ascii="宋体" w:hAnsi="宋体" w:eastAsia="宋体" w:cs="宋体"/>
                <w:color w:val="auto"/>
                <w:kern w:val="0"/>
                <w:sz w:val="24"/>
                <w:szCs w:val="24"/>
                <w:highlight w:val="none"/>
                <w:u w:val="single"/>
                <w:lang w:val="en-US" w:eastAsia="zh-CN"/>
              </w:rPr>
              <w:t>3</w:t>
            </w:r>
            <w:r>
              <w:rPr>
                <w:rFonts w:hint="eastAsia" w:ascii="宋体" w:hAnsi="宋体" w:eastAsia="宋体" w:cs="宋体"/>
                <w:color w:val="auto"/>
                <w:kern w:val="0"/>
                <w:sz w:val="24"/>
                <w:szCs w:val="24"/>
                <w:highlight w:val="none"/>
                <w:lang w:val="en-US" w:eastAsia="zh-CN"/>
              </w:rPr>
              <w:t>年</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合同采用一年一签形式，满一年经业主考核通过后，方可续签下一年度合同</w:t>
            </w:r>
            <w:r>
              <w:rPr>
                <w:rFonts w:hint="eastAsia" w:ascii="宋体" w:hAnsi="宋体" w:cs="宋体"/>
                <w:color w:val="auto"/>
                <w:sz w:val="24"/>
                <w:szCs w:val="24"/>
                <w:highlight w:val="none"/>
                <w:lang w:val="en-US" w:eastAsia="zh-CN"/>
              </w:rPr>
              <w:t>。</w:t>
            </w:r>
          </w:p>
        </w:tc>
        <w:tc>
          <w:tcPr>
            <w:tcW w:w="1454" w:type="dxa"/>
            <w:noWrap w:val="0"/>
            <w:vAlign w:val="center"/>
          </w:tcPr>
          <w:p w14:paraId="2A270082">
            <w:pPr>
              <w:spacing w:line="360" w:lineRule="auto"/>
              <w:jc w:val="center"/>
              <w:rPr>
                <w:rFonts w:hint="eastAsia" w:ascii="宋体" w:hAnsi="宋体" w:cs="宋体"/>
                <w:color w:val="auto"/>
                <w:sz w:val="24"/>
                <w:szCs w:val="24"/>
                <w:highlight w:val="none"/>
                <w:lang w:bidi="ar"/>
              </w:rPr>
            </w:pPr>
            <w:r>
              <w:rPr>
                <w:rFonts w:hint="eastAsia" w:ascii="宋体" w:hAnsi="宋体" w:cs="宋体"/>
                <w:color w:val="auto"/>
                <w:sz w:val="24"/>
                <w:szCs w:val="24"/>
                <w:highlight w:val="none"/>
                <w:lang w:bidi="ar"/>
              </w:rPr>
              <w:t>¥</w:t>
            </w:r>
            <w:r>
              <w:rPr>
                <w:rFonts w:hint="eastAsia" w:ascii="宋体" w:hAnsi="宋体" w:cs="宋体"/>
                <w:color w:val="auto"/>
                <w:sz w:val="24"/>
                <w:szCs w:val="24"/>
                <w:highlight w:val="none"/>
                <w:lang w:val="en-US" w:eastAsia="zh-CN" w:bidi="ar"/>
              </w:rPr>
              <w:t>830万</w:t>
            </w:r>
            <w:r>
              <w:rPr>
                <w:rFonts w:hint="eastAsia" w:ascii="宋体" w:hAnsi="宋体" w:cs="宋体"/>
                <w:color w:val="auto"/>
                <w:sz w:val="24"/>
                <w:szCs w:val="24"/>
                <w:highlight w:val="none"/>
                <w:lang w:bidi="ar"/>
              </w:rPr>
              <w:t>元</w:t>
            </w:r>
          </w:p>
        </w:tc>
      </w:tr>
    </w:tbl>
    <w:p w14:paraId="5DADE36F">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备注：</w:t>
      </w:r>
    </w:p>
    <w:p w14:paraId="3425E9FA">
      <w:pPr>
        <w:widowControl/>
        <w:spacing w:line="360" w:lineRule="auto"/>
        <w:ind w:firstLine="480" w:firstLineChars="200"/>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1.本次招标为整体招标，投标人必须对本次招标范围内的所有服务进行完整投标响应，否则将导致无效投标，评标与授标以整体为单位。</w:t>
      </w:r>
    </w:p>
    <w:p w14:paraId="59005688">
      <w:pPr>
        <w:widowControl/>
        <w:spacing w:line="360" w:lineRule="auto"/>
        <w:ind w:firstLine="482" w:firstLineChars="200"/>
        <w:jc w:val="left"/>
        <w:rPr>
          <w:rFonts w:asciiTheme="majorEastAsia" w:hAnsiTheme="majorEastAsia" w:eastAsiaTheme="majorEastAsia"/>
          <w:b/>
          <w:color w:val="auto"/>
          <w:sz w:val="24"/>
          <w:highlight w:val="none"/>
        </w:rPr>
      </w:pPr>
      <w:r>
        <w:rPr>
          <w:rFonts w:asciiTheme="majorEastAsia" w:hAnsiTheme="majorEastAsia" w:eastAsiaTheme="majorEastAsia"/>
          <w:b/>
          <w:color w:val="auto"/>
          <w:sz w:val="24"/>
          <w:highlight w:val="none"/>
        </w:rPr>
        <w:t>2</w:t>
      </w:r>
      <w:r>
        <w:rPr>
          <w:rFonts w:hint="eastAsia" w:asciiTheme="majorEastAsia" w:hAnsiTheme="majorEastAsia" w:eastAsiaTheme="majorEastAsia"/>
          <w:b/>
          <w:color w:val="auto"/>
          <w:sz w:val="24"/>
          <w:highlight w:val="none"/>
        </w:rPr>
        <w:t>.投标人投标报价不得招标项目一览表</w:t>
      </w:r>
      <w:r>
        <w:rPr>
          <w:rFonts w:hint="eastAsia" w:asciiTheme="majorEastAsia" w:hAnsiTheme="majorEastAsia" w:eastAsiaTheme="majorEastAsia"/>
          <w:b/>
          <w:color w:val="auto"/>
          <w:sz w:val="24"/>
          <w:highlight w:val="none"/>
          <w:lang w:val="en-US" w:eastAsia="zh-CN"/>
        </w:rPr>
        <w:t>的</w:t>
      </w:r>
      <w:r>
        <w:rPr>
          <w:rFonts w:hint="eastAsia" w:asciiTheme="majorEastAsia" w:hAnsiTheme="majorEastAsia" w:eastAsiaTheme="majorEastAsia"/>
          <w:b/>
          <w:color w:val="auto"/>
          <w:sz w:val="24"/>
          <w:highlight w:val="none"/>
        </w:rPr>
        <w:t>控制价，否则视为无效投标。</w:t>
      </w:r>
    </w:p>
    <w:p w14:paraId="133F7BAB">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12" w:name="_Toc8527"/>
      <w:bookmarkStart w:id="13" w:name="_Toc13826"/>
      <w:r>
        <w:rPr>
          <w:rFonts w:hint="eastAsia" w:asciiTheme="majorEastAsia" w:hAnsiTheme="majorEastAsia" w:eastAsiaTheme="majorEastAsia"/>
          <w:color w:val="auto"/>
          <w:sz w:val="28"/>
          <w:szCs w:val="28"/>
          <w:highlight w:val="none"/>
        </w:rPr>
        <w:t>第二章投标人须知</w:t>
      </w:r>
      <w:bookmarkEnd w:id="12"/>
      <w:bookmarkEnd w:id="13"/>
    </w:p>
    <w:p w14:paraId="3F906276">
      <w:pPr>
        <w:pStyle w:val="3"/>
        <w:numPr>
          <w:ilvl w:val="1"/>
          <w:numId w:val="0"/>
        </w:numPr>
        <w:spacing w:before="0" w:after="0" w:line="360" w:lineRule="auto"/>
        <w:ind w:left="3060" w:leftChars="1457" w:firstLine="562" w:firstLineChars="200"/>
        <w:jc w:val="both"/>
        <w:rPr>
          <w:rFonts w:asciiTheme="majorEastAsia" w:hAnsiTheme="majorEastAsia" w:eastAsiaTheme="majorEastAsia"/>
          <w:color w:val="auto"/>
          <w:sz w:val="28"/>
          <w:szCs w:val="28"/>
          <w:highlight w:val="none"/>
        </w:rPr>
      </w:pPr>
      <w:bookmarkStart w:id="14" w:name="_Toc332895785"/>
      <w:bookmarkStart w:id="15" w:name="_Toc20556"/>
      <w:bookmarkStart w:id="16" w:name="_Toc314838385"/>
      <w:bookmarkStart w:id="17" w:name="_Toc26867"/>
      <w:bookmarkStart w:id="18" w:name="_Toc329098419"/>
      <w:bookmarkStart w:id="19" w:name="_Toc332894815"/>
      <w:r>
        <w:rPr>
          <w:rFonts w:hint="eastAsia" w:asciiTheme="majorEastAsia" w:hAnsiTheme="majorEastAsia" w:eastAsiaTheme="majorEastAsia"/>
          <w:color w:val="auto"/>
          <w:sz w:val="28"/>
          <w:szCs w:val="28"/>
          <w:highlight w:val="none"/>
        </w:rPr>
        <w:t>投标人须知前附表1</w:t>
      </w:r>
      <w:bookmarkEnd w:id="14"/>
      <w:bookmarkEnd w:id="15"/>
      <w:bookmarkEnd w:id="16"/>
      <w:bookmarkEnd w:id="17"/>
      <w:bookmarkEnd w:id="18"/>
      <w:bookmarkEnd w:id="19"/>
    </w:p>
    <w:p w14:paraId="3D7DFAB2">
      <w:pPr>
        <w:spacing w:line="360" w:lineRule="auto"/>
        <w:ind w:firstLine="52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本须知前附表1的条款号是与《投标人须知》中条款的项号相对应的。如果有矛盾的话，应以本须知前附表为准。</w:t>
      </w:r>
    </w:p>
    <w:tbl>
      <w:tblPr>
        <w:tblStyle w:val="51"/>
        <w:tblW w:w="10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992"/>
        <w:gridCol w:w="8373"/>
      </w:tblGrid>
      <w:tr w14:paraId="433D5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blHeader/>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26EC882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项号</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4A855A6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条款号</w:t>
            </w: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14:paraId="7C8C243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编列内容</w:t>
            </w:r>
          </w:p>
        </w:tc>
      </w:tr>
      <w:tr w14:paraId="48738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0BBFEFA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69E8A29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w:t>
            </w: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14:paraId="22F8254E">
            <w:pPr>
              <w:spacing w:line="360" w:lineRule="auto"/>
              <w:rPr>
                <w:rFonts w:hint="eastAsia" w:asciiTheme="majorEastAsia" w:hAnsiTheme="majorEastAsia" w:eastAsiaTheme="majorEastAsia"/>
                <w:b/>
                <w:bCs/>
                <w:color w:val="auto"/>
                <w:sz w:val="24"/>
                <w:highlight w:val="none"/>
                <w:u w:val="single"/>
                <w:lang w:eastAsia="zh-CN"/>
              </w:rPr>
            </w:pPr>
            <w:r>
              <w:rPr>
                <w:rFonts w:hint="eastAsia" w:asciiTheme="majorEastAsia" w:hAnsiTheme="majorEastAsia" w:eastAsiaTheme="majorEastAsia"/>
                <w:color w:val="auto"/>
                <w:sz w:val="24"/>
                <w:highlight w:val="none"/>
              </w:rPr>
              <w:t>项目名称</w:t>
            </w:r>
            <w:r>
              <w:rPr>
                <w:rFonts w:hint="eastAsia" w:asciiTheme="majorEastAsia" w:hAnsiTheme="majorEastAsia" w:eastAsiaTheme="majorEastAsia"/>
                <w:color w:val="auto"/>
                <w:sz w:val="24"/>
                <w:highlight w:val="none"/>
                <w:lang w:eastAsia="zh-CN"/>
              </w:rPr>
              <w:t>：</w:t>
            </w:r>
            <w:r>
              <w:rPr>
                <w:rFonts w:hint="eastAsia" w:asciiTheme="majorEastAsia" w:hAnsiTheme="majorEastAsia" w:eastAsiaTheme="majorEastAsia"/>
                <w:b/>
                <w:bCs/>
                <w:color w:val="auto"/>
                <w:sz w:val="24"/>
                <w:highlight w:val="none"/>
                <w:u w:val="single"/>
                <w:lang w:eastAsia="zh-CN"/>
              </w:rPr>
              <w:t>海沧半导体产业基地项目废水站系统运营服务采购</w:t>
            </w:r>
          </w:p>
          <w:p w14:paraId="4B510912">
            <w:pPr>
              <w:spacing w:line="360" w:lineRule="auto"/>
              <w:rPr>
                <w:rFonts w:asciiTheme="majorEastAsia" w:hAnsiTheme="majorEastAsia" w:eastAsiaTheme="majorEastAsia"/>
                <w:b/>
                <w:color w:val="auto"/>
                <w:sz w:val="24"/>
                <w:highlight w:val="none"/>
                <w:u w:val="single"/>
              </w:rPr>
            </w:pPr>
            <w:r>
              <w:rPr>
                <w:rFonts w:hint="eastAsia" w:asciiTheme="majorEastAsia" w:hAnsiTheme="majorEastAsia" w:eastAsiaTheme="majorEastAsia"/>
                <w:color w:val="auto"/>
                <w:sz w:val="24"/>
                <w:highlight w:val="none"/>
              </w:rPr>
              <w:t>招标人：</w:t>
            </w:r>
            <w:r>
              <w:rPr>
                <w:rFonts w:hint="eastAsia" w:asciiTheme="majorEastAsia" w:hAnsiTheme="majorEastAsia" w:eastAsiaTheme="majorEastAsia"/>
                <w:b/>
                <w:bCs/>
                <w:color w:val="auto"/>
                <w:sz w:val="24"/>
                <w:highlight w:val="none"/>
                <w:u w:val="single"/>
                <w:lang w:eastAsia="zh-CN"/>
              </w:rPr>
              <w:t>厦门海沧信息产业发展有限公司</w:t>
            </w:r>
          </w:p>
          <w:p w14:paraId="083984CD">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项目内容：</w:t>
            </w:r>
            <w:r>
              <w:rPr>
                <w:rFonts w:hint="eastAsia" w:asciiTheme="majorEastAsia" w:hAnsiTheme="majorEastAsia" w:eastAsiaTheme="majorEastAsia"/>
                <w:b/>
                <w:color w:val="auto"/>
                <w:sz w:val="24"/>
                <w:highlight w:val="none"/>
                <w:u w:val="single"/>
              </w:rPr>
              <w:t>详见招标项目一览表</w:t>
            </w:r>
          </w:p>
          <w:p w14:paraId="6219DD3B">
            <w:pPr>
              <w:spacing w:line="360" w:lineRule="auto"/>
              <w:rPr>
                <w:rFonts w:hint="eastAsia" w:asciiTheme="majorEastAsia" w:hAnsiTheme="majorEastAsia" w:eastAsiaTheme="majorEastAsia"/>
                <w:b/>
                <w:color w:val="auto"/>
                <w:sz w:val="24"/>
                <w:highlight w:val="none"/>
                <w:u w:val="single"/>
                <w:lang w:eastAsia="zh-CN"/>
              </w:rPr>
            </w:pPr>
            <w:r>
              <w:rPr>
                <w:rFonts w:hint="eastAsia" w:asciiTheme="majorEastAsia" w:hAnsiTheme="majorEastAsia" w:eastAsiaTheme="majorEastAsia"/>
                <w:color w:val="auto"/>
                <w:sz w:val="24"/>
                <w:highlight w:val="none"/>
              </w:rPr>
              <w:t>项目编号：</w:t>
            </w:r>
            <w:r>
              <w:rPr>
                <w:rFonts w:hint="eastAsia" w:asciiTheme="majorEastAsia" w:hAnsiTheme="majorEastAsia" w:eastAsiaTheme="majorEastAsia"/>
                <w:b/>
                <w:color w:val="auto"/>
                <w:sz w:val="24"/>
                <w:highlight w:val="none"/>
                <w:u w:val="single"/>
                <w:lang w:eastAsia="zh-CN"/>
              </w:rPr>
              <w:t>2024-HCGK-SH1508</w:t>
            </w:r>
          </w:p>
        </w:tc>
      </w:tr>
      <w:tr w14:paraId="290D2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24A10FAB">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3DED09CA">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3.1</w:t>
            </w: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tcPr>
          <w:p w14:paraId="1EE41331">
            <w:pPr>
              <w:spacing w:line="380" w:lineRule="exact"/>
              <w:rPr>
                <w:rFonts w:cs="Arial" w:asciiTheme="majorEastAsia" w:hAnsiTheme="majorEastAsia" w:eastAsiaTheme="majorEastAsia"/>
                <w:color w:val="auto"/>
                <w:sz w:val="24"/>
                <w:highlight w:val="none"/>
              </w:rPr>
            </w:pPr>
            <w:r>
              <w:rPr>
                <w:rFonts w:hint="eastAsia" w:cs="Arial" w:asciiTheme="majorEastAsia" w:hAnsiTheme="majorEastAsia" w:eastAsiaTheme="majorEastAsia"/>
                <w:color w:val="auto"/>
                <w:sz w:val="24"/>
                <w:highlight w:val="none"/>
              </w:rPr>
              <w:t>资格标准：</w:t>
            </w:r>
          </w:p>
          <w:p w14:paraId="60FA7C36">
            <w:pPr>
              <w:spacing w:line="380" w:lineRule="exact"/>
              <w:rPr>
                <w:rFonts w:cs="Arial" w:asciiTheme="majorEastAsia" w:hAnsiTheme="majorEastAsia" w:eastAsiaTheme="majorEastAsia"/>
                <w:color w:val="auto"/>
                <w:sz w:val="24"/>
                <w:highlight w:val="none"/>
              </w:rPr>
            </w:pPr>
            <w:r>
              <w:rPr>
                <w:rFonts w:hint="eastAsia" w:cs="Arial" w:asciiTheme="majorEastAsia" w:hAnsiTheme="majorEastAsia" w:eastAsiaTheme="majorEastAsia"/>
                <w:color w:val="auto"/>
                <w:sz w:val="24"/>
                <w:highlight w:val="none"/>
              </w:rPr>
              <w:t>详见投标须知附表2、第二章《投标人须知》第3条，以及第三章《招标内容及要求》有关内容。</w:t>
            </w:r>
          </w:p>
        </w:tc>
      </w:tr>
      <w:tr w14:paraId="09AF3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0D5808F8">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5F037912">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11.1</w:t>
            </w: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14:paraId="0D5867C0">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投标有效期：投标截止期结束后</w:t>
            </w:r>
            <w:r>
              <w:rPr>
                <w:rFonts w:hint="eastAsia" w:asciiTheme="majorEastAsia" w:hAnsiTheme="majorEastAsia" w:eastAsiaTheme="majorEastAsia"/>
                <w:color w:val="auto"/>
                <w:sz w:val="24"/>
                <w:highlight w:val="none"/>
                <w:u w:val="single"/>
              </w:rPr>
              <w:t>90</w:t>
            </w:r>
            <w:r>
              <w:rPr>
                <w:rFonts w:hint="eastAsia" w:asciiTheme="majorEastAsia" w:hAnsiTheme="majorEastAsia" w:eastAsiaTheme="majorEastAsia"/>
                <w:color w:val="auto"/>
                <w:sz w:val="24"/>
                <w:highlight w:val="none"/>
              </w:rPr>
              <w:t>个日历日。</w:t>
            </w:r>
          </w:p>
          <w:p w14:paraId="70B85028">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有效期不足将导致其投标文件被拒绝。</w:t>
            </w:r>
          </w:p>
        </w:tc>
      </w:tr>
      <w:tr w14:paraId="534E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7CA58E7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23E5F70F">
            <w:pPr>
              <w:spacing w:line="360" w:lineRule="auto"/>
              <w:rPr>
                <w:rFonts w:asciiTheme="majorEastAsia" w:hAnsiTheme="majorEastAsia" w:eastAsiaTheme="majorEastAsia"/>
                <w:color w:val="auto"/>
                <w:sz w:val="24"/>
                <w:highlight w:val="none"/>
              </w:rPr>
            </w:pP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14:paraId="236392F7">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投标文件递交地址：详见招标文件第一章“投标邀请”</w:t>
            </w:r>
          </w:p>
          <w:p w14:paraId="5C605962">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接收人：</w:t>
            </w:r>
            <w:r>
              <w:rPr>
                <w:rFonts w:hint="eastAsia" w:asciiTheme="majorEastAsia" w:hAnsiTheme="majorEastAsia" w:eastAsiaTheme="majorEastAsia"/>
                <w:color w:val="auto"/>
                <w:sz w:val="24"/>
                <w:highlight w:val="none"/>
                <w:u w:val="single"/>
              </w:rPr>
              <w:t>陈小姐</w:t>
            </w:r>
          </w:p>
          <w:p w14:paraId="336CA6B7">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投标截止时间：详见招标文件第一章“投标邀请”</w:t>
            </w:r>
          </w:p>
          <w:p w14:paraId="0D66BD3F">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在投标截止时间后递交的投标文件，招标代理机构将不予接收。</w:t>
            </w:r>
          </w:p>
          <w:p w14:paraId="73B9808E">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本项目要求投标人提供投标文件正本1份，副本1份及电子文档1份</w:t>
            </w:r>
            <w:r>
              <w:rPr>
                <w:rFonts w:hint="eastAsia" w:asciiTheme="majorEastAsia" w:hAnsiTheme="majorEastAsia" w:eastAsiaTheme="majorEastAsia"/>
                <w:b/>
                <w:color w:val="auto"/>
                <w:sz w:val="24"/>
                <w:highlight w:val="none"/>
                <w:lang w:eastAsia="zh-CN"/>
              </w:rPr>
              <w:t>【</w:t>
            </w:r>
            <w:r>
              <w:rPr>
                <w:rFonts w:hint="eastAsia" w:asciiTheme="majorEastAsia" w:hAnsiTheme="majorEastAsia" w:eastAsiaTheme="majorEastAsia"/>
                <w:b/>
                <w:color w:val="auto"/>
                <w:sz w:val="24"/>
                <w:highlight w:val="none"/>
                <w:lang w:val="en-US" w:eastAsia="zh-CN"/>
              </w:rPr>
              <w:t>投标</w:t>
            </w:r>
            <w:r>
              <w:rPr>
                <w:rFonts w:hint="eastAsia" w:asciiTheme="majorEastAsia" w:hAnsiTheme="majorEastAsia" w:eastAsiaTheme="majorEastAsia"/>
                <w:b/>
                <w:color w:val="auto"/>
                <w:sz w:val="24"/>
                <w:highlight w:val="none"/>
              </w:rPr>
              <w:t>文件加盖公章完整的电子版光盘一张或U盘一个（光盘或U盘置于</w:t>
            </w:r>
            <w:r>
              <w:rPr>
                <w:rFonts w:hint="eastAsia" w:asciiTheme="majorEastAsia" w:hAnsiTheme="majorEastAsia" w:eastAsiaTheme="majorEastAsia"/>
                <w:b/>
                <w:color w:val="auto"/>
                <w:sz w:val="24"/>
                <w:highlight w:val="none"/>
                <w:lang w:val="en-US" w:eastAsia="zh-CN"/>
              </w:rPr>
              <w:t>投标</w:t>
            </w:r>
            <w:r>
              <w:rPr>
                <w:rFonts w:hint="eastAsia" w:asciiTheme="majorEastAsia" w:hAnsiTheme="majorEastAsia" w:eastAsiaTheme="majorEastAsia"/>
                <w:b/>
                <w:color w:val="auto"/>
                <w:sz w:val="24"/>
                <w:highlight w:val="none"/>
              </w:rPr>
              <w:t>文件正</w:t>
            </w:r>
            <w:r>
              <w:rPr>
                <w:rFonts w:hint="eastAsia" w:asciiTheme="majorEastAsia" w:hAnsiTheme="majorEastAsia" w:eastAsiaTheme="majorEastAsia"/>
                <w:b/>
                <w:color w:val="auto"/>
                <w:sz w:val="24"/>
                <w:highlight w:val="none"/>
                <w:lang w:val="en-US" w:eastAsia="zh-CN"/>
              </w:rPr>
              <w:t>本</w:t>
            </w:r>
            <w:r>
              <w:rPr>
                <w:rFonts w:hint="eastAsia" w:asciiTheme="majorEastAsia" w:hAnsiTheme="majorEastAsia" w:eastAsiaTheme="majorEastAsia"/>
                <w:b/>
                <w:color w:val="auto"/>
                <w:sz w:val="24"/>
                <w:highlight w:val="none"/>
              </w:rPr>
              <w:t>档案袋中）</w:t>
            </w:r>
            <w:r>
              <w:rPr>
                <w:rFonts w:hint="eastAsia" w:asciiTheme="majorEastAsia" w:hAnsiTheme="majorEastAsia" w:eastAsiaTheme="majorEastAsia"/>
                <w:b/>
                <w:color w:val="auto"/>
                <w:sz w:val="24"/>
                <w:highlight w:val="none"/>
                <w:lang w:eastAsia="zh-CN"/>
              </w:rPr>
              <w:t>】</w:t>
            </w:r>
          </w:p>
          <w:p w14:paraId="7E1D08A5">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投标人一旦递交投标文件，即视为理解并接受投标人须知的所有内容。</w:t>
            </w:r>
          </w:p>
        </w:tc>
      </w:tr>
      <w:tr w14:paraId="6BE8D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677" w:type="dxa"/>
            <w:tcBorders>
              <w:top w:val="double" w:color="auto" w:sz="4" w:space="0"/>
              <w:left w:val="double" w:color="auto" w:sz="4" w:space="0"/>
            </w:tcBorders>
            <w:tcMar>
              <w:top w:w="85" w:type="dxa"/>
              <w:left w:w="85" w:type="dxa"/>
              <w:bottom w:w="85" w:type="dxa"/>
              <w:right w:w="85" w:type="dxa"/>
            </w:tcMar>
            <w:vAlign w:val="center"/>
          </w:tcPr>
          <w:p w14:paraId="156D8B2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w:t>
            </w:r>
          </w:p>
        </w:tc>
        <w:tc>
          <w:tcPr>
            <w:tcW w:w="992" w:type="dxa"/>
            <w:tcBorders>
              <w:top w:val="double" w:color="auto" w:sz="4" w:space="0"/>
            </w:tcBorders>
            <w:tcMar>
              <w:top w:w="85" w:type="dxa"/>
              <w:left w:w="85" w:type="dxa"/>
              <w:bottom w:w="85" w:type="dxa"/>
              <w:right w:w="85" w:type="dxa"/>
            </w:tcMar>
            <w:vAlign w:val="center"/>
          </w:tcPr>
          <w:p w14:paraId="05E0C4A4">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w:t>
            </w:r>
          </w:p>
        </w:tc>
        <w:tc>
          <w:tcPr>
            <w:tcW w:w="8373" w:type="dxa"/>
            <w:tcBorders>
              <w:top w:val="double" w:color="auto" w:sz="4" w:space="0"/>
              <w:right w:val="double" w:color="auto" w:sz="4" w:space="0"/>
            </w:tcBorders>
            <w:tcMar>
              <w:top w:w="85" w:type="dxa"/>
              <w:left w:w="85" w:type="dxa"/>
              <w:bottom w:w="85" w:type="dxa"/>
              <w:right w:w="85" w:type="dxa"/>
            </w:tcMar>
          </w:tcPr>
          <w:p w14:paraId="4FEC4B35">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color w:val="auto"/>
                <w:sz w:val="24"/>
                <w:highlight w:val="none"/>
              </w:rPr>
              <w:t>投标保证金：</w:t>
            </w:r>
            <w:r>
              <w:rPr>
                <w:rFonts w:hint="eastAsia" w:asciiTheme="majorEastAsia" w:hAnsiTheme="majorEastAsia" w:eastAsiaTheme="majorEastAsia"/>
                <w:b/>
                <w:bCs/>
                <w:color w:val="auto"/>
                <w:sz w:val="24"/>
                <w:highlight w:val="none"/>
              </w:rPr>
              <w:t>人民币</w:t>
            </w:r>
            <w:r>
              <w:rPr>
                <w:rFonts w:hint="eastAsia" w:asciiTheme="majorEastAsia" w:hAnsiTheme="majorEastAsia" w:eastAsiaTheme="majorEastAsia"/>
                <w:b/>
                <w:bCs/>
                <w:color w:val="auto"/>
                <w:sz w:val="24"/>
                <w:highlight w:val="none"/>
                <w:lang w:val="en-US" w:eastAsia="zh-CN"/>
              </w:rPr>
              <w:t>捌万</w:t>
            </w:r>
            <w:r>
              <w:rPr>
                <w:rFonts w:hint="eastAsia" w:asciiTheme="majorEastAsia" w:hAnsiTheme="majorEastAsia" w:eastAsiaTheme="majorEastAsia"/>
                <w:b/>
                <w:bCs/>
                <w:color w:val="auto"/>
                <w:sz w:val="24"/>
                <w:highlight w:val="none"/>
              </w:rPr>
              <w:t>元整（¥</w:t>
            </w:r>
            <w:r>
              <w:rPr>
                <w:rFonts w:hint="eastAsia" w:asciiTheme="majorEastAsia" w:hAnsiTheme="majorEastAsia" w:eastAsiaTheme="majorEastAsia"/>
                <w:b/>
                <w:bCs/>
                <w:color w:val="auto"/>
                <w:sz w:val="24"/>
                <w:highlight w:val="none"/>
                <w:lang w:val="en-US" w:eastAsia="zh-CN"/>
              </w:rPr>
              <w:t>8</w:t>
            </w:r>
            <w:r>
              <w:rPr>
                <w:rFonts w:hint="eastAsia" w:asciiTheme="majorEastAsia" w:hAnsiTheme="majorEastAsia" w:eastAsiaTheme="majorEastAsia"/>
                <w:b/>
                <w:bCs/>
                <w:color w:val="auto"/>
                <w:sz w:val="24"/>
                <w:highlight w:val="none"/>
              </w:rPr>
              <w:t>0000元）</w:t>
            </w:r>
          </w:p>
          <w:p w14:paraId="3CE33B99">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特别说明：</w:t>
            </w:r>
          </w:p>
          <w:p w14:paraId="4DFB3C02">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1.投标保证金从招标文件发售之日起即可缴纳，且必须保证在</w:t>
            </w:r>
            <w:r>
              <w:rPr>
                <w:rFonts w:hint="eastAsia" w:asciiTheme="majorEastAsia" w:hAnsiTheme="majorEastAsia" w:eastAsiaTheme="majorEastAsia"/>
                <w:b/>
                <w:color w:val="auto"/>
                <w:sz w:val="24"/>
                <w:highlight w:val="none"/>
              </w:rPr>
              <w:t>投标截止时间前</w:t>
            </w:r>
            <w:r>
              <w:rPr>
                <w:rFonts w:hint="eastAsia" w:asciiTheme="majorEastAsia" w:hAnsiTheme="majorEastAsia" w:eastAsiaTheme="majorEastAsia"/>
                <w:color w:val="auto"/>
                <w:sz w:val="24"/>
                <w:highlight w:val="none"/>
              </w:rPr>
              <w:t>缴交至指定账户，未按规定足额缴纳投标保证金的投标文件视为无效投标文件。</w:t>
            </w:r>
          </w:p>
          <w:p w14:paraId="43B9863D">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投标人可以采用银行转账、汇款等形式将投标保证金缴交至代理机构投标保证金账户（详见招标文件第一章“投标邀请”。截标前投标人应提供银行转账受理回执，不得在投标现场缴交现金、现金解款形式或以个人名义代缴投标保证金。</w:t>
            </w:r>
          </w:p>
        </w:tc>
      </w:tr>
      <w:tr w14:paraId="6BDD2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677" w:type="dxa"/>
            <w:tcBorders>
              <w:top w:val="double" w:color="auto" w:sz="4" w:space="0"/>
              <w:left w:val="double" w:color="auto" w:sz="4" w:space="0"/>
              <w:bottom w:val="single" w:color="auto" w:sz="4" w:space="0"/>
            </w:tcBorders>
            <w:tcMar>
              <w:top w:w="85" w:type="dxa"/>
              <w:left w:w="85" w:type="dxa"/>
              <w:bottom w:w="85" w:type="dxa"/>
              <w:right w:w="85" w:type="dxa"/>
            </w:tcMar>
            <w:vAlign w:val="center"/>
          </w:tcPr>
          <w:p w14:paraId="2A558CF8">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w:t>
            </w:r>
          </w:p>
        </w:tc>
        <w:tc>
          <w:tcPr>
            <w:tcW w:w="992" w:type="dxa"/>
            <w:tcBorders>
              <w:top w:val="double" w:color="auto" w:sz="4" w:space="0"/>
              <w:bottom w:val="single" w:color="auto" w:sz="4" w:space="0"/>
            </w:tcBorders>
            <w:tcMar>
              <w:top w:w="85" w:type="dxa"/>
              <w:left w:w="85" w:type="dxa"/>
              <w:bottom w:w="85" w:type="dxa"/>
              <w:right w:w="85" w:type="dxa"/>
            </w:tcMar>
            <w:vAlign w:val="center"/>
          </w:tcPr>
          <w:p w14:paraId="2237F1DB">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19.1</w:t>
            </w:r>
          </w:p>
        </w:tc>
        <w:tc>
          <w:tcPr>
            <w:tcW w:w="8373" w:type="dxa"/>
            <w:tcBorders>
              <w:top w:val="double" w:color="auto" w:sz="4" w:space="0"/>
              <w:bottom w:val="single" w:color="auto" w:sz="4" w:space="0"/>
              <w:right w:val="double" w:color="auto" w:sz="4" w:space="0"/>
            </w:tcBorders>
            <w:tcMar>
              <w:top w:w="85" w:type="dxa"/>
              <w:left w:w="85" w:type="dxa"/>
              <w:bottom w:w="85" w:type="dxa"/>
              <w:right w:w="85" w:type="dxa"/>
            </w:tcMar>
          </w:tcPr>
          <w:p w14:paraId="2807FCD9">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评标方法、标准及定标原则(含推荐中标候选供应商数量)：详见《投标人须知前附表3》。</w:t>
            </w:r>
          </w:p>
        </w:tc>
      </w:tr>
      <w:tr w14:paraId="1E9C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jc w:val="center"/>
        </w:trPr>
        <w:tc>
          <w:tcPr>
            <w:tcW w:w="677" w:type="dxa"/>
            <w:tcBorders>
              <w:left w:val="double" w:color="auto" w:sz="4" w:space="0"/>
              <w:bottom w:val="double" w:color="auto" w:sz="4" w:space="0"/>
            </w:tcBorders>
            <w:tcMar>
              <w:top w:w="85" w:type="dxa"/>
              <w:left w:w="85" w:type="dxa"/>
              <w:bottom w:w="85" w:type="dxa"/>
              <w:right w:w="85" w:type="dxa"/>
            </w:tcMar>
            <w:vAlign w:val="center"/>
          </w:tcPr>
          <w:p w14:paraId="3D9E9F74">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w:t>
            </w:r>
          </w:p>
        </w:tc>
        <w:tc>
          <w:tcPr>
            <w:tcW w:w="992" w:type="dxa"/>
            <w:tcBorders>
              <w:bottom w:val="double" w:color="auto" w:sz="4" w:space="0"/>
            </w:tcBorders>
            <w:tcMar>
              <w:top w:w="85" w:type="dxa"/>
              <w:left w:w="85" w:type="dxa"/>
              <w:bottom w:w="85" w:type="dxa"/>
              <w:right w:w="85" w:type="dxa"/>
            </w:tcMar>
            <w:vAlign w:val="center"/>
          </w:tcPr>
          <w:p w14:paraId="182BF8CA">
            <w:pPr>
              <w:spacing w:line="360" w:lineRule="auto"/>
              <w:jc w:val="center"/>
              <w:rPr>
                <w:rFonts w:asciiTheme="majorEastAsia" w:hAnsiTheme="majorEastAsia" w:eastAsiaTheme="majorEastAsia"/>
                <w:color w:val="auto"/>
                <w:sz w:val="24"/>
                <w:highlight w:val="none"/>
              </w:rPr>
            </w:pPr>
          </w:p>
        </w:tc>
        <w:tc>
          <w:tcPr>
            <w:tcW w:w="8373" w:type="dxa"/>
            <w:tcBorders>
              <w:bottom w:val="double" w:color="auto" w:sz="4" w:space="0"/>
              <w:right w:val="double" w:color="auto" w:sz="4" w:space="0"/>
            </w:tcBorders>
            <w:tcMar>
              <w:top w:w="85" w:type="dxa"/>
              <w:left w:w="85" w:type="dxa"/>
              <w:bottom w:w="85" w:type="dxa"/>
              <w:right w:w="85" w:type="dxa"/>
            </w:tcMar>
          </w:tcPr>
          <w:p w14:paraId="555958DC">
            <w:pPr>
              <w:spacing w:line="360" w:lineRule="auto"/>
              <w:ind w:left="360" w:hanging="360" w:hangingChars="15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本项目中标人按以下标准及方式向招标代理机构交纳招标代理服务费：</w:t>
            </w:r>
          </w:p>
          <w:p w14:paraId="6A0B4440">
            <w:pPr>
              <w:spacing w:line="360" w:lineRule="auto"/>
              <w:ind w:firstLine="420"/>
              <w:rPr>
                <w:rFonts w:hint="eastAsia" w:asciiTheme="majorEastAsia" w:hAnsiTheme="majorEastAsia" w:eastAsiaTheme="majorEastAsia"/>
                <w:b w:val="0"/>
                <w:bCs/>
                <w:color w:val="auto"/>
                <w:sz w:val="24"/>
                <w:highlight w:val="none"/>
              </w:rPr>
            </w:pPr>
            <w:r>
              <w:rPr>
                <w:rFonts w:hint="eastAsia" w:asciiTheme="majorEastAsia" w:hAnsiTheme="majorEastAsia" w:eastAsiaTheme="majorEastAsia"/>
                <w:b w:val="0"/>
                <w:bCs/>
                <w:color w:val="auto"/>
                <w:sz w:val="24"/>
                <w:highlight w:val="none"/>
              </w:rPr>
              <w:t>以</w:t>
            </w:r>
            <w:r>
              <w:rPr>
                <w:rFonts w:hint="eastAsia" w:asciiTheme="majorEastAsia" w:hAnsiTheme="majorEastAsia" w:eastAsiaTheme="majorEastAsia"/>
                <w:b w:val="0"/>
                <w:bCs/>
                <w:color w:val="auto"/>
                <w:sz w:val="24"/>
                <w:highlight w:val="none"/>
                <w:lang w:val="en-US" w:eastAsia="zh-CN"/>
              </w:rPr>
              <w:t>中</w:t>
            </w:r>
            <w:r>
              <w:rPr>
                <w:rFonts w:hint="eastAsia" w:asciiTheme="majorEastAsia" w:hAnsiTheme="majorEastAsia" w:eastAsiaTheme="majorEastAsia"/>
                <w:b w:val="0"/>
                <w:bCs/>
                <w:color w:val="auto"/>
                <w:sz w:val="24"/>
                <w:highlight w:val="none"/>
              </w:rPr>
              <w:t>标金额为基数</w:t>
            </w:r>
            <w:r>
              <w:rPr>
                <w:rFonts w:hint="eastAsia" w:asciiTheme="majorEastAsia" w:hAnsiTheme="majorEastAsia" w:eastAsiaTheme="majorEastAsia"/>
                <w:b w:val="0"/>
                <w:bCs/>
                <w:color w:val="auto"/>
                <w:sz w:val="24"/>
                <w:highlight w:val="none"/>
                <w:lang w:eastAsia="zh-CN"/>
              </w:rPr>
              <w:t>，</w:t>
            </w:r>
            <w:r>
              <w:rPr>
                <w:rFonts w:hint="eastAsia" w:asciiTheme="majorEastAsia" w:hAnsiTheme="majorEastAsia" w:eastAsiaTheme="majorEastAsia"/>
                <w:b w:val="0"/>
                <w:bCs/>
                <w:color w:val="auto"/>
                <w:sz w:val="24"/>
                <w:highlight w:val="none"/>
              </w:rPr>
              <w:t>具体</w:t>
            </w:r>
            <w:r>
              <w:rPr>
                <w:rFonts w:hint="eastAsia" w:asciiTheme="majorEastAsia" w:hAnsiTheme="majorEastAsia" w:eastAsiaTheme="majorEastAsia"/>
                <w:b w:val="0"/>
                <w:bCs/>
                <w:color w:val="auto"/>
                <w:sz w:val="24"/>
                <w:highlight w:val="none"/>
                <w:lang w:val="en-US" w:eastAsia="zh-CN"/>
              </w:rPr>
              <w:t>标准</w:t>
            </w:r>
            <w:r>
              <w:rPr>
                <w:rFonts w:hint="eastAsia" w:asciiTheme="majorEastAsia" w:hAnsiTheme="majorEastAsia" w:eastAsiaTheme="majorEastAsia"/>
                <w:b w:val="0"/>
                <w:bCs/>
                <w:color w:val="auto"/>
                <w:sz w:val="24"/>
                <w:highlight w:val="none"/>
              </w:rPr>
              <w:t>为：基数≤100万元部分，按1.</w:t>
            </w:r>
            <w:r>
              <w:rPr>
                <w:rFonts w:hint="eastAsia" w:asciiTheme="majorEastAsia" w:hAnsiTheme="majorEastAsia" w:eastAsiaTheme="majorEastAsia"/>
                <w:b w:val="0"/>
                <w:bCs/>
                <w:color w:val="auto"/>
                <w:sz w:val="24"/>
                <w:highlight w:val="none"/>
                <w:lang w:val="en-US" w:eastAsia="zh-CN"/>
              </w:rPr>
              <w:t>35</w:t>
            </w:r>
            <w:r>
              <w:rPr>
                <w:rFonts w:hint="eastAsia" w:asciiTheme="majorEastAsia" w:hAnsiTheme="majorEastAsia" w:eastAsiaTheme="majorEastAsia"/>
                <w:b w:val="0"/>
                <w:bCs/>
                <w:color w:val="auto"/>
                <w:sz w:val="24"/>
                <w:highlight w:val="none"/>
              </w:rPr>
              <w:t>%计取，100万元＜基数≤500万元部份，乘以0.</w:t>
            </w:r>
            <w:r>
              <w:rPr>
                <w:rFonts w:hint="eastAsia" w:asciiTheme="majorEastAsia" w:hAnsiTheme="majorEastAsia" w:eastAsiaTheme="majorEastAsia"/>
                <w:b w:val="0"/>
                <w:bCs/>
                <w:color w:val="auto"/>
                <w:sz w:val="24"/>
                <w:highlight w:val="none"/>
                <w:lang w:val="en-US" w:eastAsia="zh-CN"/>
              </w:rPr>
              <w:t>72</w:t>
            </w:r>
            <w:r>
              <w:rPr>
                <w:rFonts w:hint="eastAsia" w:asciiTheme="majorEastAsia" w:hAnsiTheme="majorEastAsia" w:eastAsiaTheme="majorEastAsia"/>
                <w:b w:val="0"/>
                <w:bCs/>
                <w:color w:val="auto"/>
                <w:sz w:val="24"/>
                <w:highlight w:val="none"/>
              </w:rPr>
              <w:t>%</w:t>
            </w:r>
            <w:r>
              <w:rPr>
                <w:rFonts w:hint="eastAsia" w:asciiTheme="majorEastAsia" w:hAnsiTheme="majorEastAsia" w:eastAsiaTheme="majorEastAsia"/>
                <w:b w:val="0"/>
                <w:bCs/>
                <w:color w:val="auto"/>
                <w:sz w:val="24"/>
                <w:highlight w:val="none"/>
                <w:lang w:eastAsia="zh-CN"/>
              </w:rPr>
              <w:t>；</w:t>
            </w:r>
            <w:r>
              <w:rPr>
                <w:rFonts w:hint="eastAsia" w:asciiTheme="majorEastAsia" w:hAnsiTheme="majorEastAsia" w:eastAsiaTheme="majorEastAsia"/>
                <w:b w:val="0"/>
                <w:bCs/>
                <w:color w:val="auto"/>
                <w:sz w:val="24"/>
                <w:highlight w:val="none"/>
                <w:lang w:val="en-US" w:eastAsia="zh-CN"/>
              </w:rPr>
              <w:t>5</w:t>
            </w:r>
            <w:r>
              <w:rPr>
                <w:rFonts w:hint="eastAsia" w:asciiTheme="majorEastAsia" w:hAnsiTheme="majorEastAsia" w:eastAsiaTheme="majorEastAsia"/>
                <w:b w:val="0"/>
                <w:bCs/>
                <w:color w:val="auto"/>
                <w:sz w:val="24"/>
                <w:highlight w:val="none"/>
              </w:rPr>
              <w:t>00万元＜基数≤</w:t>
            </w:r>
            <w:r>
              <w:rPr>
                <w:rFonts w:hint="eastAsia" w:asciiTheme="majorEastAsia" w:hAnsiTheme="majorEastAsia" w:eastAsiaTheme="majorEastAsia"/>
                <w:b w:val="0"/>
                <w:bCs/>
                <w:color w:val="auto"/>
                <w:sz w:val="24"/>
                <w:highlight w:val="none"/>
                <w:lang w:val="en-US" w:eastAsia="zh-CN"/>
              </w:rPr>
              <w:t>10</w:t>
            </w:r>
            <w:r>
              <w:rPr>
                <w:rFonts w:hint="eastAsia" w:asciiTheme="majorEastAsia" w:hAnsiTheme="majorEastAsia" w:eastAsiaTheme="majorEastAsia"/>
                <w:b w:val="0"/>
                <w:bCs/>
                <w:color w:val="auto"/>
                <w:sz w:val="24"/>
                <w:highlight w:val="none"/>
              </w:rPr>
              <w:t>00万元部份，乘以0.</w:t>
            </w:r>
            <w:r>
              <w:rPr>
                <w:rFonts w:hint="eastAsia" w:asciiTheme="majorEastAsia" w:hAnsiTheme="majorEastAsia" w:eastAsiaTheme="majorEastAsia"/>
                <w:b w:val="0"/>
                <w:bCs/>
                <w:color w:val="auto"/>
                <w:sz w:val="24"/>
                <w:highlight w:val="none"/>
                <w:lang w:val="en-US" w:eastAsia="zh-CN"/>
              </w:rPr>
              <w:t>405</w:t>
            </w:r>
            <w:r>
              <w:rPr>
                <w:rFonts w:hint="eastAsia" w:asciiTheme="majorEastAsia" w:hAnsiTheme="majorEastAsia" w:eastAsiaTheme="majorEastAsia"/>
                <w:b w:val="0"/>
                <w:bCs/>
                <w:color w:val="auto"/>
                <w:sz w:val="24"/>
                <w:highlight w:val="none"/>
              </w:rPr>
              <w:t>%</w:t>
            </w:r>
            <w:r>
              <w:rPr>
                <w:rFonts w:hint="eastAsia" w:asciiTheme="majorEastAsia" w:hAnsiTheme="majorEastAsia" w:eastAsiaTheme="majorEastAsia"/>
                <w:b w:val="0"/>
                <w:bCs/>
                <w:color w:val="auto"/>
                <w:sz w:val="24"/>
                <w:highlight w:val="none"/>
                <w:lang w:eastAsia="zh-CN"/>
              </w:rPr>
              <w:t>；</w:t>
            </w:r>
            <w:r>
              <w:rPr>
                <w:rFonts w:hint="eastAsia" w:asciiTheme="majorEastAsia" w:hAnsiTheme="majorEastAsia" w:eastAsiaTheme="majorEastAsia"/>
                <w:b w:val="0"/>
                <w:bCs/>
                <w:color w:val="auto"/>
                <w:sz w:val="24"/>
                <w:highlight w:val="none"/>
                <w:lang w:val="en-US" w:eastAsia="zh-CN"/>
              </w:rPr>
              <w:t>5万元封顶</w:t>
            </w:r>
            <w:r>
              <w:rPr>
                <w:rFonts w:hint="eastAsia" w:asciiTheme="majorEastAsia" w:hAnsiTheme="majorEastAsia" w:eastAsiaTheme="majorEastAsia"/>
                <w:b w:val="0"/>
                <w:bCs/>
                <w:color w:val="auto"/>
                <w:sz w:val="24"/>
                <w:highlight w:val="none"/>
              </w:rPr>
              <w:t>。</w:t>
            </w:r>
            <w:r>
              <w:rPr>
                <w:rFonts w:hint="eastAsia" w:asciiTheme="majorEastAsia" w:hAnsiTheme="majorEastAsia" w:eastAsiaTheme="majorEastAsia"/>
                <w:b w:val="0"/>
                <w:bCs/>
                <w:color w:val="auto"/>
                <w:sz w:val="24"/>
                <w:highlight w:val="none"/>
                <w:lang w:val="en-US" w:eastAsia="zh-CN"/>
              </w:rPr>
              <w:t>中标人</w:t>
            </w:r>
            <w:r>
              <w:rPr>
                <w:rFonts w:hint="eastAsia" w:asciiTheme="majorEastAsia" w:hAnsiTheme="majorEastAsia" w:eastAsiaTheme="majorEastAsia"/>
                <w:b w:val="0"/>
                <w:bCs/>
                <w:color w:val="auto"/>
                <w:sz w:val="24"/>
                <w:highlight w:val="none"/>
              </w:rPr>
              <w:t>在领取成交通知书时，应以转账、汇款等付款方式向</w:t>
            </w:r>
            <w:r>
              <w:rPr>
                <w:rFonts w:hint="eastAsia" w:asciiTheme="majorEastAsia" w:hAnsiTheme="majorEastAsia" w:eastAsiaTheme="majorEastAsia"/>
                <w:b w:val="0"/>
                <w:bCs/>
                <w:color w:val="auto"/>
                <w:sz w:val="24"/>
                <w:highlight w:val="none"/>
                <w:lang w:val="en-US" w:eastAsia="zh-CN"/>
              </w:rPr>
              <w:t>招标</w:t>
            </w:r>
            <w:r>
              <w:rPr>
                <w:rFonts w:hint="eastAsia" w:asciiTheme="majorEastAsia" w:hAnsiTheme="majorEastAsia" w:eastAsiaTheme="majorEastAsia"/>
                <w:b w:val="0"/>
                <w:bCs/>
                <w:color w:val="auto"/>
                <w:sz w:val="24"/>
                <w:highlight w:val="none"/>
              </w:rPr>
              <w:t>代理机构一次性付清</w:t>
            </w:r>
            <w:r>
              <w:rPr>
                <w:rFonts w:hint="eastAsia" w:asciiTheme="majorEastAsia" w:hAnsiTheme="majorEastAsia" w:eastAsiaTheme="majorEastAsia"/>
                <w:b w:val="0"/>
                <w:bCs/>
                <w:color w:val="auto"/>
                <w:sz w:val="24"/>
                <w:highlight w:val="none"/>
                <w:lang w:val="en-US" w:eastAsia="zh-CN"/>
              </w:rPr>
              <w:t>招标</w:t>
            </w:r>
            <w:r>
              <w:rPr>
                <w:rFonts w:hint="eastAsia" w:asciiTheme="majorEastAsia" w:hAnsiTheme="majorEastAsia" w:eastAsiaTheme="majorEastAsia"/>
                <w:b w:val="0"/>
                <w:bCs/>
                <w:color w:val="auto"/>
                <w:sz w:val="24"/>
                <w:highlight w:val="none"/>
              </w:rPr>
              <w:t>代理服务费。</w:t>
            </w:r>
          </w:p>
          <w:p w14:paraId="16165E7A">
            <w:pPr>
              <w:spacing w:line="360" w:lineRule="auto"/>
              <w:ind w:firstLine="42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中标人中标后不能履约的,其已交纳的招标代理服务费不予退还。</w:t>
            </w:r>
          </w:p>
        </w:tc>
      </w:tr>
      <w:tr w14:paraId="4D3ED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jc w:val="center"/>
        </w:trPr>
        <w:tc>
          <w:tcPr>
            <w:tcW w:w="677" w:type="dxa"/>
            <w:tcBorders>
              <w:left w:val="double" w:color="auto" w:sz="4" w:space="0"/>
              <w:bottom w:val="double" w:color="auto" w:sz="4" w:space="0"/>
            </w:tcBorders>
            <w:tcMar>
              <w:top w:w="85" w:type="dxa"/>
              <w:left w:w="85" w:type="dxa"/>
              <w:bottom w:w="85" w:type="dxa"/>
              <w:right w:w="85" w:type="dxa"/>
            </w:tcMar>
            <w:vAlign w:val="center"/>
          </w:tcPr>
          <w:p w14:paraId="74E63FBC">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w:t>
            </w:r>
          </w:p>
        </w:tc>
        <w:tc>
          <w:tcPr>
            <w:tcW w:w="992" w:type="dxa"/>
            <w:tcBorders>
              <w:bottom w:val="double" w:color="auto" w:sz="4" w:space="0"/>
            </w:tcBorders>
            <w:tcMar>
              <w:top w:w="85" w:type="dxa"/>
              <w:left w:w="85" w:type="dxa"/>
              <w:bottom w:w="85" w:type="dxa"/>
              <w:right w:w="85" w:type="dxa"/>
            </w:tcMar>
            <w:vAlign w:val="center"/>
          </w:tcPr>
          <w:p w14:paraId="106C850E">
            <w:pPr>
              <w:spacing w:line="360" w:lineRule="auto"/>
              <w:jc w:val="center"/>
              <w:rPr>
                <w:rFonts w:asciiTheme="majorEastAsia" w:hAnsiTheme="majorEastAsia" w:eastAsiaTheme="majorEastAsia"/>
                <w:color w:val="auto"/>
                <w:sz w:val="24"/>
                <w:highlight w:val="none"/>
              </w:rPr>
            </w:pPr>
          </w:p>
        </w:tc>
        <w:tc>
          <w:tcPr>
            <w:tcW w:w="8373" w:type="dxa"/>
            <w:tcBorders>
              <w:bottom w:val="double" w:color="auto" w:sz="4" w:space="0"/>
              <w:right w:val="double" w:color="auto" w:sz="4" w:space="0"/>
            </w:tcBorders>
            <w:tcMar>
              <w:top w:w="85" w:type="dxa"/>
              <w:left w:w="85" w:type="dxa"/>
              <w:bottom w:w="85" w:type="dxa"/>
              <w:right w:w="85" w:type="dxa"/>
            </w:tcMar>
          </w:tcPr>
          <w:p w14:paraId="3546778B">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招标文件中带“★”条款均为重要条款，投标人的投标文件对这些重要条款不满足或者负偏离，将导致其投标为无效投标。</w:t>
            </w:r>
          </w:p>
        </w:tc>
      </w:tr>
      <w:tr w14:paraId="670A9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677" w:type="dxa"/>
            <w:tcBorders>
              <w:top w:val="double" w:color="auto" w:sz="4" w:space="0"/>
              <w:left w:val="double" w:color="auto" w:sz="4" w:space="0"/>
              <w:bottom w:val="double" w:color="auto" w:sz="4" w:space="0"/>
            </w:tcBorders>
            <w:tcMar>
              <w:top w:w="85" w:type="dxa"/>
              <w:left w:w="85" w:type="dxa"/>
              <w:bottom w:w="85" w:type="dxa"/>
              <w:right w:w="85" w:type="dxa"/>
            </w:tcMar>
            <w:vAlign w:val="center"/>
          </w:tcPr>
          <w:p w14:paraId="39CE5826">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9</w:t>
            </w:r>
          </w:p>
        </w:tc>
        <w:tc>
          <w:tcPr>
            <w:tcW w:w="992" w:type="dxa"/>
            <w:tcBorders>
              <w:top w:val="double" w:color="auto" w:sz="4" w:space="0"/>
              <w:bottom w:val="double" w:color="auto" w:sz="4" w:space="0"/>
            </w:tcBorders>
            <w:tcMar>
              <w:top w:w="85" w:type="dxa"/>
              <w:left w:w="85" w:type="dxa"/>
              <w:bottom w:w="85" w:type="dxa"/>
              <w:right w:w="85" w:type="dxa"/>
            </w:tcMar>
            <w:vAlign w:val="center"/>
          </w:tcPr>
          <w:p w14:paraId="0CD64A28">
            <w:pPr>
              <w:spacing w:line="440" w:lineRule="exact"/>
              <w:jc w:val="center"/>
              <w:rPr>
                <w:rFonts w:asciiTheme="majorEastAsia" w:hAnsiTheme="majorEastAsia" w:eastAsiaTheme="majorEastAsia"/>
                <w:color w:val="auto"/>
                <w:sz w:val="24"/>
                <w:highlight w:val="none"/>
              </w:rPr>
            </w:pPr>
          </w:p>
        </w:tc>
        <w:tc>
          <w:tcPr>
            <w:tcW w:w="8373" w:type="dxa"/>
            <w:tcBorders>
              <w:top w:val="double" w:color="auto" w:sz="4" w:space="0"/>
              <w:bottom w:val="double" w:color="auto" w:sz="4" w:space="0"/>
              <w:right w:val="double" w:color="auto" w:sz="4" w:space="0"/>
            </w:tcBorders>
            <w:tcMar>
              <w:top w:w="85" w:type="dxa"/>
              <w:left w:w="85" w:type="dxa"/>
              <w:bottom w:w="85" w:type="dxa"/>
              <w:right w:w="85" w:type="dxa"/>
            </w:tcMar>
            <w:vAlign w:val="center"/>
          </w:tcPr>
          <w:p w14:paraId="4A73EA79">
            <w:pPr>
              <w:spacing w:line="400" w:lineRule="atLeast"/>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重要提示：</w:t>
            </w:r>
          </w:p>
          <w:p w14:paraId="1AE11E70">
            <w:pPr>
              <w:spacing w:line="440" w:lineRule="exac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    1.提供的资格性证明材料若属于需年检的，应提供经年检合格的副本复印件，而不能提供不能判别是否经年检的正本复印件。</w:t>
            </w:r>
          </w:p>
          <w:p w14:paraId="30C0C5FE">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2.交通拥堵，递交投标文件请提前做好准备。在规定的投标截止时间之后送达的投标文件将被拒收，敬请谅解。</w:t>
            </w:r>
          </w:p>
          <w:p w14:paraId="6D19613A">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3.考虑到银行上班时间较迟，投标保证金应提前缴交并</w:t>
            </w:r>
            <w:r>
              <w:rPr>
                <w:rFonts w:hint="eastAsia" w:asciiTheme="majorEastAsia" w:hAnsiTheme="majorEastAsia" w:eastAsiaTheme="majorEastAsia"/>
                <w:color w:val="auto"/>
                <w:sz w:val="24"/>
                <w:highlight w:val="none"/>
                <w:lang w:eastAsia="zh-CN"/>
              </w:rPr>
              <w:t>到账</w:t>
            </w:r>
            <w:r>
              <w:rPr>
                <w:rFonts w:hint="eastAsia" w:asciiTheme="majorEastAsia" w:hAnsiTheme="majorEastAsia" w:eastAsiaTheme="majorEastAsia"/>
                <w:color w:val="auto"/>
                <w:sz w:val="24"/>
                <w:highlight w:val="none"/>
              </w:rPr>
              <w:t>，未按规定按时足额提交投标保证金或投标保证金未实际</w:t>
            </w:r>
            <w:r>
              <w:rPr>
                <w:rFonts w:hint="eastAsia" w:asciiTheme="majorEastAsia" w:hAnsiTheme="majorEastAsia" w:eastAsiaTheme="majorEastAsia"/>
                <w:color w:val="auto"/>
                <w:sz w:val="24"/>
                <w:highlight w:val="none"/>
                <w:lang w:eastAsia="zh-CN"/>
              </w:rPr>
              <w:t>到账</w:t>
            </w:r>
            <w:r>
              <w:rPr>
                <w:rFonts w:hint="eastAsia" w:asciiTheme="majorEastAsia" w:hAnsiTheme="majorEastAsia" w:eastAsiaTheme="majorEastAsia"/>
                <w:color w:val="auto"/>
                <w:sz w:val="24"/>
                <w:highlight w:val="none"/>
              </w:rPr>
              <w:t>的投标文件将被视为无效投标。</w:t>
            </w:r>
          </w:p>
          <w:p w14:paraId="64214E27">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4.投标保证金手续办理完毕后，请再次核对账号、收款单位是否正确，并确保在投标截止时间前到账。</w:t>
            </w:r>
          </w:p>
          <w:p w14:paraId="0C207A1A">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5.如投标人缴纳的费用需要开具增值税专用发票，请在转账当月30日前提供增值税一般纳税人的开票资料，如未提供，代理机构对上述费用将开具普通发票，特此说明。</w:t>
            </w:r>
          </w:p>
          <w:p w14:paraId="63DB2180">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为确保投标文件的密封的完好性，在递交投标文件时投标人应自行检查投标文件的密封情况。投标人须确保密封的牢固性，投标文件的封口包括文件袋的袋口、袋底及侧边均应按要求进行密封。投标人应自行承担监标人在检查投标文件过程中因密封不符合规定导致投标文件被拒绝的所有责任。</w:t>
            </w:r>
          </w:p>
          <w:p w14:paraId="680D8E86">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7.开标一览表除了装订在投标文件的正本及副本中外，建议多提供一份完全一致的开标一览表，单独密封，作为开标会唱标使用。</w:t>
            </w:r>
          </w:p>
          <w:p w14:paraId="6B409FB0">
            <w:pPr>
              <w:spacing w:line="440" w:lineRule="exact"/>
              <w:ind w:firstLine="480" w:firstLineChars="200"/>
              <w:rPr>
                <w:rFonts w:cs="Arial"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w:t>
            </w:r>
            <w:r>
              <w:rPr>
                <w:rFonts w:hint="eastAsia" w:asciiTheme="majorEastAsia" w:hAnsiTheme="majorEastAsia" w:eastAsiaTheme="majorEastAsia"/>
                <w:color w:val="auto"/>
                <w:sz w:val="24"/>
                <w:szCs w:val="18"/>
                <w:highlight w:val="none"/>
              </w:rPr>
              <w:t>投标人</w:t>
            </w:r>
            <w:r>
              <w:rPr>
                <w:rFonts w:hint="eastAsia" w:cs="Arial" w:asciiTheme="majorEastAsia" w:hAnsiTheme="majorEastAsia" w:eastAsiaTheme="majorEastAsia"/>
                <w:color w:val="auto"/>
                <w:sz w:val="24"/>
                <w:highlight w:val="none"/>
              </w:rPr>
              <w:t>应将上述文件按顺序胶装成册（不得活页装订）、打印页码，并编列</w:t>
            </w:r>
            <w:r>
              <w:rPr>
                <w:rFonts w:hint="eastAsia" w:asciiTheme="majorEastAsia" w:hAnsiTheme="majorEastAsia" w:eastAsiaTheme="majorEastAsia"/>
                <w:color w:val="auto"/>
                <w:sz w:val="24"/>
                <w:szCs w:val="18"/>
                <w:highlight w:val="none"/>
              </w:rPr>
              <w:t>投标</w:t>
            </w:r>
            <w:r>
              <w:rPr>
                <w:rFonts w:hint="eastAsia" w:cs="Arial" w:asciiTheme="majorEastAsia" w:hAnsiTheme="majorEastAsia" w:eastAsiaTheme="majorEastAsia"/>
                <w:color w:val="auto"/>
                <w:sz w:val="24"/>
                <w:highlight w:val="none"/>
              </w:rPr>
              <w:t>文件目录、资料清单，由于装订不规范或编排顺序混乱而导致</w:t>
            </w:r>
            <w:r>
              <w:rPr>
                <w:rFonts w:hint="eastAsia" w:asciiTheme="majorEastAsia" w:hAnsiTheme="majorEastAsia" w:eastAsiaTheme="majorEastAsia"/>
                <w:color w:val="auto"/>
                <w:sz w:val="24"/>
                <w:szCs w:val="18"/>
                <w:highlight w:val="none"/>
              </w:rPr>
              <w:t>投标</w:t>
            </w:r>
            <w:r>
              <w:rPr>
                <w:rFonts w:hint="eastAsia" w:cs="Arial" w:asciiTheme="majorEastAsia" w:hAnsiTheme="majorEastAsia" w:eastAsiaTheme="majorEastAsia"/>
                <w:color w:val="auto"/>
                <w:sz w:val="24"/>
                <w:highlight w:val="none"/>
              </w:rPr>
              <w:t>文件被误读或漏读，该</w:t>
            </w:r>
            <w:r>
              <w:rPr>
                <w:rFonts w:hint="eastAsia" w:asciiTheme="majorEastAsia" w:hAnsiTheme="majorEastAsia" w:eastAsiaTheme="majorEastAsia"/>
                <w:color w:val="auto"/>
                <w:sz w:val="24"/>
                <w:szCs w:val="18"/>
                <w:highlight w:val="none"/>
              </w:rPr>
              <w:t>投标</w:t>
            </w:r>
            <w:r>
              <w:rPr>
                <w:rFonts w:hint="eastAsia" w:cs="Arial" w:asciiTheme="majorEastAsia" w:hAnsiTheme="majorEastAsia" w:eastAsiaTheme="majorEastAsia"/>
                <w:color w:val="auto"/>
                <w:sz w:val="24"/>
                <w:highlight w:val="none"/>
              </w:rPr>
              <w:t>可能被视为</w:t>
            </w:r>
            <w:r>
              <w:rPr>
                <w:rFonts w:hint="eastAsia" w:asciiTheme="majorEastAsia" w:hAnsiTheme="majorEastAsia" w:eastAsiaTheme="majorEastAsia"/>
                <w:color w:val="auto"/>
                <w:sz w:val="24"/>
                <w:szCs w:val="18"/>
                <w:highlight w:val="none"/>
              </w:rPr>
              <w:t>投标</w:t>
            </w:r>
            <w:r>
              <w:rPr>
                <w:rFonts w:hint="eastAsia" w:cs="Arial" w:asciiTheme="majorEastAsia" w:hAnsiTheme="majorEastAsia" w:eastAsiaTheme="majorEastAsia"/>
                <w:color w:val="auto"/>
                <w:sz w:val="24"/>
                <w:highlight w:val="none"/>
              </w:rPr>
              <w:t>或承担不利的评标结果。</w:t>
            </w:r>
          </w:p>
          <w:p w14:paraId="48DD4C6D">
            <w:pPr>
              <w:spacing w:line="440" w:lineRule="exact"/>
              <w:ind w:firstLine="480" w:firstLineChars="200"/>
              <w:rPr>
                <w:rFonts w:asciiTheme="majorEastAsia" w:hAnsiTheme="majorEastAsia" w:eastAsiaTheme="majorEastAsia"/>
                <w:color w:val="auto"/>
                <w:sz w:val="24"/>
                <w:szCs w:val="18"/>
                <w:highlight w:val="none"/>
              </w:rPr>
            </w:pPr>
            <w:r>
              <w:rPr>
                <w:rFonts w:hint="eastAsia" w:cs="Arial" w:asciiTheme="majorEastAsia" w:hAnsiTheme="majorEastAsia" w:eastAsiaTheme="majorEastAsia"/>
                <w:color w:val="auto"/>
                <w:sz w:val="24"/>
                <w:highlight w:val="none"/>
              </w:rPr>
              <w:t>9.</w:t>
            </w:r>
            <w:r>
              <w:rPr>
                <w:rFonts w:hint="eastAsia" w:asciiTheme="majorEastAsia" w:hAnsiTheme="majorEastAsia" w:eastAsiaTheme="majorEastAsia"/>
                <w:color w:val="auto"/>
                <w:sz w:val="24"/>
                <w:szCs w:val="18"/>
                <w:highlight w:val="none"/>
              </w:rPr>
              <w:t>投标人应对所提供的投标文件资料逐项加盖公章，若某项内容材料有2页以上的，应逐页加盖公章或加盖骑缝章。</w:t>
            </w:r>
          </w:p>
          <w:p w14:paraId="049BEFC9">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10.若本项目有要求提供照片、效果图等情况的应提供相关电子版光盘两张随投标文件一并提交。</w:t>
            </w:r>
          </w:p>
          <w:p w14:paraId="01749BA4">
            <w:pPr>
              <w:spacing w:line="440" w:lineRule="exact"/>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11.投标人应在投标文件中提供“投标保证金退还申请书”（格式详见本招标文件第五章）。</w:t>
            </w:r>
          </w:p>
        </w:tc>
      </w:tr>
    </w:tbl>
    <w:p w14:paraId="6766E811">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20" w:name="_Toc6931"/>
      <w:bookmarkStart w:id="21" w:name="_Toc2919"/>
      <w:r>
        <w:rPr>
          <w:rFonts w:hint="eastAsia" w:asciiTheme="majorEastAsia" w:hAnsiTheme="majorEastAsia" w:eastAsiaTheme="majorEastAsia"/>
          <w:color w:val="auto"/>
          <w:sz w:val="28"/>
          <w:szCs w:val="28"/>
          <w:highlight w:val="none"/>
        </w:rPr>
        <w:t>投标人须知前附表2:资格性、符合性检查表</w:t>
      </w:r>
      <w:bookmarkEnd w:id="20"/>
      <w:bookmarkEnd w:id="21"/>
    </w:p>
    <w:p w14:paraId="701F7D87">
      <w:pPr>
        <w:spacing w:line="360" w:lineRule="auto"/>
        <w:ind w:firstLine="49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本须知前附表2集中列示了资格性、符合性检查的所有条款，其内容是评标委员会判断投标人的投标是否有效的重要依据。</w:t>
      </w:r>
    </w:p>
    <w:tbl>
      <w:tblPr>
        <w:tblStyle w:val="51"/>
        <w:tblW w:w="10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456"/>
        <w:gridCol w:w="936"/>
        <w:gridCol w:w="8246"/>
      </w:tblGrid>
      <w:tr w14:paraId="4C7F4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78" w:type="dxa"/>
            <w:gridSpan w:val="4"/>
            <w:tcBorders>
              <w:top w:val="single" w:color="auto" w:sz="4" w:space="0"/>
              <w:left w:val="single" w:color="auto" w:sz="4" w:space="0"/>
              <w:bottom w:val="single" w:color="auto" w:sz="4" w:space="0"/>
              <w:right w:val="single" w:color="auto" w:sz="4" w:space="0"/>
            </w:tcBorders>
          </w:tcPr>
          <w:p w14:paraId="3B3B10F0">
            <w:pPr>
              <w:spacing w:line="360" w:lineRule="auto"/>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资格性要求</w:t>
            </w:r>
          </w:p>
        </w:tc>
      </w:tr>
      <w:tr w14:paraId="6A24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4C567D3A">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项号</w:t>
            </w:r>
          </w:p>
        </w:tc>
        <w:tc>
          <w:tcPr>
            <w:tcW w:w="456" w:type="dxa"/>
            <w:tcBorders>
              <w:top w:val="single" w:color="auto" w:sz="4" w:space="0"/>
              <w:left w:val="single" w:color="auto" w:sz="4" w:space="0"/>
              <w:bottom w:val="single" w:color="auto" w:sz="4" w:space="0"/>
              <w:right w:val="single" w:color="auto" w:sz="4" w:space="0"/>
            </w:tcBorders>
            <w:vAlign w:val="center"/>
          </w:tcPr>
          <w:p w14:paraId="67811989">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章</w:t>
            </w:r>
          </w:p>
        </w:tc>
        <w:tc>
          <w:tcPr>
            <w:tcW w:w="936" w:type="dxa"/>
            <w:tcBorders>
              <w:top w:val="single" w:color="auto" w:sz="4" w:space="0"/>
              <w:left w:val="single" w:color="auto" w:sz="4" w:space="0"/>
              <w:bottom w:val="single" w:color="auto" w:sz="4" w:space="0"/>
              <w:right w:val="single" w:color="auto" w:sz="4" w:space="0"/>
            </w:tcBorders>
            <w:vAlign w:val="center"/>
          </w:tcPr>
          <w:p w14:paraId="2F6420BD">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条款号</w:t>
            </w:r>
          </w:p>
        </w:tc>
        <w:tc>
          <w:tcPr>
            <w:tcW w:w="8246" w:type="dxa"/>
            <w:tcBorders>
              <w:top w:val="single" w:color="auto" w:sz="4" w:space="0"/>
              <w:left w:val="single" w:color="auto" w:sz="4" w:space="0"/>
              <w:bottom w:val="single" w:color="auto" w:sz="4" w:space="0"/>
              <w:right w:val="single" w:color="auto" w:sz="4" w:space="0"/>
            </w:tcBorders>
            <w:vAlign w:val="center"/>
          </w:tcPr>
          <w:p w14:paraId="3B91BE6B">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具体内容</w:t>
            </w:r>
          </w:p>
        </w:tc>
      </w:tr>
      <w:tr w14:paraId="00459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2C6FA3FC">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p>
        </w:tc>
        <w:tc>
          <w:tcPr>
            <w:tcW w:w="456" w:type="dxa"/>
            <w:tcBorders>
              <w:top w:val="single" w:color="auto" w:sz="4" w:space="0"/>
              <w:left w:val="single" w:color="auto" w:sz="4" w:space="0"/>
              <w:bottom w:val="single" w:color="auto" w:sz="4" w:space="0"/>
              <w:right w:val="single" w:color="auto" w:sz="4" w:space="0"/>
            </w:tcBorders>
            <w:vAlign w:val="center"/>
          </w:tcPr>
          <w:p w14:paraId="1FF49E3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337F33DD">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w:t>
            </w:r>
          </w:p>
        </w:tc>
        <w:tc>
          <w:tcPr>
            <w:tcW w:w="8246" w:type="dxa"/>
            <w:tcBorders>
              <w:top w:val="single" w:color="auto" w:sz="4" w:space="0"/>
              <w:left w:val="single" w:color="auto" w:sz="4" w:space="0"/>
              <w:bottom w:val="single" w:color="auto" w:sz="4" w:space="0"/>
              <w:right w:val="single" w:color="auto" w:sz="4" w:space="0"/>
            </w:tcBorders>
          </w:tcPr>
          <w:p w14:paraId="548A4872">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合格的投标人</w:t>
            </w:r>
          </w:p>
          <w:p w14:paraId="2D01C9D5">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具体内容详见第三章第3条“合格的投标人”。</w:t>
            </w:r>
          </w:p>
        </w:tc>
      </w:tr>
      <w:tr w14:paraId="06390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40" w:type="dxa"/>
            <w:tcBorders>
              <w:top w:val="single" w:color="auto" w:sz="4" w:space="0"/>
              <w:left w:val="single" w:color="auto" w:sz="4" w:space="0"/>
              <w:bottom w:val="single" w:color="auto" w:sz="4" w:space="0"/>
              <w:right w:val="single" w:color="auto" w:sz="4" w:space="0"/>
            </w:tcBorders>
            <w:vAlign w:val="center"/>
          </w:tcPr>
          <w:p w14:paraId="11AAC21F">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w:t>
            </w:r>
          </w:p>
        </w:tc>
        <w:tc>
          <w:tcPr>
            <w:tcW w:w="456" w:type="dxa"/>
            <w:tcBorders>
              <w:top w:val="single" w:color="auto" w:sz="4" w:space="0"/>
              <w:left w:val="single" w:color="auto" w:sz="4" w:space="0"/>
              <w:bottom w:val="single" w:color="auto" w:sz="4" w:space="0"/>
              <w:right w:val="single" w:color="auto" w:sz="4" w:space="0"/>
            </w:tcBorders>
            <w:vAlign w:val="center"/>
          </w:tcPr>
          <w:p w14:paraId="0C2490DA">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三</w:t>
            </w:r>
          </w:p>
        </w:tc>
        <w:tc>
          <w:tcPr>
            <w:tcW w:w="936" w:type="dxa"/>
            <w:tcBorders>
              <w:top w:val="single" w:color="auto" w:sz="4" w:space="0"/>
              <w:left w:val="single" w:color="auto" w:sz="4" w:space="0"/>
              <w:bottom w:val="single" w:color="auto" w:sz="4" w:space="0"/>
              <w:right w:val="single" w:color="auto" w:sz="4" w:space="0"/>
            </w:tcBorders>
            <w:vAlign w:val="center"/>
          </w:tcPr>
          <w:p w14:paraId="7B9C8883">
            <w:pPr>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w:t>
            </w:r>
          </w:p>
        </w:tc>
        <w:tc>
          <w:tcPr>
            <w:tcW w:w="8246" w:type="dxa"/>
            <w:tcBorders>
              <w:top w:val="single" w:color="auto" w:sz="4" w:space="0"/>
              <w:left w:val="single" w:color="auto" w:sz="4" w:space="0"/>
              <w:bottom w:val="single" w:color="auto" w:sz="4" w:space="0"/>
              <w:right w:val="single" w:color="auto" w:sz="4" w:space="0"/>
            </w:tcBorders>
          </w:tcPr>
          <w:p w14:paraId="1F823FBE">
            <w:pPr>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资格标准：</w:t>
            </w:r>
          </w:p>
          <w:p w14:paraId="4A612D84">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1.投标人应在中华人民共和国合法注册，具有独立承担民事责任的能力，必须提供法人营业执照有效复印件。</w:t>
            </w:r>
          </w:p>
          <w:p w14:paraId="56B3C10C">
            <w:pPr>
              <w:pageBreakBefore w:val="0"/>
              <w:widowControl w:val="0"/>
              <w:tabs>
                <w:tab w:val="left" w:pos="-580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2.投标人代表应提供身份证有效复印件（正反面均需复印），投标人代表若不是企业法定代表人的应同时提供企业法定代表人的授权书原件。</w:t>
            </w:r>
          </w:p>
          <w:p w14:paraId="6D5ADBB1">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3.单位负责人、法定代表人为同一人或者存在直接控股、管理关系的不同供应商不得参加同一合同项目下的采购活动（投标人须对此提供书面承诺）。</w:t>
            </w:r>
          </w:p>
          <w:p w14:paraId="0BF1E18D">
            <w:pPr>
              <w:pageBreakBefore w:val="0"/>
              <w:widowControl w:val="0"/>
              <w:tabs>
                <w:tab w:val="left" w:pos="-580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.本项目不接受联合体投标。</w:t>
            </w:r>
          </w:p>
          <w:p w14:paraId="7396D58A">
            <w:pPr>
              <w:pStyle w:val="2"/>
              <w:pageBreakBefore w:val="0"/>
              <w:widowControl w:val="0"/>
              <w:kinsoku/>
              <w:wordWrap/>
              <w:overflowPunct/>
              <w:topLinePunct w:val="0"/>
              <w:autoSpaceDE/>
              <w:autoSpaceDN/>
              <w:bidi w:val="0"/>
              <w:adjustRightInd/>
              <w:snapToGrid/>
              <w:spacing w:before="0" w:after="0" w:line="360" w:lineRule="auto"/>
              <w:ind w:firstLine="480" w:firstLineChars="200"/>
              <w:jc w:val="both"/>
              <w:textAlignment w:val="auto"/>
              <w:rPr>
                <w:rFonts w:hint="eastAsia" w:ascii="宋体" w:hAnsi="宋体" w:eastAsia="宋体" w:cs="宋体"/>
                <w:b w:val="0"/>
                <w:bCs w:val="0"/>
                <w:color w:val="auto"/>
                <w:sz w:val="24"/>
                <w:szCs w:val="24"/>
                <w:highlight w:val="none"/>
              </w:rPr>
            </w:pPr>
            <w:bookmarkStart w:id="22" w:name="_Toc31363"/>
            <w:bookmarkStart w:id="23" w:name="_Toc15335"/>
            <w:bookmarkStart w:id="24" w:name="_Toc20412"/>
            <w:bookmarkStart w:id="25" w:name="_Toc30518"/>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.本项目招标公告发布之日后的信用信息查询结果。</w:t>
            </w:r>
            <w:bookmarkEnd w:id="22"/>
            <w:bookmarkEnd w:id="23"/>
            <w:bookmarkEnd w:id="24"/>
            <w:bookmarkEnd w:id="25"/>
          </w:p>
          <w:p w14:paraId="3689DDD4">
            <w:pPr>
              <w:pStyle w:val="2"/>
              <w:pageBreakBefore w:val="0"/>
              <w:widowControl w:val="0"/>
              <w:kinsoku/>
              <w:wordWrap/>
              <w:overflowPunct/>
              <w:topLinePunct w:val="0"/>
              <w:autoSpaceDE/>
              <w:autoSpaceDN/>
              <w:bidi w:val="0"/>
              <w:adjustRightInd/>
              <w:snapToGrid/>
              <w:spacing w:before="0" w:after="0" w:line="360" w:lineRule="auto"/>
              <w:ind w:firstLine="480" w:firstLineChars="200"/>
              <w:jc w:val="both"/>
              <w:textAlignment w:val="auto"/>
              <w:rPr>
                <w:rFonts w:hint="eastAsia" w:ascii="宋体" w:hAnsi="宋体" w:eastAsia="宋体" w:cs="宋体"/>
                <w:b w:val="0"/>
                <w:bCs w:val="0"/>
                <w:color w:val="auto"/>
                <w:sz w:val="24"/>
                <w:szCs w:val="24"/>
                <w:highlight w:val="none"/>
              </w:rPr>
            </w:pPr>
            <w:bookmarkStart w:id="26" w:name="_Toc2089"/>
            <w:bookmarkStart w:id="27" w:name="_Toc2176"/>
            <w:bookmarkStart w:id="28" w:name="_Toc29755"/>
            <w:bookmarkStart w:id="29" w:name="_Toc15844"/>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 xml:space="preserve">.1信用信息查询渠道：招标代理机构通过“信用中国”网站（www.creditchina.gov.cn）、“信用中国（福建厦门）”网站（credit.xm.gov.cn）、“国家企业信用信息公示系统”（http://www.gsxt.gov.cn）查询所有投标人的信用信息。 </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 xml:space="preserve">.2截止时点：查询本项目投标截止时间点前三年内的信用信息。 </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.3查询记录和证据留存方式：招标代理机构将查询结果网页打印后随招标文件一并存档。5.4信用信息的使用规则： （1）查询结果显示存在不良信用记录（包含列入失信被执行人、重大税收违法案件当事人名单、严重违法失信名单的），其资格审查不合格。 （2）因查询渠道网站原因导致查无投标人信息的，不认定投标人资格审查不合格；评审结束后，通过其他渠道发现投标人存在不良信用记录的，不认定为资格审查错误，将依照有关规定进行调查处理。（3）投标人无需提供信用信息查询结果。若投标人自行提供查询结果的，仍以招标代理机构查询结果为准。</w:t>
            </w:r>
            <w:bookmarkEnd w:id="26"/>
            <w:bookmarkEnd w:id="27"/>
            <w:bookmarkEnd w:id="28"/>
            <w:bookmarkEnd w:id="29"/>
          </w:p>
          <w:p w14:paraId="1C17B9A0">
            <w:pPr>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auto"/>
                <w:sz w:val="24"/>
                <w:szCs w:val="24"/>
                <w:highlight w:val="none"/>
              </w:rPr>
            </w:pPr>
          </w:p>
        </w:tc>
      </w:tr>
      <w:tr w14:paraId="4FFE1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40" w:type="dxa"/>
            <w:tcBorders>
              <w:top w:val="single" w:color="auto" w:sz="4" w:space="0"/>
              <w:left w:val="single" w:color="auto" w:sz="4" w:space="0"/>
              <w:bottom w:val="single" w:color="auto" w:sz="4" w:space="0"/>
              <w:right w:val="single" w:color="auto" w:sz="4" w:space="0"/>
            </w:tcBorders>
            <w:vAlign w:val="center"/>
          </w:tcPr>
          <w:p w14:paraId="33B8433D">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456" w:type="dxa"/>
            <w:tcBorders>
              <w:top w:val="single" w:color="auto" w:sz="4" w:space="0"/>
              <w:left w:val="single" w:color="auto" w:sz="4" w:space="0"/>
              <w:bottom w:val="single" w:color="auto" w:sz="4" w:space="0"/>
              <w:right w:val="single" w:color="auto" w:sz="4" w:space="0"/>
            </w:tcBorders>
            <w:vAlign w:val="center"/>
          </w:tcPr>
          <w:p w14:paraId="49A14845">
            <w:pPr>
              <w:spacing w:line="360" w:lineRule="auto"/>
              <w:jc w:val="center"/>
              <w:rPr>
                <w:rFonts w:hint="eastAsia" w:ascii="宋体" w:hAnsi="宋体" w:eastAsia="宋体" w:cs="宋体"/>
                <w:color w:val="auto"/>
                <w:sz w:val="24"/>
                <w:szCs w:val="24"/>
                <w:highlight w:val="none"/>
              </w:rPr>
            </w:pPr>
          </w:p>
        </w:tc>
        <w:tc>
          <w:tcPr>
            <w:tcW w:w="936" w:type="dxa"/>
            <w:tcBorders>
              <w:top w:val="single" w:color="auto" w:sz="4" w:space="0"/>
              <w:left w:val="single" w:color="auto" w:sz="4" w:space="0"/>
              <w:bottom w:val="single" w:color="auto" w:sz="4" w:space="0"/>
              <w:right w:val="single" w:color="auto" w:sz="4" w:space="0"/>
            </w:tcBorders>
            <w:vAlign w:val="center"/>
          </w:tcPr>
          <w:p w14:paraId="14B3E004">
            <w:pPr>
              <w:spacing w:line="360" w:lineRule="auto"/>
              <w:jc w:val="center"/>
              <w:rPr>
                <w:rFonts w:hint="eastAsia" w:ascii="宋体" w:hAnsi="宋体" w:eastAsia="宋体" w:cs="宋体"/>
                <w:b w:val="0"/>
                <w:bCs w:val="0"/>
                <w:color w:val="auto"/>
                <w:sz w:val="24"/>
                <w:szCs w:val="24"/>
                <w:highlight w:val="none"/>
              </w:rPr>
            </w:pPr>
          </w:p>
        </w:tc>
        <w:tc>
          <w:tcPr>
            <w:tcW w:w="8246" w:type="dxa"/>
            <w:tcBorders>
              <w:top w:val="single" w:color="auto" w:sz="4" w:space="0"/>
              <w:left w:val="single" w:color="auto" w:sz="4" w:space="0"/>
              <w:bottom w:val="single" w:color="auto" w:sz="4" w:space="0"/>
              <w:right w:val="single" w:color="auto" w:sz="4" w:space="0"/>
            </w:tcBorders>
            <w:vAlign w:val="top"/>
          </w:tcPr>
          <w:p w14:paraId="0777C641">
            <w:pPr>
              <w:spacing w:line="360" w:lineRule="auto"/>
              <w:ind w:firstLine="0" w:firstLineChars="0"/>
              <w:rPr>
                <w:rFonts w:hint="eastAsia" w:ascii="宋体" w:hAnsi="宋体" w:cs="宋体"/>
                <w:color w:val="auto"/>
                <w:szCs w:val="21"/>
                <w:highlight w:val="none"/>
                <w:lang w:eastAsia="zh-CN"/>
              </w:rPr>
            </w:pPr>
            <w:r>
              <w:rPr>
                <w:rFonts w:hint="eastAsia" w:ascii="宋体" w:hAnsi="宋体" w:cs="宋体"/>
                <w:color w:val="auto"/>
                <w:sz w:val="24"/>
                <w:szCs w:val="24"/>
                <w:highlight w:val="none"/>
                <w:lang w:val="en-US" w:eastAsia="zh-CN"/>
              </w:rPr>
              <w:t>招标人</w:t>
            </w:r>
            <w:r>
              <w:rPr>
                <w:rFonts w:hint="eastAsia" w:ascii="宋体" w:hAnsi="宋体" w:cs="宋体"/>
                <w:color w:val="auto"/>
                <w:sz w:val="24"/>
                <w:szCs w:val="24"/>
                <w:highlight w:val="none"/>
              </w:rPr>
              <w:t>根据项目特点设定的特定资格要求</w:t>
            </w:r>
            <w:r>
              <w:rPr>
                <w:rFonts w:hint="eastAsia" w:ascii="宋体" w:hAnsi="宋体" w:cs="宋体"/>
                <w:color w:val="auto"/>
                <w:sz w:val="24"/>
                <w:szCs w:val="24"/>
                <w:highlight w:val="none"/>
                <w:lang w:eastAsia="zh-CN"/>
              </w:rPr>
              <w:t>：</w:t>
            </w:r>
          </w:p>
          <w:p w14:paraId="6E4A2591">
            <w:pPr>
              <w:spacing w:line="360" w:lineRule="auto"/>
              <w:ind w:firstLine="420" w:firstLineChars="200"/>
              <w:rPr>
                <w:rFonts w:ascii="华文楷体" w:hAnsi="华文楷体" w:eastAsia="华文楷体"/>
                <w:b/>
                <w:color w:val="auto"/>
                <w:szCs w:val="21"/>
                <w:highlight w:val="none"/>
                <w:u w:val="single" w:color="000000"/>
              </w:rPr>
            </w:pPr>
            <w:r>
              <w:rPr>
                <w:rFonts w:hint="eastAsia" w:ascii="宋体" w:hAnsi="宋体" w:eastAsia="华文楷体" w:cs="宋体"/>
                <w:color w:val="auto"/>
                <w:szCs w:val="21"/>
                <w:highlight w:val="none"/>
                <w:lang w:val="en-US" w:eastAsia="zh-CN"/>
              </w:rPr>
              <w:t>1.</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必须具有建筑行业行政主管部门颁发的环保工程专业承包三级或以上资质，并提供资质证书有效复印件</w:t>
            </w:r>
            <w:r>
              <w:rPr>
                <w:rFonts w:hint="eastAsia" w:ascii="宋体" w:hAnsi="宋体" w:eastAsia="宋体" w:cs="宋体"/>
                <w:bCs/>
                <w:color w:val="auto"/>
                <w:sz w:val="24"/>
                <w:szCs w:val="24"/>
                <w:highlight w:val="none"/>
              </w:rPr>
              <w:t>。</w:t>
            </w:r>
          </w:p>
          <w:p w14:paraId="2791D19A">
            <w:pPr>
              <w:spacing w:line="360" w:lineRule="auto"/>
              <w:ind w:firstLine="472" w:firstLineChars="200"/>
              <w:rPr>
                <w:rFonts w:hint="eastAsia" w:ascii="宋体" w:hAnsi="宋体" w:eastAsia="宋体" w:cs="宋体"/>
                <w:b w:val="0"/>
                <w:bCs w:val="0"/>
                <w:color w:val="auto"/>
                <w:sz w:val="24"/>
                <w:szCs w:val="24"/>
                <w:highlight w:val="none"/>
              </w:rPr>
            </w:pPr>
            <w:r>
              <w:rPr>
                <w:rFonts w:hint="eastAsia" w:ascii="宋体" w:hAnsi="宋体" w:cs="宋体"/>
                <w:color w:val="auto"/>
                <w:spacing w:val="-2"/>
                <w:sz w:val="24"/>
                <w:highlight w:val="none"/>
                <w:lang w:val="en-US" w:eastAsia="zh-CN"/>
              </w:rPr>
              <w:t>2.</w:t>
            </w:r>
            <w:r>
              <w:rPr>
                <w:rFonts w:hint="eastAsia" w:ascii="宋体" w:hAnsi="宋体" w:eastAsia="宋体" w:cs="宋体"/>
                <w:color w:val="auto"/>
                <w:spacing w:val="-2"/>
                <w:sz w:val="24"/>
                <w:highlight w:val="none"/>
                <w:lang w:val="en-US" w:eastAsia="zh-CN"/>
              </w:rPr>
              <w:t>投标人202</w:t>
            </w:r>
            <w:r>
              <w:rPr>
                <w:rFonts w:hint="eastAsia" w:ascii="宋体" w:hAnsi="宋体" w:cs="宋体"/>
                <w:color w:val="auto"/>
                <w:spacing w:val="-2"/>
                <w:sz w:val="24"/>
                <w:highlight w:val="none"/>
                <w:lang w:val="en-US" w:eastAsia="zh-CN"/>
              </w:rPr>
              <w:t>0</w:t>
            </w:r>
            <w:r>
              <w:rPr>
                <w:rFonts w:hint="eastAsia" w:ascii="宋体" w:hAnsi="宋体" w:eastAsia="宋体" w:cs="宋体"/>
                <w:color w:val="auto"/>
                <w:spacing w:val="-2"/>
                <w:sz w:val="24"/>
                <w:highlight w:val="none"/>
                <w:lang w:val="en-US" w:eastAsia="zh-CN"/>
              </w:rPr>
              <w:t>年1月1日（以签订合同时间为准）</w:t>
            </w:r>
            <w:r>
              <w:rPr>
                <w:rFonts w:hint="eastAsia" w:ascii="宋体" w:hAnsi="宋体" w:eastAsia="宋体" w:cs="宋体"/>
                <w:color w:val="auto"/>
                <w:sz w:val="24"/>
                <w:highlight w:val="none"/>
              </w:rPr>
              <w:t>以来承接过至少1个电子</w:t>
            </w:r>
            <w:r>
              <w:rPr>
                <w:rFonts w:hint="eastAsia" w:ascii="宋体" w:hAnsi="宋体" w:cs="宋体"/>
                <w:color w:val="auto"/>
                <w:sz w:val="24"/>
                <w:highlight w:val="none"/>
                <w:lang w:val="en-US" w:eastAsia="zh-CN"/>
              </w:rPr>
              <w:t>或半导体</w:t>
            </w:r>
            <w:r>
              <w:rPr>
                <w:rFonts w:hint="eastAsia" w:ascii="宋体" w:hAnsi="宋体" w:eastAsia="宋体" w:cs="宋体"/>
                <w:color w:val="auto"/>
                <w:sz w:val="24"/>
                <w:highlight w:val="none"/>
              </w:rPr>
              <w:t>工业</w:t>
            </w:r>
            <w:r>
              <w:rPr>
                <w:rFonts w:hint="eastAsia" w:ascii="宋体" w:hAnsi="宋体" w:cs="宋体"/>
                <w:color w:val="auto"/>
                <w:sz w:val="24"/>
                <w:highlight w:val="none"/>
                <w:lang w:val="en-US" w:eastAsia="zh-CN"/>
              </w:rPr>
              <w:t>污</w:t>
            </w:r>
            <w:r>
              <w:rPr>
                <w:rFonts w:hint="eastAsia" w:ascii="宋体" w:hAnsi="宋体" w:eastAsia="宋体" w:cs="宋体"/>
                <w:color w:val="auto"/>
                <w:sz w:val="24"/>
                <w:highlight w:val="none"/>
              </w:rPr>
              <w:t>废水</w:t>
            </w:r>
            <w:r>
              <w:rPr>
                <w:rFonts w:hint="eastAsia" w:cs="宋体"/>
                <w:color w:val="auto"/>
                <w:sz w:val="24"/>
                <w:highlight w:val="none"/>
                <w:lang w:val="en-US" w:eastAsia="zh-CN"/>
              </w:rPr>
              <w:t>类</w:t>
            </w:r>
            <w:r>
              <w:rPr>
                <w:rFonts w:hint="eastAsia" w:ascii="宋体" w:hAnsi="宋体" w:eastAsia="宋体" w:cs="宋体"/>
                <w:color w:val="auto"/>
                <w:sz w:val="24"/>
                <w:highlight w:val="none"/>
              </w:rPr>
              <w:t>项目运营管理业绩</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并</w:t>
            </w:r>
            <w:r>
              <w:rPr>
                <w:rFonts w:hint="eastAsia" w:ascii="宋体" w:hAnsi="宋体" w:eastAsia="宋体" w:cs="宋体"/>
                <w:color w:val="auto"/>
                <w:spacing w:val="-2"/>
                <w:sz w:val="24"/>
                <w:highlight w:val="none"/>
                <w:lang w:val="en-US" w:eastAsia="zh-CN"/>
              </w:rPr>
              <w:t>提供该业绩项目以下资料复印件：采购合同</w:t>
            </w:r>
            <w:r>
              <w:rPr>
                <w:rFonts w:hint="eastAsia" w:ascii="宋体" w:hAnsi="宋体" w:cs="宋体"/>
                <w:color w:val="auto"/>
                <w:spacing w:val="-2"/>
                <w:sz w:val="24"/>
                <w:highlight w:val="none"/>
                <w:lang w:val="en-US" w:eastAsia="zh-CN"/>
              </w:rPr>
              <w:t>、业主提供</w:t>
            </w:r>
            <w:r>
              <w:rPr>
                <w:rFonts w:hint="eastAsia" w:ascii="宋体" w:hAnsi="宋体" w:eastAsia="宋体" w:cs="宋体"/>
                <w:color w:val="auto"/>
                <w:spacing w:val="-2"/>
                <w:sz w:val="24"/>
                <w:highlight w:val="none"/>
                <w:lang w:val="en-US" w:eastAsia="zh-CN"/>
              </w:rPr>
              <w:t>相关证明文件</w:t>
            </w:r>
            <w:r>
              <w:rPr>
                <w:rFonts w:hint="eastAsia" w:ascii="宋体" w:hAnsi="宋体" w:cs="宋体"/>
                <w:color w:val="auto"/>
                <w:spacing w:val="-2"/>
                <w:sz w:val="24"/>
                <w:highlight w:val="none"/>
                <w:lang w:val="en-US" w:eastAsia="zh-CN"/>
              </w:rPr>
              <w:t>及本项目支付往来流水（以上材料均加盖业主公章）。</w:t>
            </w:r>
          </w:p>
        </w:tc>
      </w:tr>
      <w:tr w14:paraId="0D6D6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478" w:type="dxa"/>
            <w:gridSpan w:val="4"/>
            <w:tcBorders>
              <w:top w:val="single" w:color="auto" w:sz="4" w:space="0"/>
              <w:left w:val="single" w:color="auto" w:sz="4" w:space="0"/>
              <w:bottom w:val="single" w:color="auto" w:sz="4" w:space="0"/>
              <w:right w:val="single" w:color="auto" w:sz="4" w:space="0"/>
            </w:tcBorders>
            <w:vAlign w:val="center"/>
          </w:tcPr>
          <w:p w14:paraId="578D04FF">
            <w:pPr>
              <w:spacing w:line="360" w:lineRule="auto"/>
              <w:ind w:firstLine="480" w:firstLineChars="200"/>
              <w:rPr>
                <w:rFonts w:hint="eastAsia" w:ascii="宋体" w:hAnsi="宋体" w:cs="宋体"/>
                <w:color w:val="auto"/>
                <w:spacing w:val="-2"/>
                <w:sz w:val="24"/>
                <w:highlight w:val="none"/>
                <w:lang w:val="en-US" w:eastAsia="zh-CN"/>
              </w:rPr>
            </w:pPr>
            <w:r>
              <w:rPr>
                <w:rFonts w:hint="eastAsia" w:ascii="宋体" w:hAnsi="宋体" w:eastAsia="宋体" w:cs="宋体"/>
                <w:b w:val="0"/>
                <w:bCs w:val="0"/>
                <w:color w:val="auto"/>
                <w:sz w:val="24"/>
                <w:szCs w:val="24"/>
                <w:highlight w:val="none"/>
              </w:rPr>
              <w:t>备注：以上资格证明文件均应加盖投标人公章。</w:t>
            </w:r>
          </w:p>
        </w:tc>
      </w:tr>
      <w:tr w14:paraId="6DA90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78" w:type="dxa"/>
            <w:gridSpan w:val="4"/>
            <w:tcBorders>
              <w:top w:val="single" w:color="auto" w:sz="4" w:space="0"/>
              <w:left w:val="single" w:color="auto" w:sz="4" w:space="0"/>
              <w:bottom w:val="single" w:color="auto" w:sz="4" w:space="0"/>
              <w:right w:val="single" w:color="auto" w:sz="4" w:space="0"/>
            </w:tcBorders>
          </w:tcPr>
          <w:p w14:paraId="3F72F971">
            <w:pPr>
              <w:spacing w:line="360" w:lineRule="auto"/>
              <w:jc w:val="center"/>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符合性要求</w:t>
            </w:r>
          </w:p>
        </w:tc>
      </w:tr>
      <w:tr w14:paraId="5E0CE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6C25E82F">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项号</w:t>
            </w:r>
          </w:p>
        </w:tc>
        <w:tc>
          <w:tcPr>
            <w:tcW w:w="456" w:type="dxa"/>
            <w:tcBorders>
              <w:top w:val="single" w:color="auto" w:sz="4" w:space="0"/>
              <w:left w:val="single" w:color="auto" w:sz="4" w:space="0"/>
              <w:bottom w:val="single" w:color="auto" w:sz="4" w:space="0"/>
              <w:right w:val="single" w:color="auto" w:sz="4" w:space="0"/>
            </w:tcBorders>
            <w:vAlign w:val="center"/>
          </w:tcPr>
          <w:p w14:paraId="7A63DB0A">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章</w:t>
            </w:r>
          </w:p>
        </w:tc>
        <w:tc>
          <w:tcPr>
            <w:tcW w:w="936" w:type="dxa"/>
            <w:tcBorders>
              <w:top w:val="single" w:color="auto" w:sz="4" w:space="0"/>
              <w:left w:val="single" w:color="auto" w:sz="4" w:space="0"/>
              <w:bottom w:val="single" w:color="auto" w:sz="4" w:space="0"/>
              <w:right w:val="single" w:color="auto" w:sz="4" w:space="0"/>
            </w:tcBorders>
            <w:vAlign w:val="center"/>
          </w:tcPr>
          <w:p w14:paraId="29B7E5B1">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条款号</w:t>
            </w:r>
          </w:p>
        </w:tc>
        <w:tc>
          <w:tcPr>
            <w:tcW w:w="8246" w:type="dxa"/>
            <w:tcBorders>
              <w:top w:val="single" w:color="auto" w:sz="4" w:space="0"/>
              <w:left w:val="single" w:color="auto" w:sz="4" w:space="0"/>
              <w:bottom w:val="single" w:color="auto" w:sz="4" w:space="0"/>
              <w:right w:val="single" w:color="auto" w:sz="4" w:space="0"/>
            </w:tcBorders>
            <w:vAlign w:val="center"/>
          </w:tcPr>
          <w:p w14:paraId="138E8A7D">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具体内容</w:t>
            </w:r>
          </w:p>
        </w:tc>
      </w:tr>
      <w:tr w14:paraId="48EF3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080FA586">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p>
        </w:tc>
        <w:tc>
          <w:tcPr>
            <w:tcW w:w="456" w:type="dxa"/>
            <w:tcBorders>
              <w:top w:val="single" w:color="auto" w:sz="4" w:space="0"/>
              <w:left w:val="single" w:color="auto" w:sz="4" w:space="0"/>
              <w:bottom w:val="single" w:color="auto" w:sz="4" w:space="0"/>
              <w:right w:val="single" w:color="auto" w:sz="4" w:space="0"/>
            </w:tcBorders>
            <w:vAlign w:val="center"/>
          </w:tcPr>
          <w:p w14:paraId="3466BC5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一</w:t>
            </w:r>
          </w:p>
        </w:tc>
        <w:tc>
          <w:tcPr>
            <w:tcW w:w="936" w:type="dxa"/>
            <w:tcBorders>
              <w:top w:val="single" w:color="auto" w:sz="4" w:space="0"/>
              <w:left w:val="single" w:color="auto" w:sz="4" w:space="0"/>
              <w:bottom w:val="single" w:color="auto" w:sz="4" w:space="0"/>
              <w:right w:val="single" w:color="auto" w:sz="4" w:space="0"/>
            </w:tcBorders>
            <w:vAlign w:val="center"/>
          </w:tcPr>
          <w:p w14:paraId="3FAD669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w:t>
            </w:r>
          </w:p>
        </w:tc>
        <w:tc>
          <w:tcPr>
            <w:tcW w:w="8246" w:type="dxa"/>
            <w:tcBorders>
              <w:top w:val="single" w:color="auto" w:sz="4" w:space="0"/>
              <w:left w:val="single" w:color="auto" w:sz="4" w:space="0"/>
              <w:bottom w:val="single" w:color="auto" w:sz="4" w:space="0"/>
              <w:right w:val="single" w:color="auto" w:sz="4" w:space="0"/>
            </w:tcBorders>
          </w:tcPr>
          <w:p w14:paraId="7ED8B159">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投标人的投标文件未按规定的投标截止时间之前提交的，其投标将被拒绝。</w:t>
            </w:r>
          </w:p>
        </w:tc>
      </w:tr>
      <w:tr w14:paraId="22609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5E2CC945">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w:t>
            </w:r>
          </w:p>
        </w:tc>
        <w:tc>
          <w:tcPr>
            <w:tcW w:w="456" w:type="dxa"/>
            <w:tcBorders>
              <w:top w:val="single" w:color="auto" w:sz="4" w:space="0"/>
              <w:left w:val="single" w:color="auto" w:sz="4" w:space="0"/>
              <w:bottom w:val="single" w:color="auto" w:sz="4" w:space="0"/>
              <w:right w:val="single" w:color="auto" w:sz="4" w:space="0"/>
            </w:tcBorders>
            <w:vAlign w:val="center"/>
          </w:tcPr>
          <w:p w14:paraId="33B8D98B">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241E072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3.7</w:t>
            </w:r>
          </w:p>
        </w:tc>
        <w:tc>
          <w:tcPr>
            <w:tcW w:w="8246" w:type="dxa"/>
            <w:tcBorders>
              <w:top w:val="single" w:color="auto" w:sz="4" w:space="0"/>
              <w:left w:val="single" w:color="auto" w:sz="4" w:space="0"/>
              <w:bottom w:val="single" w:color="auto" w:sz="4" w:space="0"/>
              <w:right w:val="single" w:color="auto" w:sz="4" w:space="0"/>
            </w:tcBorders>
          </w:tcPr>
          <w:p w14:paraId="329C41E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投标人存在下列情形之一的，将被认定为串通投标行为，并作无效投标处理：</w:t>
            </w:r>
          </w:p>
          <w:p w14:paraId="501B580B">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1</w:t>
            </w:r>
            <w:r>
              <w:rPr>
                <w:rFonts w:hint="eastAsia" w:asciiTheme="majorEastAsia" w:hAnsiTheme="majorEastAsia" w:eastAsiaTheme="majorEastAsia"/>
                <w:color w:val="auto"/>
                <w:sz w:val="24"/>
                <w:highlight w:val="none"/>
              </w:rPr>
              <w:t>）投标人之间协商投标报价等投标文件的实质性内容；</w:t>
            </w:r>
          </w:p>
          <w:p w14:paraId="6EF0BB58">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2</w:t>
            </w:r>
            <w:r>
              <w:rPr>
                <w:rFonts w:hint="eastAsia" w:asciiTheme="majorEastAsia" w:hAnsiTheme="majorEastAsia" w:eastAsiaTheme="majorEastAsia"/>
                <w:color w:val="auto"/>
                <w:sz w:val="24"/>
                <w:highlight w:val="none"/>
              </w:rPr>
              <w:t>）投标人之间约定中标人；</w:t>
            </w:r>
          </w:p>
          <w:p w14:paraId="61DA642C">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3</w:t>
            </w:r>
            <w:r>
              <w:rPr>
                <w:rFonts w:hint="eastAsia" w:asciiTheme="majorEastAsia" w:hAnsiTheme="majorEastAsia" w:eastAsiaTheme="majorEastAsia"/>
                <w:color w:val="auto"/>
                <w:sz w:val="24"/>
                <w:highlight w:val="none"/>
              </w:rPr>
              <w:t>）投标人之间约定部分投标人放弃投标或者中标；</w:t>
            </w:r>
          </w:p>
          <w:p w14:paraId="1A361135">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4</w:t>
            </w:r>
            <w:r>
              <w:rPr>
                <w:rFonts w:hint="eastAsia" w:asciiTheme="majorEastAsia" w:hAnsiTheme="majorEastAsia" w:eastAsiaTheme="majorEastAsia"/>
                <w:color w:val="auto"/>
                <w:sz w:val="24"/>
                <w:highlight w:val="none"/>
              </w:rPr>
              <w:t>）属于同一集团、协会、商会等组织成员的投标人按照该组织要求协同投标；</w:t>
            </w:r>
          </w:p>
          <w:p w14:paraId="1B09240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5</w:t>
            </w:r>
            <w:r>
              <w:rPr>
                <w:rFonts w:hint="eastAsia" w:asciiTheme="majorEastAsia" w:hAnsiTheme="majorEastAsia" w:eastAsiaTheme="majorEastAsia"/>
                <w:color w:val="auto"/>
                <w:sz w:val="24"/>
                <w:highlight w:val="none"/>
              </w:rPr>
              <w:t>）投标人之间为谋取中标或者排斥特定投标人而采取的其他联合行动；</w:t>
            </w:r>
          </w:p>
          <w:p w14:paraId="6EE29939">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6</w:t>
            </w:r>
            <w:r>
              <w:rPr>
                <w:rFonts w:hint="eastAsia" w:asciiTheme="majorEastAsia" w:hAnsiTheme="majorEastAsia" w:eastAsiaTheme="majorEastAsia"/>
                <w:color w:val="auto"/>
                <w:sz w:val="24"/>
                <w:highlight w:val="none"/>
              </w:rPr>
              <w:t>）不同投标人的投标文件由同一单位或者个人编制；</w:t>
            </w:r>
          </w:p>
          <w:p w14:paraId="2FBED75A">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7</w:t>
            </w:r>
            <w:r>
              <w:rPr>
                <w:rFonts w:hint="eastAsia" w:asciiTheme="majorEastAsia" w:hAnsiTheme="majorEastAsia" w:eastAsiaTheme="majorEastAsia"/>
                <w:color w:val="auto"/>
                <w:sz w:val="24"/>
                <w:highlight w:val="none"/>
              </w:rPr>
              <w:t>）不同投标人委托同一单位或者个人办理投标事宜；</w:t>
            </w:r>
          </w:p>
          <w:p w14:paraId="73061908">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8</w:t>
            </w:r>
            <w:r>
              <w:rPr>
                <w:rFonts w:hint="eastAsia" w:asciiTheme="majorEastAsia" w:hAnsiTheme="majorEastAsia" w:eastAsiaTheme="majorEastAsia"/>
                <w:color w:val="auto"/>
                <w:sz w:val="24"/>
                <w:highlight w:val="none"/>
              </w:rPr>
              <w:t>）不同投标人的投标文件载明的项目管理成员为同一人；</w:t>
            </w:r>
          </w:p>
          <w:p w14:paraId="16B465A9">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lang w:val="en-US" w:eastAsia="zh-CN"/>
              </w:rPr>
              <w:t>9</w:t>
            </w:r>
            <w:r>
              <w:rPr>
                <w:rFonts w:hint="eastAsia" w:asciiTheme="majorEastAsia" w:hAnsiTheme="majorEastAsia" w:eastAsiaTheme="majorEastAsia"/>
                <w:color w:val="auto"/>
                <w:sz w:val="24"/>
                <w:highlight w:val="none"/>
              </w:rPr>
              <w:t>）不同投标人的投标文件异常一致或者投标报价呈规律性差异；</w:t>
            </w:r>
          </w:p>
          <w:p w14:paraId="759E829E">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0</w:t>
            </w:r>
            <w:r>
              <w:rPr>
                <w:rFonts w:hint="eastAsia" w:asciiTheme="majorEastAsia" w:hAnsiTheme="majorEastAsia" w:eastAsiaTheme="majorEastAsia"/>
                <w:color w:val="auto"/>
                <w:sz w:val="24"/>
                <w:highlight w:val="none"/>
              </w:rPr>
              <w:t>）不同投标人的投标文件相互混装；</w:t>
            </w:r>
          </w:p>
          <w:p w14:paraId="56F4A2B0">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1</w:t>
            </w:r>
            <w:r>
              <w:rPr>
                <w:rFonts w:hint="eastAsia" w:asciiTheme="majorEastAsia" w:hAnsiTheme="majorEastAsia" w:eastAsiaTheme="majorEastAsia"/>
                <w:color w:val="auto"/>
                <w:sz w:val="24"/>
                <w:highlight w:val="none"/>
              </w:rPr>
              <w:t>）不同投标人的投标保证金从同一单位或者个人的账户转出。</w:t>
            </w:r>
          </w:p>
          <w:p w14:paraId="0E7F262A">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2</w:t>
            </w:r>
            <w:r>
              <w:rPr>
                <w:rFonts w:hint="eastAsia" w:asciiTheme="majorEastAsia" w:hAnsiTheme="majorEastAsia" w:eastAsiaTheme="majorEastAsia"/>
                <w:color w:val="auto"/>
                <w:sz w:val="24"/>
                <w:highlight w:val="none"/>
              </w:rPr>
              <w:t>）有关法律、法规或规章规定的其他串通投标行为。</w:t>
            </w:r>
          </w:p>
        </w:tc>
      </w:tr>
      <w:tr w14:paraId="4013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840" w:type="dxa"/>
            <w:tcBorders>
              <w:top w:val="single" w:color="auto" w:sz="4" w:space="0"/>
              <w:left w:val="single" w:color="auto" w:sz="4" w:space="0"/>
              <w:bottom w:val="single" w:color="auto" w:sz="4" w:space="0"/>
              <w:right w:val="single" w:color="auto" w:sz="4" w:space="0"/>
            </w:tcBorders>
            <w:vAlign w:val="center"/>
          </w:tcPr>
          <w:p w14:paraId="0C9028C1">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w:t>
            </w:r>
          </w:p>
        </w:tc>
        <w:tc>
          <w:tcPr>
            <w:tcW w:w="456" w:type="dxa"/>
            <w:tcBorders>
              <w:top w:val="single" w:color="auto" w:sz="4" w:space="0"/>
              <w:left w:val="single" w:color="auto" w:sz="4" w:space="0"/>
              <w:bottom w:val="single" w:color="auto" w:sz="4" w:space="0"/>
              <w:right w:val="single" w:color="auto" w:sz="4" w:space="0"/>
            </w:tcBorders>
            <w:vAlign w:val="center"/>
          </w:tcPr>
          <w:p w14:paraId="48317F5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7C69BD6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11.1</w:t>
            </w:r>
          </w:p>
        </w:tc>
        <w:tc>
          <w:tcPr>
            <w:tcW w:w="8246" w:type="dxa"/>
            <w:tcBorders>
              <w:top w:val="single" w:color="auto" w:sz="4" w:space="0"/>
              <w:left w:val="single" w:color="auto" w:sz="4" w:space="0"/>
              <w:bottom w:val="single" w:color="auto" w:sz="4" w:space="0"/>
              <w:right w:val="single" w:color="auto" w:sz="4" w:space="0"/>
            </w:tcBorders>
          </w:tcPr>
          <w:p w14:paraId="105A6E07">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投标有效期：投标截止期结束后</w:t>
            </w:r>
            <w:r>
              <w:rPr>
                <w:rFonts w:hint="eastAsia" w:asciiTheme="majorEastAsia" w:hAnsiTheme="majorEastAsia" w:eastAsiaTheme="majorEastAsia"/>
                <w:color w:val="auto"/>
                <w:sz w:val="24"/>
                <w:highlight w:val="none"/>
                <w:u w:val="single"/>
              </w:rPr>
              <w:t xml:space="preserve"> 90 </w:t>
            </w:r>
            <w:r>
              <w:rPr>
                <w:rFonts w:hint="eastAsia" w:asciiTheme="majorEastAsia" w:hAnsiTheme="majorEastAsia" w:eastAsiaTheme="majorEastAsia"/>
                <w:color w:val="auto"/>
                <w:sz w:val="24"/>
                <w:highlight w:val="none"/>
              </w:rPr>
              <w:t>个日历日。有效期不足将导致其投标文件被拒绝。</w:t>
            </w:r>
          </w:p>
        </w:tc>
      </w:tr>
      <w:tr w14:paraId="6EA58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840" w:type="dxa"/>
            <w:tcBorders>
              <w:top w:val="single" w:color="auto" w:sz="4" w:space="0"/>
              <w:left w:val="single" w:color="auto" w:sz="4" w:space="0"/>
              <w:bottom w:val="single" w:color="auto" w:sz="4" w:space="0"/>
              <w:right w:val="single" w:color="auto" w:sz="4" w:space="0"/>
            </w:tcBorders>
            <w:vAlign w:val="center"/>
          </w:tcPr>
          <w:p w14:paraId="16DADF13">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w:t>
            </w:r>
          </w:p>
        </w:tc>
        <w:tc>
          <w:tcPr>
            <w:tcW w:w="456" w:type="dxa"/>
            <w:tcBorders>
              <w:top w:val="single" w:color="auto" w:sz="4" w:space="0"/>
              <w:left w:val="single" w:color="auto" w:sz="4" w:space="0"/>
              <w:bottom w:val="single" w:color="auto" w:sz="4" w:space="0"/>
              <w:right w:val="single" w:color="auto" w:sz="4" w:space="0"/>
            </w:tcBorders>
            <w:vAlign w:val="center"/>
          </w:tcPr>
          <w:p w14:paraId="746CEB2D">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38768E17">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24</w:t>
            </w:r>
          </w:p>
        </w:tc>
        <w:tc>
          <w:tcPr>
            <w:tcW w:w="8246" w:type="dxa"/>
            <w:tcBorders>
              <w:top w:val="single" w:color="auto" w:sz="4" w:space="0"/>
              <w:left w:val="single" w:color="auto" w:sz="4" w:space="0"/>
              <w:bottom w:val="single" w:color="auto" w:sz="4" w:space="0"/>
              <w:right w:val="single" w:color="auto" w:sz="4" w:space="0"/>
            </w:tcBorders>
          </w:tcPr>
          <w:p w14:paraId="1BD54494">
            <w:pPr>
              <w:spacing w:line="360" w:lineRule="auto"/>
              <w:rPr>
                <w:rFonts w:ascii="宋体" w:hAnsi="宋体"/>
                <w:color w:val="auto"/>
                <w:sz w:val="24"/>
                <w:highlight w:val="none"/>
              </w:rPr>
            </w:pPr>
            <w:r>
              <w:rPr>
                <w:rFonts w:hint="eastAsia" w:ascii="宋体" w:hAnsi="宋体"/>
                <w:color w:val="auto"/>
                <w:sz w:val="24"/>
                <w:highlight w:val="none"/>
              </w:rPr>
              <w:t>异议：</w:t>
            </w:r>
          </w:p>
          <w:p w14:paraId="012F8B63">
            <w:pPr>
              <w:spacing w:line="360" w:lineRule="auto"/>
              <w:rPr>
                <w:rFonts w:ascii="宋体" w:hAnsi="宋体"/>
                <w:color w:val="auto"/>
                <w:sz w:val="24"/>
                <w:highlight w:val="none"/>
              </w:rPr>
            </w:pPr>
            <w:r>
              <w:rPr>
                <w:rFonts w:hint="eastAsia" w:ascii="宋体" w:hAnsi="宋体"/>
                <w:color w:val="auto"/>
                <w:sz w:val="24"/>
                <w:highlight w:val="none"/>
              </w:rPr>
              <w:t>（1）潜在投标人可在异议时效期间内对招标文件以书面形式提出异议。</w:t>
            </w:r>
          </w:p>
          <w:p w14:paraId="62C00720">
            <w:pPr>
              <w:spacing w:line="360" w:lineRule="auto"/>
              <w:rPr>
                <w:rFonts w:ascii="宋体" w:hAnsi="宋体"/>
                <w:color w:val="auto"/>
                <w:sz w:val="24"/>
                <w:highlight w:val="none"/>
              </w:rPr>
            </w:pPr>
            <w:r>
              <w:rPr>
                <w:rFonts w:hint="eastAsia" w:ascii="宋体" w:hAnsi="宋体"/>
                <w:color w:val="auto"/>
                <w:sz w:val="24"/>
                <w:highlight w:val="none"/>
              </w:rPr>
              <w:t>（2）异议时效期间：应当在投标截止时间10日前向招标代理机构或招标人提出。</w:t>
            </w:r>
          </w:p>
          <w:p w14:paraId="0D41AD16">
            <w:pPr>
              <w:spacing w:line="360" w:lineRule="auto"/>
              <w:rPr>
                <w:rFonts w:ascii="宋体" w:hAnsi="宋体"/>
                <w:color w:val="auto"/>
                <w:sz w:val="24"/>
                <w:highlight w:val="none"/>
              </w:rPr>
            </w:pPr>
            <w:r>
              <w:rPr>
                <w:rFonts w:hint="eastAsia" w:ascii="宋体" w:hAnsi="宋体"/>
                <w:color w:val="auto"/>
                <w:sz w:val="24"/>
                <w:highlight w:val="none"/>
              </w:rPr>
              <w:t>（3）异议函原件可采用下列方式向代理机构提交：</w:t>
            </w:r>
            <w:r>
              <w:rPr>
                <w:rFonts w:ascii="Segoe UI Symbol" w:hAnsi="Segoe UI Symbol" w:cs="Segoe UI Symbol"/>
                <w:color w:val="auto"/>
                <w:sz w:val="24"/>
                <w:highlight w:val="none"/>
              </w:rPr>
              <w:t>☑</w:t>
            </w:r>
            <w:r>
              <w:rPr>
                <w:rFonts w:hint="eastAsia" w:ascii="宋体" w:hAnsi="宋体"/>
                <w:color w:val="auto"/>
                <w:sz w:val="24"/>
                <w:highlight w:val="none"/>
              </w:rPr>
              <w:t>现场方式。□挂号邮件或快递方式。</w:t>
            </w:r>
          </w:p>
          <w:p w14:paraId="0E042F51">
            <w:pPr>
              <w:spacing w:line="360" w:lineRule="auto"/>
              <w:rPr>
                <w:rFonts w:asciiTheme="majorEastAsia" w:hAnsiTheme="majorEastAsia" w:eastAsiaTheme="majorEastAsia"/>
                <w:color w:val="auto"/>
                <w:sz w:val="24"/>
                <w:highlight w:val="none"/>
              </w:rPr>
            </w:pPr>
            <w:r>
              <w:rPr>
                <w:rFonts w:hint="eastAsia" w:ascii="宋体" w:hAnsi="宋体"/>
                <w:color w:val="auto"/>
                <w:sz w:val="24"/>
                <w:highlight w:val="none"/>
              </w:rPr>
              <w:t>（4）代理机构接收异议函联系人、联系电话及通讯地址详见第一章“投标邀请”。</w:t>
            </w:r>
          </w:p>
        </w:tc>
      </w:tr>
      <w:tr w14:paraId="5F91B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40" w:type="dxa"/>
            <w:tcBorders>
              <w:top w:val="single" w:color="auto" w:sz="4" w:space="0"/>
              <w:left w:val="single" w:color="auto" w:sz="4" w:space="0"/>
              <w:bottom w:val="single" w:color="auto" w:sz="4" w:space="0"/>
              <w:right w:val="single" w:color="auto" w:sz="4" w:space="0"/>
            </w:tcBorders>
            <w:vAlign w:val="center"/>
          </w:tcPr>
          <w:p w14:paraId="6B0340E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w:t>
            </w:r>
          </w:p>
        </w:tc>
        <w:tc>
          <w:tcPr>
            <w:tcW w:w="456" w:type="dxa"/>
            <w:tcBorders>
              <w:top w:val="single" w:color="auto" w:sz="4" w:space="0"/>
              <w:left w:val="single" w:color="auto" w:sz="4" w:space="0"/>
              <w:bottom w:val="single" w:color="auto" w:sz="4" w:space="0"/>
              <w:right w:val="single" w:color="auto" w:sz="4" w:space="0"/>
            </w:tcBorders>
            <w:vAlign w:val="center"/>
          </w:tcPr>
          <w:p w14:paraId="6F90076C">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47877F0B">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12.5</w:t>
            </w:r>
          </w:p>
        </w:tc>
        <w:tc>
          <w:tcPr>
            <w:tcW w:w="8246" w:type="dxa"/>
            <w:tcBorders>
              <w:top w:val="single" w:color="auto" w:sz="4" w:space="0"/>
              <w:left w:val="single" w:color="auto" w:sz="4" w:space="0"/>
              <w:bottom w:val="single" w:color="auto" w:sz="4" w:space="0"/>
              <w:right w:val="single" w:color="auto" w:sz="4" w:space="0"/>
            </w:tcBorders>
          </w:tcPr>
          <w:p w14:paraId="41311357">
            <w:pPr>
              <w:spacing w:line="360" w:lineRule="auto"/>
              <w:rPr>
                <w:rFonts w:asciiTheme="majorEastAsia" w:hAnsiTheme="majorEastAsia" w:eastAsiaTheme="majorEastAsia"/>
                <w:color w:val="auto"/>
                <w:sz w:val="24"/>
                <w:highlight w:val="none"/>
              </w:rPr>
            </w:pPr>
            <w:r>
              <w:rPr>
                <w:rFonts w:hint="eastAsia" w:cs="宋体" w:asciiTheme="majorEastAsia" w:hAnsiTheme="majorEastAsia" w:eastAsiaTheme="majorEastAsia"/>
                <w:color w:val="auto"/>
                <w:sz w:val="24"/>
                <w:highlight w:val="none"/>
              </w:rPr>
              <w:t>未按规定提交</w:t>
            </w:r>
            <w:r>
              <w:rPr>
                <w:rFonts w:hint="eastAsia" w:asciiTheme="majorEastAsia" w:hAnsiTheme="majorEastAsia" w:eastAsiaTheme="majorEastAsia"/>
                <w:color w:val="auto"/>
                <w:sz w:val="24"/>
                <w:highlight w:val="none"/>
              </w:rPr>
              <w:t>投标</w:t>
            </w:r>
            <w:r>
              <w:rPr>
                <w:rFonts w:hint="eastAsia" w:cs="宋体" w:asciiTheme="majorEastAsia" w:hAnsiTheme="majorEastAsia" w:eastAsiaTheme="majorEastAsia"/>
                <w:color w:val="auto"/>
                <w:sz w:val="24"/>
                <w:highlight w:val="none"/>
              </w:rPr>
              <w:t>保证金，将被视为未响应招标文件要求，取消其投标资格。</w:t>
            </w:r>
          </w:p>
        </w:tc>
      </w:tr>
      <w:tr w14:paraId="39DD2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5BAF0AD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w:t>
            </w:r>
          </w:p>
        </w:tc>
        <w:tc>
          <w:tcPr>
            <w:tcW w:w="456" w:type="dxa"/>
            <w:tcBorders>
              <w:top w:val="single" w:color="auto" w:sz="4" w:space="0"/>
              <w:left w:val="single" w:color="auto" w:sz="4" w:space="0"/>
              <w:bottom w:val="single" w:color="auto" w:sz="4" w:space="0"/>
              <w:right w:val="single" w:color="auto" w:sz="4" w:space="0"/>
            </w:tcBorders>
            <w:vAlign w:val="center"/>
          </w:tcPr>
          <w:p w14:paraId="5FB23C7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30B3FDF2">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17.3.2</w:t>
            </w:r>
          </w:p>
        </w:tc>
        <w:tc>
          <w:tcPr>
            <w:tcW w:w="8246" w:type="dxa"/>
            <w:tcBorders>
              <w:top w:val="single" w:color="auto" w:sz="4" w:space="0"/>
              <w:left w:val="single" w:color="auto" w:sz="4" w:space="0"/>
              <w:bottom w:val="single" w:color="auto" w:sz="4" w:space="0"/>
              <w:right w:val="single" w:color="auto" w:sz="4" w:space="0"/>
            </w:tcBorders>
          </w:tcPr>
          <w:p w14:paraId="79B45C2D">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实质性偏离是指：</w:t>
            </w:r>
          </w:p>
          <w:p w14:paraId="58E344C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（1）实质性影响合同的范围、质量和履行；</w:t>
            </w:r>
          </w:p>
          <w:p w14:paraId="5CB6FA2B">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（2）实质性违背招标文件，限制了招标人的权利和中标人合同项下的义务；</w:t>
            </w:r>
          </w:p>
          <w:p w14:paraId="51EE745D">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（3）不公正地影响了其他作出实质性响应的投标人的竞争地位。</w:t>
            </w:r>
          </w:p>
        </w:tc>
      </w:tr>
      <w:tr w14:paraId="07D13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781BC6B2">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w:t>
            </w:r>
          </w:p>
        </w:tc>
        <w:tc>
          <w:tcPr>
            <w:tcW w:w="456" w:type="dxa"/>
            <w:tcBorders>
              <w:top w:val="single" w:color="auto" w:sz="4" w:space="0"/>
              <w:left w:val="single" w:color="auto" w:sz="4" w:space="0"/>
              <w:bottom w:val="single" w:color="auto" w:sz="4" w:space="0"/>
              <w:right w:val="single" w:color="auto" w:sz="4" w:space="0"/>
            </w:tcBorders>
            <w:vAlign w:val="center"/>
          </w:tcPr>
          <w:p w14:paraId="3846046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7C2BA5B1">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17.3.2</w:t>
            </w:r>
          </w:p>
        </w:tc>
        <w:tc>
          <w:tcPr>
            <w:tcW w:w="8246" w:type="dxa"/>
            <w:tcBorders>
              <w:top w:val="single" w:color="auto" w:sz="4" w:space="0"/>
              <w:left w:val="single" w:color="auto" w:sz="4" w:space="0"/>
              <w:bottom w:val="single" w:color="auto" w:sz="4" w:space="0"/>
              <w:right w:val="single" w:color="auto" w:sz="4" w:space="0"/>
            </w:tcBorders>
          </w:tcPr>
          <w:p w14:paraId="39630245">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凡有下列情况之一者，投标文件也将被视为未实质性响应招标文件要求：</w:t>
            </w:r>
          </w:p>
          <w:p w14:paraId="0BAEA33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（1）投标文件未按照本须知第14条的规定进行密封、标记的；</w:t>
            </w:r>
          </w:p>
          <w:p w14:paraId="366ED8FE">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（2）投标文件未按规定加盖投标人公章的；</w:t>
            </w:r>
          </w:p>
          <w:p w14:paraId="74EF5070">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（3）投标文件未按规定由投标人的法定代表人或其授权代表签字；</w:t>
            </w:r>
          </w:p>
          <w:p w14:paraId="381395E8">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（4）非法定代表人的签字人未在投标文件中提供经法定代表人签字并加盖投标人公章的有效授权委托书的；</w:t>
            </w:r>
          </w:p>
          <w:p w14:paraId="0A787190">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（5）开标一览表未加盖投标人公章，开标一览表的招标项目名称、项目编号等重要信息错误的；</w:t>
            </w:r>
          </w:p>
          <w:p w14:paraId="3522CC72">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（6）未按照要求提交投标保证金、或投标保证金的金额不足、或投标保证金形式不符合招标文件要求、或保证金不能确保进账的；</w:t>
            </w:r>
          </w:p>
          <w:p w14:paraId="1B53D66F">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（7）投标人的投标有效期不满足招标文件要求的；</w:t>
            </w:r>
          </w:p>
          <w:p w14:paraId="308D038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（8）投标内容与招标内容及要求有重大偏离或保留的，或投标文件不符合招标文件中规定的其它实质性条款；</w:t>
            </w:r>
          </w:p>
          <w:p w14:paraId="76C154C0">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（9）投标人的技术、商务投标响应方面明显复制招标文件要求的；</w:t>
            </w:r>
          </w:p>
          <w:p w14:paraId="5EF4F79E">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（10）两个或两个以上投标人的投标文件在其个性部分明显出现雷同的；</w:t>
            </w:r>
          </w:p>
          <w:p w14:paraId="1A9C9336">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（11）投标人提交的是可选择的报价；</w:t>
            </w:r>
          </w:p>
          <w:p w14:paraId="0E6FD061">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2</w:t>
            </w:r>
            <w:r>
              <w:rPr>
                <w:rFonts w:hint="eastAsia" w:asciiTheme="majorEastAsia" w:hAnsiTheme="majorEastAsia" w:eastAsiaTheme="majorEastAsia"/>
                <w:color w:val="auto"/>
                <w:sz w:val="24"/>
                <w:highlight w:val="none"/>
              </w:rPr>
              <w:t>）投标人提交的报价超过项目</w:t>
            </w:r>
            <w:r>
              <w:rPr>
                <w:rFonts w:hint="eastAsia" w:asciiTheme="majorEastAsia" w:hAnsiTheme="majorEastAsia" w:eastAsiaTheme="majorEastAsia"/>
                <w:color w:val="auto"/>
                <w:sz w:val="24"/>
                <w:highlight w:val="none"/>
                <w:lang w:val="en-US" w:eastAsia="zh-CN"/>
              </w:rPr>
              <w:t>项目</w:t>
            </w:r>
            <w:r>
              <w:rPr>
                <w:rFonts w:hint="eastAsia" w:asciiTheme="majorEastAsia" w:hAnsiTheme="majorEastAsia" w:eastAsiaTheme="majorEastAsia"/>
                <w:color w:val="auto"/>
                <w:sz w:val="24"/>
                <w:highlight w:val="none"/>
              </w:rPr>
              <w:t>控制价；</w:t>
            </w:r>
          </w:p>
          <w:p w14:paraId="76F989BF">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3</w:t>
            </w:r>
            <w:r>
              <w:rPr>
                <w:rFonts w:hint="eastAsia" w:asciiTheme="majorEastAsia" w:hAnsiTheme="majorEastAsia" w:eastAsiaTheme="majorEastAsia"/>
                <w:color w:val="auto"/>
                <w:sz w:val="24"/>
                <w:highlight w:val="none"/>
              </w:rPr>
              <w:t>）投标文件中提供虚假或失实资料的；</w:t>
            </w:r>
          </w:p>
          <w:p w14:paraId="1E945646">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4</w:t>
            </w:r>
            <w:r>
              <w:rPr>
                <w:rFonts w:hint="eastAsia" w:asciiTheme="majorEastAsia" w:hAnsiTheme="majorEastAsia" w:eastAsiaTheme="majorEastAsia"/>
                <w:color w:val="auto"/>
                <w:sz w:val="24"/>
                <w:highlight w:val="none"/>
              </w:rPr>
              <w:t>）投标文件不满足招标文件中带★条款要求的；</w:t>
            </w:r>
          </w:p>
          <w:p w14:paraId="4A635ABF">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5</w:t>
            </w:r>
            <w:r>
              <w:rPr>
                <w:rFonts w:hint="eastAsia" w:asciiTheme="majorEastAsia" w:hAnsiTheme="majorEastAsia" w:eastAsiaTheme="majorEastAsia"/>
                <w:color w:val="auto"/>
                <w:sz w:val="24"/>
                <w:highlight w:val="none"/>
              </w:rPr>
              <w:t>）招标文件规定的其他情形；</w:t>
            </w:r>
          </w:p>
          <w:p w14:paraId="70AE172D">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lang w:val="en-US" w:eastAsia="zh-CN"/>
              </w:rPr>
              <w:t>6</w:t>
            </w:r>
            <w:r>
              <w:rPr>
                <w:rFonts w:hint="eastAsia" w:asciiTheme="majorEastAsia" w:hAnsiTheme="majorEastAsia" w:eastAsiaTheme="majorEastAsia"/>
                <w:color w:val="auto"/>
                <w:sz w:val="24"/>
                <w:highlight w:val="none"/>
              </w:rPr>
              <w:t>）评标委员会认定属于无效投标的其他情形。</w:t>
            </w:r>
          </w:p>
        </w:tc>
      </w:tr>
      <w:tr w14:paraId="47AC8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1B695AD6">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w:t>
            </w:r>
          </w:p>
        </w:tc>
        <w:tc>
          <w:tcPr>
            <w:tcW w:w="456" w:type="dxa"/>
            <w:tcBorders>
              <w:top w:val="single" w:color="auto" w:sz="4" w:space="0"/>
              <w:left w:val="single" w:color="auto" w:sz="4" w:space="0"/>
              <w:bottom w:val="single" w:color="auto" w:sz="4" w:space="0"/>
              <w:right w:val="single" w:color="auto" w:sz="4" w:space="0"/>
            </w:tcBorders>
            <w:vAlign w:val="center"/>
          </w:tcPr>
          <w:p w14:paraId="103E579A">
            <w:pPr>
              <w:spacing w:line="360" w:lineRule="auto"/>
              <w:jc w:val="center"/>
              <w:rPr>
                <w:rFonts w:asciiTheme="majorEastAsia" w:hAnsiTheme="majorEastAsia" w:eastAsiaTheme="majorEastAsia"/>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vAlign w:val="center"/>
          </w:tcPr>
          <w:p w14:paraId="2A3DE2A4">
            <w:pPr>
              <w:spacing w:line="360" w:lineRule="auto"/>
              <w:jc w:val="center"/>
              <w:rPr>
                <w:rFonts w:asciiTheme="majorEastAsia" w:hAnsiTheme="majorEastAsia" w:eastAsiaTheme="majorEastAsia"/>
                <w:color w:val="auto"/>
                <w:sz w:val="24"/>
                <w:highlight w:val="none"/>
              </w:rPr>
            </w:pPr>
          </w:p>
        </w:tc>
        <w:tc>
          <w:tcPr>
            <w:tcW w:w="8246" w:type="dxa"/>
            <w:tcBorders>
              <w:top w:val="single" w:color="auto" w:sz="4" w:space="0"/>
              <w:left w:val="single" w:color="auto" w:sz="4" w:space="0"/>
              <w:bottom w:val="single" w:color="auto" w:sz="4" w:space="0"/>
              <w:right w:val="single" w:color="auto" w:sz="4" w:space="0"/>
            </w:tcBorders>
          </w:tcPr>
          <w:p w14:paraId="00920D28">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投标文件至少必须包括下列部分，否则其投标将按照无效投标处理：(1) 投标书；(2)开标一览表；（</w:t>
            </w:r>
            <w:r>
              <w:rPr>
                <w:rFonts w:hint="eastAsia" w:asciiTheme="majorEastAsia" w:hAnsiTheme="majorEastAsia" w:eastAsiaTheme="majorEastAsia"/>
                <w:color w:val="auto"/>
                <w:sz w:val="24"/>
                <w:highlight w:val="none"/>
                <w:lang w:val="en-US" w:eastAsia="zh-CN"/>
              </w:rPr>
              <w:t>2</w:t>
            </w:r>
            <w:r>
              <w:rPr>
                <w:rFonts w:hint="eastAsia" w:asciiTheme="majorEastAsia" w:hAnsiTheme="majorEastAsia" w:eastAsiaTheme="majorEastAsia"/>
                <w:color w:val="auto"/>
                <w:sz w:val="24"/>
                <w:highlight w:val="none"/>
              </w:rPr>
              <w:t>）服务方案；（</w:t>
            </w:r>
            <w:r>
              <w:rPr>
                <w:rFonts w:hint="eastAsia" w:asciiTheme="majorEastAsia" w:hAnsiTheme="majorEastAsia" w:eastAsiaTheme="majorEastAsia"/>
                <w:color w:val="auto"/>
                <w:sz w:val="24"/>
                <w:highlight w:val="none"/>
                <w:lang w:val="en-US" w:eastAsia="zh-CN"/>
              </w:rPr>
              <w:t>3</w:t>
            </w:r>
            <w:r>
              <w:rPr>
                <w:rFonts w:hint="eastAsia" w:asciiTheme="majorEastAsia" w:hAnsiTheme="majorEastAsia" w:eastAsiaTheme="majorEastAsia"/>
                <w:color w:val="auto"/>
                <w:sz w:val="24"/>
                <w:highlight w:val="none"/>
              </w:rPr>
              <w:t>）招标代理服务费承诺书；（</w:t>
            </w:r>
            <w:r>
              <w:rPr>
                <w:rFonts w:hint="eastAsia" w:asciiTheme="majorEastAsia" w:hAnsiTheme="majorEastAsia" w:eastAsiaTheme="majorEastAsia"/>
                <w:color w:val="auto"/>
                <w:sz w:val="24"/>
                <w:highlight w:val="none"/>
                <w:lang w:val="en-US" w:eastAsia="zh-CN"/>
              </w:rPr>
              <w:t>4</w:t>
            </w:r>
            <w:r>
              <w:rPr>
                <w:rFonts w:hint="eastAsia" w:asciiTheme="majorEastAsia" w:hAnsiTheme="majorEastAsia" w:eastAsiaTheme="majorEastAsia"/>
                <w:color w:val="auto"/>
                <w:sz w:val="24"/>
                <w:highlight w:val="none"/>
              </w:rPr>
              <w:t>）响应招标文件实质性条款要求的相关资料。</w:t>
            </w:r>
          </w:p>
        </w:tc>
      </w:tr>
      <w:tr w14:paraId="003A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503BE96A">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9</w:t>
            </w:r>
          </w:p>
        </w:tc>
        <w:tc>
          <w:tcPr>
            <w:tcW w:w="456" w:type="dxa"/>
            <w:tcBorders>
              <w:top w:val="single" w:color="auto" w:sz="4" w:space="0"/>
              <w:left w:val="single" w:color="auto" w:sz="4" w:space="0"/>
              <w:bottom w:val="single" w:color="auto" w:sz="4" w:space="0"/>
              <w:right w:val="single" w:color="auto" w:sz="4" w:space="0"/>
            </w:tcBorders>
          </w:tcPr>
          <w:p w14:paraId="52A428FD">
            <w:pPr>
              <w:spacing w:line="360" w:lineRule="auto"/>
              <w:jc w:val="center"/>
              <w:rPr>
                <w:rFonts w:asciiTheme="majorEastAsia" w:hAnsiTheme="majorEastAsia" w:eastAsiaTheme="majorEastAsia"/>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vAlign w:val="center"/>
          </w:tcPr>
          <w:p w14:paraId="4C7E3951">
            <w:pPr>
              <w:spacing w:line="360" w:lineRule="auto"/>
              <w:jc w:val="center"/>
              <w:rPr>
                <w:rFonts w:asciiTheme="majorEastAsia" w:hAnsiTheme="majorEastAsia" w:eastAsiaTheme="majorEastAsia"/>
                <w:color w:val="auto"/>
                <w:sz w:val="24"/>
                <w:highlight w:val="none"/>
              </w:rPr>
            </w:pPr>
          </w:p>
        </w:tc>
        <w:tc>
          <w:tcPr>
            <w:tcW w:w="8246" w:type="dxa"/>
            <w:tcBorders>
              <w:top w:val="single" w:color="auto" w:sz="4" w:space="0"/>
              <w:left w:val="single" w:color="auto" w:sz="4" w:space="0"/>
              <w:bottom w:val="single" w:color="auto" w:sz="4" w:space="0"/>
              <w:right w:val="single" w:color="auto" w:sz="4" w:space="0"/>
            </w:tcBorders>
          </w:tcPr>
          <w:p w14:paraId="487D4AC2">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投标人及其提供的服务必须满足中华人民共和国相关法律法规及行业的强制性要求，否则该投标人的投标将按照无效投标处理。</w:t>
            </w:r>
          </w:p>
        </w:tc>
      </w:tr>
      <w:tr w14:paraId="13F13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4C20C612">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10</w:t>
            </w:r>
          </w:p>
        </w:tc>
        <w:tc>
          <w:tcPr>
            <w:tcW w:w="456" w:type="dxa"/>
            <w:tcBorders>
              <w:top w:val="single" w:color="auto" w:sz="4" w:space="0"/>
              <w:left w:val="single" w:color="auto" w:sz="4" w:space="0"/>
              <w:bottom w:val="single" w:color="auto" w:sz="4" w:space="0"/>
              <w:right w:val="single" w:color="auto" w:sz="4" w:space="0"/>
            </w:tcBorders>
            <w:vAlign w:val="center"/>
          </w:tcPr>
          <w:p w14:paraId="490FE787">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0BFA37D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17.2</w:t>
            </w:r>
          </w:p>
        </w:tc>
        <w:tc>
          <w:tcPr>
            <w:tcW w:w="8246" w:type="dxa"/>
            <w:tcBorders>
              <w:top w:val="single" w:color="auto" w:sz="4" w:space="0"/>
              <w:left w:val="single" w:color="auto" w:sz="4" w:space="0"/>
              <w:bottom w:val="single" w:color="auto" w:sz="4" w:space="0"/>
              <w:right w:val="single" w:color="auto" w:sz="4" w:space="0"/>
            </w:tcBorders>
          </w:tcPr>
          <w:p w14:paraId="771FED9B">
            <w:pPr>
              <w:spacing w:line="360" w:lineRule="auto"/>
              <w:rPr>
                <w:rFonts w:asciiTheme="majorEastAsia" w:hAnsiTheme="majorEastAsia" w:eastAsiaTheme="majorEastAsia"/>
                <w:bCs/>
                <w:color w:val="auto"/>
                <w:sz w:val="24"/>
                <w:highlight w:val="none"/>
              </w:rPr>
            </w:pPr>
            <w:r>
              <w:rPr>
                <w:rFonts w:hint="eastAsia" w:asciiTheme="majorEastAsia" w:hAnsiTheme="majorEastAsia" w:eastAsiaTheme="majorEastAsia"/>
                <w:bCs/>
                <w:color w:val="auto"/>
                <w:sz w:val="24"/>
                <w:highlight w:val="none"/>
              </w:rPr>
              <w:t>如果投标人不接受招标文件的规定对投标文件中的算术错误进行更正，其投标将按照无效投标处理并被没收投标保证金。</w:t>
            </w:r>
          </w:p>
        </w:tc>
      </w:tr>
      <w:tr w14:paraId="0F291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165B98BD">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w:t>
            </w:r>
          </w:p>
        </w:tc>
        <w:tc>
          <w:tcPr>
            <w:tcW w:w="456" w:type="dxa"/>
            <w:tcBorders>
              <w:top w:val="single" w:color="auto" w:sz="4" w:space="0"/>
              <w:left w:val="single" w:color="auto" w:sz="4" w:space="0"/>
              <w:bottom w:val="single" w:color="auto" w:sz="4" w:space="0"/>
              <w:right w:val="single" w:color="auto" w:sz="4" w:space="0"/>
            </w:tcBorders>
            <w:vAlign w:val="center"/>
          </w:tcPr>
          <w:p w14:paraId="239543E1">
            <w:pPr>
              <w:spacing w:line="360" w:lineRule="auto"/>
              <w:jc w:val="center"/>
              <w:rPr>
                <w:rFonts w:asciiTheme="majorEastAsia" w:hAnsiTheme="majorEastAsia" w:eastAsiaTheme="majorEastAsia"/>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vAlign w:val="center"/>
          </w:tcPr>
          <w:p w14:paraId="3AB8ABA5">
            <w:pPr>
              <w:spacing w:line="360" w:lineRule="auto"/>
              <w:jc w:val="center"/>
              <w:rPr>
                <w:rFonts w:asciiTheme="majorEastAsia" w:hAnsiTheme="majorEastAsia" w:eastAsiaTheme="majorEastAsia"/>
                <w:color w:val="auto"/>
                <w:sz w:val="24"/>
                <w:highlight w:val="none"/>
              </w:rPr>
            </w:pPr>
          </w:p>
        </w:tc>
        <w:tc>
          <w:tcPr>
            <w:tcW w:w="8246" w:type="dxa"/>
            <w:tcBorders>
              <w:top w:val="single" w:color="auto" w:sz="4" w:space="0"/>
              <w:left w:val="single" w:color="auto" w:sz="4" w:space="0"/>
              <w:bottom w:val="single" w:color="auto" w:sz="4" w:space="0"/>
              <w:right w:val="single" w:color="auto" w:sz="4" w:space="0"/>
            </w:tcBorders>
            <w:vAlign w:val="center"/>
          </w:tcPr>
          <w:p w14:paraId="3FE08D07">
            <w:pPr>
              <w:spacing w:line="360" w:lineRule="auto"/>
              <w:rPr>
                <w:rFonts w:asciiTheme="majorEastAsia" w:hAnsiTheme="majorEastAsia" w:eastAsiaTheme="majorEastAsia"/>
                <w:color w:val="auto"/>
                <w:sz w:val="24"/>
                <w:szCs w:val="18"/>
                <w:highlight w:val="none"/>
              </w:rPr>
            </w:pPr>
            <w:r>
              <w:rPr>
                <w:rFonts w:hint="eastAsia" w:asciiTheme="majorEastAsia" w:hAnsiTheme="majorEastAsia" w:eastAsiaTheme="majorEastAsia"/>
                <w:color w:val="auto"/>
                <w:sz w:val="24"/>
                <w:highlight w:val="none"/>
              </w:rPr>
              <w:t>投标人不得干扰招标代理机构组织评标活动，否则将其作无效投标处理。</w:t>
            </w:r>
          </w:p>
        </w:tc>
      </w:tr>
      <w:tr w14:paraId="4AF61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0" w:type="dxa"/>
            <w:tcBorders>
              <w:top w:val="single" w:color="auto" w:sz="4" w:space="0"/>
              <w:left w:val="single" w:color="auto" w:sz="4" w:space="0"/>
              <w:bottom w:val="single" w:color="auto" w:sz="4" w:space="0"/>
              <w:right w:val="single" w:color="auto" w:sz="4" w:space="0"/>
            </w:tcBorders>
            <w:vAlign w:val="center"/>
          </w:tcPr>
          <w:p w14:paraId="34EEA6D4">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w:t>
            </w:r>
          </w:p>
        </w:tc>
        <w:tc>
          <w:tcPr>
            <w:tcW w:w="456" w:type="dxa"/>
            <w:tcBorders>
              <w:top w:val="single" w:color="auto" w:sz="4" w:space="0"/>
              <w:left w:val="single" w:color="auto" w:sz="4" w:space="0"/>
              <w:bottom w:val="single" w:color="auto" w:sz="4" w:space="0"/>
              <w:right w:val="single" w:color="auto" w:sz="4" w:space="0"/>
            </w:tcBorders>
            <w:vAlign w:val="center"/>
          </w:tcPr>
          <w:p w14:paraId="5E168670">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w:t>
            </w:r>
          </w:p>
        </w:tc>
        <w:tc>
          <w:tcPr>
            <w:tcW w:w="936" w:type="dxa"/>
            <w:tcBorders>
              <w:top w:val="single" w:color="auto" w:sz="4" w:space="0"/>
              <w:left w:val="single" w:color="auto" w:sz="4" w:space="0"/>
              <w:bottom w:val="single" w:color="auto" w:sz="4" w:space="0"/>
              <w:right w:val="single" w:color="auto" w:sz="4" w:space="0"/>
            </w:tcBorders>
            <w:vAlign w:val="center"/>
          </w:tcPr>
          <w:p w14:paraId="02C1CC5E">
            <w:pPr>
              <w:spacing w:line="360" w:lineRule="auto"/>
              <w:jc w:val="center"/>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19.5</w:t>
            </w:r>
          </w:p>
        </w:tc>
        <w:tc>
          <w:tcPr>
            <w:tcW w:w="8246" w:type="dxa"/>
            <w:tcBorders>
              <w:top w:val="single" w:color="auto" w:sz="4" w:space="0"/>
              <w:left w:val="single" w:color="auto" w:sz="4" w:space="0"/>
              <w:bottom w:val="single" w:color="auto" w:sz="4" w:space="0"/>
              <w:right w:val="single" w:color="auto" w:sz="4" w:space="0"/>
            </w:tcBorders>
          </w:tcPr>
          <w:p w14:paraId="339D2639">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在招标采购中，出现下列情形之一的，本项目将作为废标处理：</w:t>
            </w:r>
          </w:p>
          <w:p w14:paraId="462CF5DD">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（1）符合专业条件的供应商或者对招标文件作实质性响应的供应商不足三家的；</w:t>
            </w:r>
          </w:p>
          <w:p w14:paraId="3184A88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（2）出现影响招标公正行为的；</w:t>
            </w:r>
          </w:p>
          <w:p w14:paraId="399E61BC">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（3）投标人的报价均超过了招标控制价，招标人不能支付的；</w:t>
            </w:r>
          </w:p>
          <w:p w14:paraId="43756BF4">
            <w:p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（4）因重大变故，招标任务取消的。</w:t>
            </w:r>
          </w:p>
          <w:p w14:paraId="67567DFF">
            <w:pPr>
              <w:spacing w:line="360" w:lineRule="auto"/>
              <w:rPr>
                <w:rFonts w:asciiTheme="majorEastAsia" w:hAnsiTheme="majorEastAsia" w:eastAsiaTheme="majorEastAsia"/>
                <w:color w:val="auto"/>
                <w:sz w:val="24"/>
                <w:szCs w:val="18"/>
                <w:highlight w:val="none"/>
              </w:rPr>
            </w:pPr>
            <w:r>
              <w:rPr>
                <w:rFonts w:hint="eastAsia" w:asciiTheme="majorEastAsia" w:hAnsiTheme="majorEastAsia" w:eastAsiaTheme="majorEastAsia"/>
                <w:color w:val="auto"/>
                <w:sz w:val="24"/>
                <w:highlight w:val="none"/>
              </w:rPr>
              <w:t>除招标任务取消情形外，招标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将重新组织招标或者采取其他方式招标。</w:t>
            </w:r>
          </w:p>
        </w:tc>
      </w:tr>
      <w:tr w14:paraId="6348A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78" w:type="dxa"/>
            <w:gridSpan w:val="4"/>
            <w:tcBorders>
              <w:top w:val="single" w:color="auto" w:sz="4" w:space="0"/>
              <w:left w:val="single" w:color="auto" w:sz="4" w:space="0"/>
              <w:bottom w:val="single" w:color="auto" w:sz="4" w:space="0"/>
              <w:right w:val="single" w:color="auto" w:sz="4" w:space="0"/>
            </w:tcBorders>
            <w:vAlign w:val="center"/>
          </w:tcPr>
          <w:p w14:paraId="7EC549A9">
            <w:pPr>
              <w:spacing w:line="360" w:lineRule="auto"/>
              <w:ind w:firstLine="482" w:firstLineChars="200"/>
              <w:jc w:val="center"/>
              <w:rPr>
                <w:rFonts w:asciiTheme="majorEastAsia" w:hAnsiTheme="majorEastAsia" w:eastAsiaTheme="minorEastAsia"/>
                <w:color w:val="auto"/>
                <w:sz w:val="24"/>
                <w:highlight w:val="none"/>
              </w:rPr>
            </w:pPr>
            <w:r>
              <w:rPr>
                <w:rFonts w:hint="eastAsia" w:asciiTheme="minorEastAsia" w:hAnsiTheme="minorEastAsia" w:eastAsiaTheme="minorEastAsia"/>
                <w:b/>
                <w:bCs/>
                <w:color w:val="auto"/>
                <w:sz w:val="24"/>
                <w:highlight w:val="none"/>
              </w:rPr>
              <w:t>符合性要求附表（★号条款汇总表）</w:t>
            </w:r>
          </w:p>
        </w:tc>
      </w:tr>
      <w:tr w14:paraId="28F92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78" w:type="dxa"/>
            <w:gridSpan w:val="4"/>
            <w:tcBorders>
              <w:top w:val="single" w:color="auto" w:sz="4" w:space="0"/>
              <w:left w:val="single" w:color="auto" w:sz="4" w:space="0"/>
              <w:bottom w:val="single" w:color="auto" w:sz="4" w:space="0"/>
              <w:right w:val="single" w:color="auto" w:sz="4" w:space="0"/>
            </w:tcBorders>
            <w:vAlign w:val="center"/>
          </w:tcPr>
          <w:p w14:paraId="6A5A4A33">
            <w:pPr>
              <w:pStyle w:val="20"/>
              <w:numPr>
                <w:ilvl w:val="0"/>
                <w:numId w:val="0"/>
              </w:numPr>
              <w:spacing w:line="360" w:lineRule="auto"/>
              <w:ind w:firstLine="482" w:firstLineChars="200"/>
              <w:rPr>
                <w:rFonts w:hint="eastAsia" w:ascii="宋体" w:hAnsi="宋体"/>
                <w:b/>
                <w:bCs/>
                <w:color w:val="auto"/>
                <w:sz w:val="24"/>
                <w:highlight w:val="none"/>
              </w:rPr>
            </w:pPr>
            <w:r>
              <w:rPr>
                <w:rFonts w:hint="eastAsia" w:asciiTheme="minorEastAsia" w:hAnsiTheme="minorEastAsia" w:eastAsiaTheme="minorEastAsia"/>
                <w:b/>
                <w:bCs/>
                <w:color w:val="auto"/>
                <w:sz w:val="24"/>
                <w:highlight w:val="none"/>
              </w:rPr>
              <w:t>★</w:t>
            </w:r>
            <w:r>
              <w:rPr>
                <w:rFonts w:hint="eastAsia" w:ascii="宋体" w:hAnsi="宋体" w:eastAsiaTheme="minorEastAsia" w:cstheme="minorBidi"/>
                <w:b/>
                <w:bCs/>
                <w:color w:val="auto"/>
                <w:kern w:val="2"/>
                <w:sz w:val="24"/>
                <w:szCs w:val="24"/>
                <w:highlight w:val="none"/>
                <w:lang w:val="en-US" w:eastAsia="zh-CN" w:bidi="ar-SA"/>
              </w:rPr>
              <w:t>1.</w:t>
            </w:r>
            <w:r>
              <w:rPr>
                <w:rFonts w:hint="eastAsia" w:ascii="宋体" w:hAnsi="宋体"/>
                <w:b/>
                <w:bCs/>
                <w:color w:val="auto"/>
                <w:sz w:val="24"/>
                <w:highlight w:val="none"/>
              </w:rPr>
              <w:t>投标人所投</w:t>
            </w:r>
            <w:r>
              <w:rPr>
                <w:rFonts w:hint="eastAsia" w:ascii="宋体" w:hAnsi="宋体"/>
                <w:b/>
                <w:bCs/>
                <w:color w:val="auto"/>
                <w:sz w:val="24"/>
                <w:highlight w:val="none"/>
                <w:lang w:val="en-US" w:eastAsia="zh-CN"/>
              </w:rPr>
              <w:t>废水站系统运营</w:t>
            </w:r>
            <w:r>
              <w:rPr>
                <w:rFonts w:hint="eastAsia" w:ascii="宋体" w:hAnsi="宋体"/>
                <w:b/>
                <w:bCs/>
                <w:color w:val="auto"/>
                <w:sz w:val="24"/>
                <w:highlight w:val="none"/>
              </w:rPr>
              <w:t>必须由投标人负责运营,禁止投标人中标后将系统</w:t>
            </w:r>
            <w:r>
              <w:rPr>
                <w:rFonts w:hint="eastAsia"/>
                <w:b/>
                <w:bCs/>
                <w:color w:val="auto"/>
                <w:highlight w:val="none"/>
              </w:rPr>
              <w:t>运营</w:t>
            </w:r>
            <w:r>
              <w:rPr>
                <w:rFonts w:hint="eastAsia" w:ascii="宋体" w:hAnsi="宋体"/>
                <w:b/>
                <w:bCs/>
                <w:color w:val="auto"/>
                <w:sz w:val="24"/>
                <w:highlight w:val="none"/>
              </w:rPr>
              <w:t>转包给第三人或者将其承包的全部</w:t>
            </w:r>
            <w:r>
              <w:rPr>
                <w:rFonts w:hint="eastAsia" w:ascii="宋体" w:hAnsi="宋体"/>
                <w:b/>
                <w:bCs/>
                <w:color w:val="auto"/>
                <w:sz w:val="24"/>
                <w:highlight w:val="none"/>
                <w:lang w:val="en-US" w:eastAsia="zh-CN"/>
              </w:rPr>
              <w:t>服务</w:t>
            </w:r>
            <w:r>
              <w:rPr>
                <w:rFonts w:hint="eastAsia" w:ascii="宋体" w:hAnsi="宋体"/>
                <w:b/>
                <w:bCs/>
                <w:color w:val="auto"/>
                <w:sz w:val="24"/>
                <w:highlight w:val="none"/>
              </w:rPr>
              <w:t>肢解后以分包的名义分别转包给第三人，否则，该转包无效，</w:t>
            </w:r>
            <w:r>
              <w:rPr>
                <w:rFonts w:hint="eastAsia" w:ascii="宋体" w:hAnsi="宋体"/>
                <w:b/>
                <w:bCs/>
                <w:color w:val="auto"/>
                <w:sz w:val="24"/>
                <w:highlight w:val="none"/>
                <w:lang w:eastAsia="zh-CN"/>
              </w:rPr>
              <w:t>招标人</w:t>
            </w:r>
            <w:r>
              <w:rPr>
                <w:rFonts w:hint="eastAsia" w:ascii="宋体" w:hAnsi="宋体"/>
                <w:b/>
                <w:bCs/>
                <w:color w:val="auto"/>
                <w:sz w:val="24"/>
                <w:highlight w:val="none"/>
              </w:rPr>
              <w:t>有权立即解除合同，中标单位应同时向</w:t>
            </w:r>
            <w:r>
              <w:rPr>
                <w:rFonts w:hint="eastAsia" w:ascii="宋体" w:hAnsi="宋体"/>
                <w:b/>
                <w:bCs/>
                <w:color w:val="auto"/>
                <w:sz w:val="24"/>
                <w:highlight w:val="none"/>
                <w:lang w:eastAsia="zh-CN"/>
              </w:rPr>
              <w:t>招标人</w:t>
            </w:r>
            <w:r>
              <w:rPr>
                <w:rFonts w:hint="eastAsia" w:ascii="宋体" w:hAnsi="宋体"/>
                <w:b/>
                <w:bCs/>
                <w:color w:val="auto"/>
                <w:sz w:val="24"/>
                <w:highlight w:val="none"/>
              </w:rPr>
              <w:t>支付违约金，违约金金额为本项目合同金额；</w:t>
            </w:r>
            <w:r>
              <w:rPr>
                <w:rFonts w:hint="eastAsia" w:ascii="宋体" w:hAnsi="宋体"/>
                <w:b/>
                <w:bCs/>
                <w:color w:val="auto"/>
                <w:sz w:val="24"/>
                <w:highlight w:val="none"/>
                <w:lang w:val="en-US" w:eastAsia="zh-CN"/>
              </w:rPr>
              <w:t>中标人中标后</w:t>
            </w:r>
            <w:r>
              <w:rPr>
                <w:rFonts w:hint="eastAsia" w:ascii="宋体" w:hAnsi="宋体"/>
                <w:b/>
                <w:bCs/>
                <w:color w:val="auto"/>
                <w:sz w:val="24"/>
                <w:highlight w:val="none"/>
              </w:rPr>
              <w:t>未经招标</w:t>
            </w:r>
            <w:r>
              <w:rPr>
                <w:rFonts w:hint="eastAsia" w:ascii="宋体" w:hAnsi="宋体"/>
                <w:b/>
                <w:bCs/>
                <w:color w:val="auto"/>
                <w:sz w:val="24"/>
                <w:highlight w:val="none"/>
                <w:lang w:val="en-US" w:eastAsia="zh-CN"/>
              </w:rPr>
              <w:t>人</w:t>
            </w:r>
            <w:r>
              <w:rPr>
                <w:rFonts w:hint="eastAsia" w:ascii="宋体" w:hAnsi="宋体"/>
                <w:b/>
                <w:bCs/>
                <w:color w:val="auto"/>
                <w:sz w:val="24"/>
                <w:highlight w:val="none"/>
              </w:rPr>
              <w:t>事先书面同意，中标</w:t>
            </w:r>
            <w:r>
              <w:rPr>
                <w:rFonts w:hint="eastAsia" w:ascii="宋体" w:hAnsi="宋体"/>
                <w:b/>
                <w:bCs/>
                <w:color w:val="auto"/>
                <w:sz w:val="24"/>
                <w:highlight w:val="none"/>
                <w:lang w:val="en-US" w:eastAsia="zh-CN"/>
              </w:rPr>
              <w:t>人</w:t>
            </w:r>
            <w:r>
              <w:rPr>
                <w:rFonts w:hint="eastAsia" w:ascii="宋体" w:hAnsi="宋体"/>
                <w:b/>
                <w:bCs/>
                <w:color w:val="auto"/>
                <w:sz w:val="24"/>
                <w:highlight w:val="none"/>
              </w:rPr>
              <w:t>不得分包，如有违反，该分包行为无效，中标单位应向招标单位支付违约金，违约金金额为分包部分的总金额，或本项目合同总金额的20%（以较高者为准）。投标人须对此作出</w:t>
            </w:r>
            <w:r>
              <w:rPr>
                <w:rFonts w:hint="eastAsia" w:ascii="宋体" w:hAnsi="宋体" w:cs="宋体"/>
                <w:b/>
                <w:bCs w:val="0"/>
                <w:color w:val="auto"/>
                <w:spacing w:val="16"/>
                <w:sz w:val="24"/>
                <w:highlight w:val="none"/>
                <w:lang w:val="en-US" w:eastAsia="zh-CN"/>
              </w:rPr>
              <w:t>书面承诺</w:t>
            </w:r>
            <w:r>
              <w:rPr>
                <w:rFonts w:hint="eastAsia" w:ascii="宋体" w:hAnsi="宋体"/>
                <w:b/>
                <w:bCs/>
                <w:color w:val="auto"/>
                <w:sz w:val="24"/>
                <w:highlight w:val="none"/>
              </w:rPr>
              <w:t>。</w:t>
            </w:r>
          </w:p>
          <w:p w14:paraId="1061208C">
            <w:pPr>
              <w:pageBreakBefore w:val="0"/>
              <w:kinsoku/>
              <w:wordWrap/>
              <w:overflowPunct/>
              <w:topLinePunct w:val="0"/>
              <w:autoSpaceDE/>
              <w:autoSpaceDN/>
              <w:bidi w:val="0"/>
              <w:adjustRightInd/>
              <w:spacing w:line="360" w:lineRule="auto"/>
              <w:ind w:firstLine="482" w:firstLineChars="200"/>
              <w:rPr>
                <w:rFonts w:hint="default"/>
                <w:color w:val="auto"/>
                <w:highlight w:val="none"/>
                <w:lang w:val="en-US" w:eastAsia="zh-CN"/>
              </w:rPr>
            </w:pPr>
            <w:r>
              <w:rPr>
                <w:rFonts w:hint="eastAsia" w:asciiTheme="majorEastAsia" w:hAnsiTheme="majorEastAsia" w:eastAsiaTheme="majorEastAsia"/>
                <w:b/>
                <w:bCs/>
                <w:color w:val="auto"/>
                <w:sz w:val="24"/>
                <w:highlight w:val="none"/>
              </w:rPr>
              <w:t>★</w:t>
            </w:r>
            <w:r>
              <w:rPr>
                <w:rFonts w:hint="eastAsia" w:ascii="宋体" w:hAnsi="宋体" w:cs="宋体"/>
                <w:b/>
                <w:bCs/>
                <w:color w:val="auto"/>
                <w:sz w:val="24"/>
                <w:szCs w:val="24"/>
                <w:highlight w:val="none"/>
                <w:lang w:val="en-US" w:eastAsia="zh-CN"/>
              </w:rPr>
              <w:t>2.投标人拟投入本项目服务的服务团队人数不得少于13人，可按管理方案自行配置人员；人员配置应自行考虑晚班、节假日人员配置。</w:t>
            </w:r>
            <w:r>
              <w:rPr>
                <w:rFonts w:hint="eastAsia" w:ascii="宋体" w:hAnsi="宋体" w:cs="宋体"/>
                <w:b/>
                <w:bCs/>
                <w:color w:val="auto"/>
                <w:sz w:val="24"/>
                <w:szCs w:val="24"/>
                <w:highlight w:val="none"/>
              </w:rPr>
              <w:t>运营阶段，</w:t>
            </w:r>
            <w:r>
              <w:rPr>
                <w:rFonts w:hint="eastAsia" w:ascii="宋体" w:hAnsi="宋体" w:cs="宋体"/>
                <w:b/>
                <w:bCs/>
                <w:color w:val="auto"/>
                <w:sz w:val="24"/>
                <w:szCs w:val="24"/>
                <w:highlight w:val="none"/>
                <w:lang w:eastAsia="zh-CN"/>
              </w:rPr>
              <w:t>招标人</w:t>
            </w:r>
            <w:r>
              <w:rPr>
                <w:rFonts w:hint="eastAsia" w:ascii="宋体" w:hAnsi="宋体" w:cs="宋体"/>
                <w:b/>
                <w:bCs/>
                <w:color w:val="auto"/>
                <w:sz w:val="24"/>
                <w:szCs w:val="24"/>
                <w:highlight w:val="none"/>
              </w:rPr>
              <w:t>有权根据废水排水量调整管理团队的人数，</w:t>
            </w:r>
            <w:r>
              <w:rPr>
                <w:rFonts w:hint="eastAsia" w:ascii="宋体" w:hAnsi="宋体" w:cs="宋体"/>
                <w:b/>
                <w:bCs/>
                <w:color w:val="auto"/>
                <w:sz w:val="24"/>
                <w:szCs w:val="24"/>
                <w:highlight w:val="none"/>
                <w:lang w:eastAsia="zh-CN"/>
              </w:rPr>
              <w:t>人工服务</w:t>
            </w:r>
            <w:r>
              <w:rPr>
                <w:rFonts w:hint="eastAsia" w:ascii="宋体" w:hAnsi="宋体" w:cs="宋体"/>
                <w:b/>
                <w:bCs/>
                <w:color w:val="auto"/>
                <w:sz w:val="24"/>
                <w:szCs w:val="24"/>
                <w:highlight w:val="none"/>
              </w:rPr>
              <w:t>费用根据实际岗位</w:t>
            </w:r>
            <w:r>
              <w:rPr>
                <w:rFonts w:hint="eastAsia" w:ascii="宋体" w:hAnsi="宋体" w:cs="宋体"/>
                <w:b/>
                <w:bCs/>
                <w:color w:val="auto"/>
                <w:sz w:val="24"/>
                <w:szCs w:val="24"/>
                <w:highlight w:val="none"/>
                <w:lang w:eastAsia="zh-CN"/>
              </w:rPr>
              <w:t>单价报价</w:t>
            </w:r>
            <w:r>
              <w:rPr>
                <w:rFonts w:hint="eastAsia" w:ascii="宋体" w:hAnsi="宋体" w:cs="宋体"/>
                <w:b/>
                <w:bCs/>
                <w:color w:val="auto"/>
                <w:sz w:val="24"/>
                <w:szCs w:val="24"/>
                <w:highlight w:val="none"/>
              </w:rPr>
              <w:t>及</w:t>
            </w:r>
            <w:r>
              <w:rPr>
                <w:rFonts w:hint="eastAsia" w:ascii="宋体" w:hAnsi="宋体" w:cs="宋体"/>
                <w:b/>
                <w:bCs/>
                <w:color w:val="auto"/>
                <w:sz w:val="24"/>
                <w:szCs w:val="24"/>
                <w:highlight w:val="none"/>
                <w:lang w:eastAsia="zh-CN"/>
              </w:rPr>
              <w:t>实际</w:t>
            </w:r>
            <w:r>
              <w:rPr>
                <w:rFonts w:hint="eastAsia" w:ascii="宋体" w:hAnsi="宋体" w:cs="宋体"/>
                <w:b/>
                <w:bCs/>
                <w:color w:val="auto"/>
                <w:sz w:val="24"/>
                <w:szCs w:val="24"/>
                <w:highlight w:val="none"/>
              </w:rPr>
              <w:t>人数进行支付</w:t>
            </w:r>
            <w:r>
              <w:rPr>
                <w:rFonts w:hint="eastAsia" w:ascii="宋体" w:hAnsi="宋体" w:cs="宋体"/>
                <w:b/>
                <w:bCs/>
                <w:color w:val="auto"/>
                <w:sz w:val="24"/>
                <w:szCs w:val="24"/>
                <w:highlight w:val="none"/>
                <w:lang w:eastAsia="zh-CN"/>
              </w:rPr>
              <w:t>，按实结算。</w:t>
            </w:r>
            <w:r>
              <w:rPr>
                <w:rFonts w:hint="eastAsia" w:ascii="宋体" w:hAnsi="宋体" w:cs="宋体"/>
                <w:b/>
                <w:bCs/>
                <w:color w:val="auto"/>
                <w:sz w:val="24"/>
                <w:szCs w:val="24"/>
                <w:highlight w:val="none"/>
                <w:lang w:val="en-US" w:eastAsia="zh-CN"/>
              </w:rPr>
              <w:t>费用明细表中人工服务费部分报价占总价比例不得低于50%。</w:t>
            </w:r>
            <w:r>
              <w:rPr>
                <w:rFonts w:hint="eastAsia" w:ascii="宋体" w:hAnsi="宋体" w:eastAsia="宋体" w:cs="宋体"/>
                <w:b/>
                <w:bCs/>
                <w:color w:val="auto"/>
                <w:spacing w:val="16"/>
                <w:sz w:val="24"/>
                <w:highlight w:val="none"/>
                <w:lang w:val="en-US" w:eastAsia="zh-CN"/>
              </w:rPr>
              <w:t>投标人须对此作出</w:t>
            </w:r>
            <w:r>
              <w:rPr>
                <w:rFonts w:hint="eastAsia" w:ascii="宋体" w:hAnsi="宋体" w:cs="宋体"/>
                <w:b/>
                <w:bCs/>
                <w:color w:val="auto"/>
                <w:spacing w:val="16"/>
                <w:sz w:val="24"/>
                <w:highlight w:val="none"/>
                <w:lang w:val="en-US" w:eastAsia="zh-CN"/>
              </w:rPr>
              <w:t>书面承诺。</w:t>
            </w:r>
          </w:p>
        </w:tc>
      </w:tr>
    </w:tbl>
    <w:p w14:paraId="72C985C0">
      <w:pPr>
        <w:spacing w:line="360" w:lineRule="auto"/>
        <w:ind w:firstLine="495"/>
        <w:rPr>
          <w:rFonts w:asciiTheme="majorEastAsia" w:hAnsiTheme="majorEastAsia" w:eastAsiaTheme="majorEastAsia"/>
          <w:color w:val="auto"/>
          <w:sz w:val="24"/>
          <w:highlight w:val="none"/>
        </w:rPr>
      </w:pPr>
    </w:p>
    <w:p w14:paraId="350C1578">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30" w:name="_Toc22797"/>
      <w:bookmarkStart w:id="31" w:name="_Toc2607"/>
      <w:r>
        <w:rPr>
          <w:rFonts w:hint="eastAsia" w:asciiTheme="majorEastAsia" w:hAnsiTheme="majorEastAsia" w:eastAsiaTheme="majorEastAsia"/>
          <w:color w:val="auto"/>
          <w:sz w:val="28"/>
          <w:szCs w:val="28"/>
          <w:highlight w:val="none"/>
        </w:rPr>
        <w:t>投标人须知前附表3：评标方法、评标标准、定标原则</w:t>
      </w:r>
      <w:bookmarkEnd w:id="30"/>
      <w:bookmarkEnd w:id="31"/>
    </w:p>
    <w:tbl>
      <w:tblPr>
        <w:tblStyle w:val="51"/>
        <w:tblW w:w="99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43"/>
      </w:tblGrid>
      <w:tr w14:paraId="1C7B4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43" w:type="dxa"/>
            <w:tcBorders>
              <w:top w:val="single" w:color="auto" w:sz="4" w:space="0"/>
              <w:left w:val="single" w:color="auto" w:sz="4" w:space="0"/>
              <w:bottom w:val="single" w:color="auto" w:sz="4" w:space="0"/>
              <w:right w:val="single" w:color="auto" w:sz="4" w:space="0"/>
            </w:tcBorders>
          </w:tcPr>
          <w:p w14:paraId="07FD9B83">
            <w:pPr>
              <w:numPr>
                <w:ilvl w:val="0"/>
                <w:numId w:val="3"/>
              </w:numPr>
              <w:snapToGrid w:val="0"/>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评标方法：综合评分法</w:t>
            </w:r>
          </w:p>
        </w:tc>
      </w:tr>
      <w:tr w14:paraId="70845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43" w:type="dxa"/>
            <w:tcBorders>
              <w:top w:val="single" w:color="auto" w:sz="4" w:space="0"/>
              <w:left w:val="single" w:color="auto" w:sz="4" w:space="0"/>
              <w:bottom w:val="single" w:color="auto" w:sz="4" w:space="0"/>
              <w:right w:val="single" w:color="auto" w:sz="4" w:space="0"/>
            </w:tcBorders>
          </w:tcPr>
          <w:p w14:paraId="772B1655">
            <w:pPr>
              <w:snapToGrid w:val="0"/>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二、评标标准：</w:t>
            </w:r>
          </w:p>
          <w:p w14:paraId="5C0C24FE">
            <w:pPr>
              <w:spacing w:line="360" w:lineRule="auto"/>
              <w:ind w:firstLine="240" w:firstLineChars="1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一）对所有投标人的投标文件评审，都采用相同的程序和标准。首先，由评标委员会根据招标文件要求(无效投标界定)，审核各投标文件是否合格、有效，凡不符合专业条件要求和未实质性响应招标文件要求的投标均不进入评分程序。</w:t>
            </w:r>
          </w:p>
          <w:p w14:paraId="667B3680">
            <w:pPr>
              <w:spacing w:line="360" w:lineRule="auto"/>
              <w:ind w:firstLine="482" w:firstLineChars="200"/>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1.技术因素分F1（满分</w:t>
            </w:r>
            <w:r>
              <w:rPr>
                <w:rFonts w:hint="eastAsia" w:asciiTheme="majorEastAsia" w:hAnsiTheme="majorEastAsia" w:eastAsiaTheme="majorEastAsia"/>
                <w:b/>
                <w:color w:val="auto"/>
                <w:sz w:val="24"/>
                <w:highlight w:val="none"/>
                <w:lang w:val="en-US" w:eastAsia="zh-CN"/>
              </w:rPr>
              <w:t>40</w:t>
            </w:r>
            <w:r>
              <w:rPr>
                <w:rFonts w:hint="eastAsia" w:asciiTheme="majorEastAsia" w:hAnsiTheme="majorEastAsia" w:eastAsiaTheme="majorEastAsia"/>
                <w:b/>
                <w:color w:val="auto"/>
                <w:sz w:val="24"/>
                <w:highlight w:val="none"/>
              </w:rPr>
              <w:t>分）。</w:t>
            </w:r>
          </w:p>
          <w:tbl>
            <w:tblPr>
              <w:tblStyle w:val="51"/>
              <w:tblW w:w="94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193"/>
              <w:gridCol w:w="6735"/>
              <w:gridCol w:w="706"/>
            </w:tblGrid>
            <w:tr w14:paraId="25F1D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6" w:type="dxa"/>
                  <w:noWrap w:val="0"/>
                  <w:vAlign w:val="center"/>
                </w:tcPr>
                <w:p w14:paraId="33F618DC">
                  <w:pPr>
                    <w:pStyle w:val="165"/>
                    <w:autoSpaceDE/>
                    <w:adjustRightInd/>
                    <w:spacing w:line="360" w:lineRule="auto"/>
                    <w:rPr>
                      <w:rFonts w:hint="eastAsia" w:ascii="宋体" w:hAnsi="宋体" w:eastAsia="宋体" w:cs="宋体"/>
                      <w:bCs/>
                      <w:color w:val="auto"/>
                      <w:kern w:val="10"/>
                      <w:sz w:val="24"/>
                      <w:szCs w:val="24"/>
                      <w:highlight w:val="none"/>
                    </w:rPr>
                  </w:pPr>
                  <w:r>
                    <w:rPr>
                      <w:rFonts w:hint="eastAsia" w:ascii="宋体" w:hAnsi="宋体" w:eastAsia="宋体" w:cs="宋体"/>
                      <w:bCs/>
                      <w:color w:val="auto"/>
                      <w:kern w:val="10"/>
                      <w:sz w:val="24"/>
                      <w:szCs w:val="24"/>
                      <w:highlight w:val="none"/>
                    </w:rPr>
                    <w:t>序号</w:t>
                  </w:r>
                </w:p>
              </w:tc>
              <w:tc>
                <w:tcPr>
                  <w:tcW w:w="1193" w:type="dxa"/>
                  <w:noWrap w:val="0"/>
                  <w:vAlign w:val="center"/>
                </w:tcPr>
                <w:p w14:paraId="7BA73D1E">
                  <w:pPr>
                    <w:pStyle w:val="165"/>
                    <w:autoSpaceDE/>
                    <w:adjustRightInd/>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评分项目</w:t>
                  </w:r>
                </w:p>
              </w:tc>
              <w:tc>
                <w:tcPr>
                  <w:tcW w:w="6735" w:type="dxa"/>
                  <w:noWrap w:val="0"/>
                  <w:vAlign w:val="center"/>
                </w:tcPr>
                <w:p w14:paraId="7414A1BD">
                  <w:pPr>
                    <w:pStyle w:val="165"/>
                    <w:autoSpaceDE/>
                    <w:adjustRightInd/>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细则内容</w:t>
                  </w:r>
                </w:p>
              </w:tc>
              <w:tc>
                <w:tcPr>
                  <w:tcW w:w="706" w:type="dxa"/>
                  <w:noWrap w:val="0"/>
                  <w:vAlign w:val="center"/>
                </w:tcPr>
                <w:p w14:paraId="7FEF57DE">
                  <w:pPr>
                    <w:pStyle w:val="165"/>
                    <w:autoSpaceDE/>
                    <w:adjustRightInd/>
                    <w:spacing w:line="360" w:lineRule="auto"/>
                    <w:rPr>
                      <w:rFonts w:hint="eastAsia" w:ascii="宋体" w:hAnsi="宋体" w:eastAsia="宋体" w:cs="宋体"/>
                      <w:bCs/>
                      <w:color w:val="auto"/>
                      <w:kern w:val="2"/>
                      <w:sz w:val="24"/>
                      <w:szCs w:val="24"/>
                      <w:highlight w:val="none"/>
                    </w:rPr>
                  </w:pPr>
                  <w:r>
                    <w:rPr>
                      <w:rFonts w:hint="eastAsia" w:ascii="宋体" w:hAnsi="宋体" w:eastAsia="宋体" w:cs="宋体"/>
                      <w:bCs/>
                      <w:color w:val="auto"/>
                      <w:kern w:val="2"/>
                      <w:sz w:val="24"/>
                      <w:szCs w:val="24"/>
                      <w:highlight w:val="none"/>
                    </w:rPr>
                    <w:t>满分</w:t>
                  </w:r>
                </w:p>
              </w:tc>
            </w:tr>
            <w:tr w14:paraId="74255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0FAC4F9A">
                  <w:pPr>
                    <w:pStyle w:val="165"/>
                    <w:autoSpaceDE/>
                    <w:adjustRightInd/>
                    <w:spacing w:line="360" w:lineRule="auto"/>
                    <w:jc w:val="center"/>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1-1</w:t>
                  </w:r>
                </w:p>
              </w:tc>
              <w:tc>
                <w:tcPr>
                  <w:tcW w:w="1193" w:type="dxa"/>
                  <w:noWrap w:val="0"/>
                  <w:vAlign w:val="center"/>
                </w:tcPr>
                <w:p w14:paraId="323435CF">
                  <w:pPr>
                    <w:pStyle w:val="304"/>
                    <w:spacing w:before="175" w:line="367" w:lineRule="auto"/>
                    <w:ind w:right="78" w:rightChars="0"/>
                    <w:jc w:val="center"/>
                    <w:rPr>
                      <w:rFonts w:hint="eastAsia" w:ascii="宋体" w:hAnsi="宋体" w:eastAsia="宋体" w:cs="宋体"/>
                      <w:color w:val="auto"/>
                      <w:sz w:val="24"/>
                      <w:szCs w:val="24"/>
                      <w:highlight w:val="none"/>
                    </w:rPr>
                  </w:pPr>
                  <w:r>
                    <w:rPr>
                      <w:rFonts w:hint="eastAsia" w:ascii="宋体" w:hAnsi="宋体" w:eastAsia="宋体" w:cs="宋体"/>
                      <w:color w:val="auto"/>
                      <w:spacing w:val="17"/>
                      <w:sz w:val="24"/>
                      <w:szCs w:val="24"/>
                      <w:highlight w:val="none"/>
                      <w:lang w:val="en-US" w:eastAsia="zh-CN"/>
                    </w:rPr>
                    <w:t>勘探报告</w:t>
                  </w:r>
                </w:p>
              </w:tc>
              <w:tc>
                <w:tcPr>
                  <w:tcW w:w="6735" w:type="dxa"/>
                  <w:noWrap w:val="0"/>
                  <w:vAlign w:val="top"/>
                </w:tcPr>
                <w:p w14:paraId="77AFC79B">
                  <w:pPr>
                    <w:spacing w:line="360" w:lineRule="auto"/>
                    <w:ind w:left="0" w:leftChars="0"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根据投标人提供的踏勘报告</w:t>
                  </w:r>
                  <w:r>
                    <w:rPr>
                      <w:rFonts w:hint="eastAsia" w:ascii="宋体" w:hAnsi="宋体" w:cs="宋体"/>
                      <w:color w:val="auto"/>
                      <w:spacing w:val="-2"/>
                      <w:sz w:val="24"/>
                      <w:szCs w:val="24"/>
                      <w:highlight w:val="none"/>
                      <w:lang w:val="en-US" w:eastAsia="zh-CN" w:bidi="ar-SA"/>
                    </w:rPr>
                    <w:t>进行评价</w:t>
                  </w:r>
                  <w:r>
                    <w:rPr>
                      <w:rFonts w:hint="eastAsia" w:ascii="宋体" w:hAnsi="宋体" w:eastAsia="宋体" w:cs="宋体"/>
                      <w:color w:val="auto"/>
                      <w:spacing w:val="-2"/>
                      <w:sz w:val="24"/>
                      <w:szCs w:val="24"/>
                      <w:highlight w:val="none"/>
                      <w:lang w:val="en-US" w:eastAsia="zh-CN" w:bidi="ar-SA"/>
                    </w:rPr>
                    <w:t>：踏勘报告详实、对项目现状描述准确、符合实际情况，实地照片清晰，采集全面、涵盖</w:t>
                  </w:r>
                  <w:r>
                    <w:rPr>
                      <w:rFonts w:hint="eastAsia" w:ascii="宋体" w:hAnsi="宋体" w:cs="宋体"/>
                      <w:color w:val="auto"/>
                      <w:spacing w:val="-2"/>
                      <w:sz w:val="24"/>
                      <w:szCs w:val="24"/>
                      <w:highlight w:val="none"/>
                      <w:lang w:val="en-US" w:eastAsia="zh-CN" w:bidi="ar-SA"/>
                    </w:rPr>
                    <w:t>运营</w:t>
                  </w:r>
                  <w:r>
                    <w:rPr>
                      <w:rFonts w:hint="eastAsia" w:ascii="宋体" w:hAnsi="宋体" w:eastAsia="宋体" w:cs="宋体"/>
                      <w:color w:val="auto"/>
                      <w:spacing w:val="-2"/>
                      <w:sz w:val="24"/>
                      <w:szCs w:val="24"/>
                      <w:highlight w:val="none"/>
                      <w:lang w:val="en-US" w:eastAsia="zh-CN" w:bidi="ar-SA"/>
                    </w:rPr>
                    <w:t>范围内区域的得3分；踏勘报告较为详实、对项目现状描述较为准确、较符合实际情况，实地照片较为清晰，采集范围较全面的得2分；情况了解一般，现场踏勘资料简单，实地照片提供不够清晰或采集范围较片面的得1分；未提供不得分。</w:t>
                  </w:r>
                </w:p>
              </w:tc>
              <w:tc>
                <w:tcPr>
                  <w:tcW w:w="706" w:type="dxa"/>
                  <w:noWrap w:val="0"/>
                  <w:vAlign w:val="center"/>
                </w:tcPr>
                <w:p w14:paraId="619360CB">
                  <w:pPr>
                    <w:spacing w:line="360" w:lineRule="auto"/>
                    <w:jc w:val="center"/>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3</w:t>
                  </w:r>
                </w:p>
              </w:tc>
            </w:tr>
            <w:tr w14:paraId="452C2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373D8DAB">
                  <w:pPr>
                    <w:pStyle w:val="165"/>
                    <w:autoSpaceDE/>
                    <w:adjustRightInd/>
                    <w:spacing w:line="360" w:lineRule="auto"/>
                    <w:jc w:val="center"/>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1-2</w:t>
                  </w:r>
                </w:p>
              </w:tc>
              <w:tc>
                <w:tcPr>
                  <w:tcW w:w="1193" w:type="dxa"/>
                  <w:noWrap w:val="0"/>
                  <w:vAlign w:val="center"/>
                </w:tcPr>
                <w:p w14:paraId="79D80A4C">
                  <w:pPr>
                    <w:pStyle w:val="304"/>
                    <w:spacing w:line="364" w:lineRule="auto"/>
                    <w:ind w:right="78"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整体运营服务方案</w:t>
                  </w:r>
                </w:p>
              </w:tc>
              <w:tc>
                <w:tcPr>
                  <w:tcW w:w="6735" w:type="dxa"/>
                  <w:noWrap w:val="0"/>
                  <w:vAlign w:val="center"/>
                </w:tcPr>
                <w:p w14:paraId="07E2CD5D">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根据投标人提供的整体运营服务方案进行评价：整体运营服务方案内容完整，条理清晰，易于理解，具有数字化运维管理能力，对项目的重点、难点分析准确透彻，合理可行的得3分；整体运营服务方案内容较为完整，条理较为清晰，对项目的重点、难点分析较为准确，较为合理可行的得2分；整体运营服务方案内容简单，可行性较差的得1分；未提供不得分。</w:t>
                  </w:r>
                </w:p>
              </w:tc>
              <w:tc>
                <w:tcPr>
                  <w:tcW w:w="706" w:type="dxa"/>
                  <w:noWrap w:val="0"/>
                  <w:vAlign w:val="center"/>
                </w:tcPr>
                <w:p w14:paraId="64B3C024">
                  <w:pPr>
                    <w:spacing w:line="360" w:lineRule="auto"/>
                    <w:jc w:val="center"/>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w:t>
                  </w:r>
                </w:p>
              </w:tc>
            </w:tr>
            <w:tr w14:paraId="1AA86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6F41F1C7">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w:t>
                  </w:r>
                </w:p>
              </w:tc>
              <w:tc>
                <w:tcPr>
                  <w:tcW w:w="1193" w:type="dxa"/>
                  <w:noWrap w:val="0"/>
                  <w:vAlign w:val="center"/>
                </w:tcPr>
                <w:p w14:paraId="73FA0E85">
                  <w:pPr>
                    <w:pStyle w:val="304"/>
                    <w:spacing w:line="364" w:lineRule="auto"/>
                    <w:ind w:right="78" w:rightChars="0"/>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突发应急事件处理预案</w:t>
                  </w:r>
                </w:p>
              </w:tc>
              <w:tc>
                <w:tcPr>
                  <w:tcW w:w="6735" w:type="dxa"/>
                  <w:noWrap w:val="0"/>
                  <w:vAlign w:val="center"/>
                </w:tcPr>
                <w:p w14:paraId="600A2ED1">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根据投标人针对本项目的突发应急事件（突然停水、停电情况处理、设备故障应急处理、水质超标紧急处理等）的处理预案进行评价：突发应急事件处理预案合理可行、全面完善的得3分；突发应急事件处理预案较为合理可行、虽有不足但经适当调整仍可以满足本项目需求的得2分；突发应急事件处理预案内容简单，可行性较差的得1分；未提供不得分。</w:t>
                  </w:r>
                </w:p>
              </w:tc>
              <w:tc>
                <w:tcPr>
                  <w:tcW w:w="706" w:type="dxa"/>
                  <w:noWrap w:val="0"/>
                  <w:vAlign w:val="center"/>
                </w:tcPr>
                <w:p w14:paraId="4E4888FF">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7367A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6" w:type="dxa"/>
                  <w:noWrap w:val="0"/>
                  <w:vAlign w:val="center"/>
                </w:tcPr>
                <w:p w14:paraId="1AA137DA">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w:t>
                  </w:r>
                </w:p>
              </w:tc>
              <w:tc>
                <w:tcPr>
                  <w:tcW w:w="1193" w:type="dxa"/>
                  <w:noWrap w:val="0"/>
                  <w:vAlign w:val="center"/>
                </w:tcPr>
                <w:p w14:paraId="61A924E2">
                  <w:pPr>
                    <w:pStyle w:val="304"/>
                    <w:spacing w:before="152" w:line="367" w:lineRule="auto"/>
                    <w:ind w:right="78" w:rightChars="0"/>
                    <w:jc w:val="center"/>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安全管理方案</w:t>
                  </w:r>
                </w:p>
              </w:tc>
              <w:tc>
                <w:tcPr>
                  <w:tcW w:w="6735" w:type="dxa"/>
                  <w:noWrap w:val="0"/>
                  <w:vAlign w:val="center"/>
                </w:tcPr>
                <w:p w14:paraId="71BCD2DE">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根据投标人提供的日常安全管理方案进行评价：日常安全管理方案合理可行、全面完善的得3分；日常安全管理方案较为合理可行、虽有不足但经适当调整仍可以满足本项目需求的得2分；日常安全管理方案内容简单，可行性较差的得1分；未提供不得分。</w:t>
                  </w:r>
                </w:p>
              </w:tc>
              <w:tc>
                <w:tcPr>
                  <w:tcW w:w="706" w:type="dxa"/>
                  <w:noWrap w:val="0"/>
                  <w:vAlign w:val="center"/>
                </w:tcPr>
                <w:p w14:paraId="50731535">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10E08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6" w:type="dxa"/>
                  <w:noWrap w:val="0"/>
                  <w:vAlign w:val="center"/>
                </w:tcPr>
                <w:p w14:paraId="00EB5B42">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w:t>
                  </w:r>
                </w:p>
              </w:tc>
              <w:tc>
                <w:tcPr>
                  <w:tcW w:w="1193" w:type="dxa"/>
                  <w:noWrap w:val="0"/>
                  <w:vAlign w:val="center"/>
                </w:tcPr>
                <w:p w14:paraId="4B5D4AF0">
                  <w:pPr>
                    <w:pStyle w:val="304"/>
                    <w:spacing w:before="1" w:line="367" w:lineRule="auto"/>
                    <w:ind w:right="78"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项目负责人</w:t>
                  </w:r>
                </w:p>
              </w:tc>
              <w:tc>
                <w:tcPr>
                  <w:tcW w:w="6735" w:type="dxa"/>
                  <w:noWrap w:val="0"/>
                  <w:vAlign w:val="center"/>
                </w:tcPr>
                <w:p w14:paraId="23D03754">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strike w:val="0"/>
                      <w:dstrike w:val="0"/>
                      <w:color w:val="auto"/>
                      <w:spacing w:val="-2"/>
                      <w:sz w:val="24"/>
                      <w:szCs w:val="24"/>
                      <w:highlight w:val="none"/>
                      <w:lang w:val="en-US" w:eastAsia="zh-CN" w:bidi="ar-SA"/>
                    </w:rPr>
                  </w:pPr>
                  <w:r>
                    <w:rPr>
                      <w:rFonts w:hint="eastAsia"/>
                      <w:color w:val="auto"/>
                      <w:highlight w:val="none"/>
                      <w:lang w:val="en-US" w:eastAsia="zh-CN"/>
                    </w:rPr>
                    <w:t>根据</w:t>
                  </w:r>
                  <w:r>
                    <w:rPr>
                      <w:rFonts w:hint="eastAsia" w:ascii="宋体" w:hAnsi="宋体" w:eastAsia="宋体" w:cs="宋体"/>
                      <w:color w:val="auto"/>
                      <w:spacing w:val="-2"/>
                      <w:sz w:val="24"/>
                      <w:szCs w:val="24"/>
                      <w:highlight w:val="none"/>
                      <w:lang w:val="en-US" w:eastAsia="zh-CN" w:bidi="ar-SA"/>
                    </w:rPr>
                    <w:t>投标人拟投入本项目的项目负责人进行评价：项目负责人同时具有本科（环境类或给排水类相关专业）及以上学历、具有环境类相关中级及以上职称</w:t>
                  </w:r>
                  <w:r>
                    <w:rPr>
                      <w:rFonts w:hint="eastAsia" w:ascii="宋体" w:hAnsi="宋体" w:cs="宋体"/>
                      <w:color w:val="auto"/>
                      <w:spacing w:val="-2"/>
                      <w:sz w:val="24"/>
                      <w:szCs w:val="24"/>
                      <w:highlight w:val="none"/>
                      <w:lang w:val="en-US" w:eastAsia="zh-CN" w:bidi="ar-SA"/>
                    </w:rPr>
                    <w:t>、</w:t>
                  </w:r>
                  <w:r>
                    <w:rPr>
                      <w:rFonts w:hint="eastAsia" w:ascii="宋体" w:hAnsi="宋体" w:eastAsia="宋体" w:cs="宋体"/>
                      <w:color w:val="auto"/>
                      <w:spacing w:val="-2"/>
                      <w:sz w:val="24"/>
                      <w:szCs w:val="24"/>
                      <w:highlight w:val="none"/>
                      <w:lang w:val="en-US" w:eastAsia="zh-CN" w:bidi="ar-SA"/>
                    </w:rPr>
                    <w:t>具有污废水处理工证书</w:t>
                  </w:r>
                  <w:r>
                    <w:rPr>
                      <w:rFonts w:hint="eastAsia" w:ascii="宋体" w:hAnsi="宋体" w:cs="宋体"/>
                      <w:strike w:val="0"/>
                      <w:dstrike w:val="0"/>
                      <w:color w:val="auto"/>
                      <w:spacing w:val="-2"/>
                      <w:sz w:val="24"/>
                      <w:szCs w:val="24"/>
                      <w:highlight w:val="none"/>
                      <w:lang w:val="en-US" w:eastAsia="zh-CN" w:bidi="ar-SA"/>
                    </w:rPr>
                    <w:t>及获得市级及以上政府部门颁发水治理类荣誉证书的</w:t>
                  </w:r>
                  <w:r>
                    <w:rPr>
                      <w:rFonts w:hint="eastAsia" w:ascii="宋体" w:hAnsi="宋体" w:eastAsia="宋体" w:cs="宋体"/>
                      <w:strike w:val="0"/>
                      <w:dstrike w:val="0"/>
                      <w:color w:val="auto"/>
                      <w:spacing w:val="-2"/>
                      <w:sz w:val="24"/>
                      <w:szCs w:val="24"/>
                      <w:highlight w:val="none"/>
                      <w:lang w:val="en-US" w:eastAsia="zh-CN" w:bidi="ar-SA"/>
                    </w:rPr>
                    <w:t>得</w:t>
                  </w:r>
                  <w:r>
                    <w:rPr>
                      <w:rFonts w:hint="eastAsia" w:ascii="宋体" w:hAnsi="宋体" w:cs="宋体"/>
                      <w:strike w:val="0"/>
                      <w:dstrike w:val="0"/>
                      <w:color w:val="auto"/>
                      <w:spacing w:val="-2"/>
                      <w:sz w:val="24"/>
                      <w:szCs w:val="24"/>
                      <w:highlight w:val="none"/>
                      <w:lang w:val="en-US" w:eastAsia="zh-CN" w:bidi="ar-SA"/>
                    </w:rPr>
                    <w:t>3</w:t>
                  </w:r>
                  <w:r>
                    <w:rPr>
                      <w:rFonts w:hint="eastAsia" w:ascii="宋体" w:hAnsi="宋体" w:eastAsia="宋体" w:cs="宋体"/>
                      <w:strike w:val="0"/>
                      <w:dstrike w:val="0"/>
                      <w:color w:val="auto"/>
                      <w:spacing w:val="-2"/>
                      <w:sz w:val="24"/>
                      <w:szCs w:val="24"/>
                      <w:highlight w:val="none"/>
                      <w:lang w:val="en-US" w:eastAsia="zh-CN" w:bidi="ar-SA"/>
                    </w:rPr>
                    <w:t>分，满分3分。</w:t>
                  </w:r>
                </w:p>
                <w:p w14:paraId="60D4EC4E">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备注：项目负责人必须是投标人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员工，提供项目负责人</w:t>
                  </w:r>
                  <w:r>
                    <w:rPr>
                      <w:rFonts w:hint="eastAsia" w:ascii="宋体" w:hAnsi="宋体" w:cs="宋体"/>
                      <w:color w:val="auto"/>
                      <w:spacing w:val="-2"/>
                      <w:sz w:val="24"/>
                      <w:szCs w:val="24"/>
                      <w:highlight w:val="none"/>
                      <w:lang w:val="en-US" w:eastAsia="zh-CN" w:bidi="ar-SA"/>
                    </w:rPr>
                    <w:t>的</w:t>
                  </w:r>
                  <w:r>
                    <w:rPr>
                      <w:rFonts w:hint="eastAsia" w:ascii="宋体" w:hAnsi="宋体" w:eastAsia="宋体" w:cs="宋体"/>
                      <w:color w:val="auto"/>
                      <w:spacing w:val="-2"/>
                      <w:sz w:val="24"/>
                      <w:szCs w:val="24"/>
                      <w:highlight w:val="none"/>
                      <w:lang w:val="en-US" w:eastAsia="zh-CN" w:bidi="ar-SA"/>
                    </w:rPr>
                    <w:t>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39C4622C">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77F35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36" w:type="dxa"/>
                  <w:noWrap w:val="0"/>
                  <w:vAlign w:val="center"/>
                </w:tcPr>
                <w:p w14:paraId="121D2D1A">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p>
              </w:tc>
              <w:tc>
                <w:tcPr>
                  <w:tcW w:w="1193" w:type="dxa"/>
                  <w:noWrap w:val="0"/>
                  <w:vAlign w:val="center"/>
                </w:tcPr>
                <w:p w14:paraId="492D7785">
                  <w:pPr>
                    <w:pStyle w:val="304"/>
                    <w:ind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项目技术负责人</w:t>
                  </w:r>
                </w:p>
              </w:tc>
              <w:tc>
                <w:tcPr>
                  <w:tcW w:w="6735" w:type="dxa"/>
                  <w:noWrap w:val="0"/>
                  <w:vAlign w:val="center"/>
                </w:tcPr>
                <w:p w14:paraId="05FD4142">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cs="宋体"/>
                      <w:color w:val="auto"/>
                      <w:spacing w:val="-2"/>
                      <w:sz w:val="24"/>
                      <w:szCs w:val="24"/>
                      <w:highlight w:val="none"/>
                      <w:lang w:val="en-US" w:eastAsia="zh-CN" w:bidi="ar-SA"/>
                    </w:rPr>
                    <w:t>根据</w:t>
                  </w:r>
                  <w:r>
                    <w:rPr>
                      <w:rFonts w:hint="eastAsia" w:ascii="宋体" w:hAnsi="宋体" w:eastAsia="宋体" w:cs="宋体"/>
                      <w:color w:val="auto"/>
                      <w:spacing w:val="-2"/>
                      <w:sz w:val="24"/>
                      <w:szCs w:val="24"/>
                      <w:highlight w:val="none"/>
                      <w:lang w:val="en-US" w:eastAsia="zh-CN" w:bidi="ar-SA"/>
                    </w:rPr>
                    <w:t>投标人拟投入本项目的技术负责人进行评价：具有环境类相关专业中级及以上职称的得1.5分；具有污废水处理工证书及国家主管部门颁发高低压“特种作业操作证”的得1.5分，满分3分。</w:t>
                  </w:r>
                </w:p>
                <w:p w14:paraId="6EFCB0EC">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备注：技术负责人必须是投标人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w:t>
                  </w:r>
                  <w:r>
                    <w:rPr>
                      <w:rFonts w:hint="eastAsia" w:ascii="宋体" w:hAnsi="宋体" w:cs="宋体"/>
                      <w:color w:val="auto"/>
                      <w:spacing w:val="-2"/>
                      <w:sz w:val="24"/>
                      <w:szCs w:val="24"/>
                      <w:highlight w:val="none"/>
                      <w:lang w:val="en-US" w:eastAsia="zh-CN" w:bidi="ar-SA"/>
                    </w:rPr>
                    <w:t>相关</w:t>
                  </w:r>
                  <w:r>
                    <w:rPr>
                      <w:rFonts w:hint="eastAsia" w:ascii="宋体" w:hAnsi="宋体" w:eastAsia="宋体" w:cs="宋体"/>
                      <w:color w:val="auto"/>
                      <w:spacing w:val="-2"/>
                      <w:sz w:val="24"/>
                      <w:szCs w:val="24"/>
                      <w:highlight w:val="none"/>
                      <w:lang w:val="en-US" w:eastAsia="zh-CN" w:bidi="ar-SA"/>
                    </w:rPr>
                    <w:t>证书有效复印件</w:t>
                  </w:r>
                  <w:r>
                    <w:rPr>
                      <w:rFonts w:hint="eastAsia" w:ascii="宋体" w:hAnsi="宋体" w:cs="宋体"/>
                      <w:color w:val="auto"/>
                      <w:spacing w:val="-2"/>
                      <w:sz w:val="24"/>
                      <w:szCs w:val="24"/>
                      <w:highlight w:val="none"/>
                      <w:lang w:val="en-US" w:eastAsia="zh-CN" w:bidi="ar-SA"/>
                    </w:rPr>
                    <w:t>、</w:t>
                  </w:r>
                  <w:r>
                    <w:rPr>
                      <w:rFonts w:hint="eastAsia" w:ascii="宋体" w:hAnsi="宋体" w:eastAsia="宋体" w:cs="宋体"/>
                      <w:color w:val="auto"/>
                      <w:spacing w:val="-2"/>
                      <w:sz w:val="24"/>
                      <w:szCs w:val="24"/>
                      <w:highlight w:val="none"/>
                      <w:lang w:val="en-US" w:eastAsia="zh-CN" w:bidi="ar-SA"/>
                    </w:rPr>
                    <w:t>高低压证书</w:t>
                  </w:r>
                  <w:r>
                    <w:rPr>
                      <w:rFonts w:hint="eastAsia" w:ascii="宋体" w:hAnsi="宋体" w:cs="宋体"/>
                      <w:color w:val="auto"/>
                      <w:spacing w:val="-2"/>
                      <w:sz w:val="24"/>
                      <w:szCs w:val="24"/>
                      <w:highlight w:val="none"/>
                      <w:lang w:val="en-US" w:eastAsia="zh-CN" w:bidi="ar-SA"/>
                    </w:rPr>
                    <w:t>在</w:t>
                  </w:r>
                  <w:r>
                    <w:rPr>
                      <w:rFonts w:hint="eastAsia" w:ascii="宋体" w:hAnsi="宋体" w:eastAsia="宋体" w:cs="宋体"/>
                      <w:color w:val="auto"/>
                      <w:spacing w:val="-2"/>
                      <w:sz w:val="24"/>
                      <w:szCs w:val="24"/>
                      <w:highlight w:val="none"/>
                      <w:lang w:val="en-US" w:eastAsia="zh-CN" w:bidi="ar-SA"/>
                    </w:rPr>
                    <w:t>中华人民共和国应急管理部网站查询截图及自本项目投标截止之日的上一个月起算,往前追溯六个月内任一月份投标人为其缴纳社会保险费的证明材料并加盖投标人公章，否则不得分。（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03EDCFCF">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39C0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69F3D6FA">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w:t>
                  </w:r>
                </w:p>
              </w:tc>
              <w:tc>
                <w:tcPr>
                  <w:tcW w:w="1193" w:type="dxa"/>
                  <w:noWrap w:val="0"/>
                  <w:vAlign w:val="center"/>
                </w:tcPr>
                <w:p w14:paraId="1AB2E260">
                  <w:pPr>
                    <w:pStyle w:val="304"/>
                    <w:ind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项目安全负责人</w:t>
                  </w:r>
                </w:p>
              </w:tc>
              <w:tc>
                <w:tcPr>
                  <w:tcW w:w="6735" w:type="dxa"/>
                  <w:noWrap w:val="0"/>
                  <w:vAlign w:val="center"/>
                </w:tcPr>
                <w:p w14:paraId="15F9BDA5">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CN" w:bidi="ar-SA"/>
                    </w:rPr>
                    <w:t>根据投标人拟为本项目配备的项目安全负责人进行评价：持有政府主管部门颁发</w:t>
                  </w:r>
                  <w:r>
                    <w:rPr>
                      <w:rFonts w:hint="eastAsia" w:ascii="宋体" w:hAnsi="宋体" w:cs="宋体"/>
                      <w:color w:val="auto"/>
                      <w:spacing w:val="-2"/>
                      <w:sz w:val="24"/>
                      <w:szCs w:val="24"/>
                      <w:highlight w:val="none"/>
                      <w:lang w:val="en-US" w:eastAsia="zh-CN" w:bidi="ar-SA"/>
                    </w:rPr>
                    <w:t>的</w:t>
                  </w:r>
                  <w:r>
                    <w:rPr>
                      <w:rFonts w:hint="eastAsia" w:ascii="宋体" w:hAnsi="宋体" w:eastAsia="宋体" w:cs="宋体"/>
                      <w:color w:val="auto"/>
                      <w:spacing w:val="-2"/>
                      <w:sz w:val="24"/>
                      <w:szCs w:val="24"/>
                      <w:highlight w:val="none"/>
                      <w:lang w:val="en-US" w:eastAsia="zh-CN" w:bidi="ar-SA"/>
                    </w:rPr>
                    <w:t>安全员C证且具备政府主管部门颁发</w:t>
                  </w:r>
                  <w:r>
                    <w:rPr>
                      <w:rFonts w:hint="eastAsia" w:ascii="宋体" w:hAnsi="宋体" w:cs="宋体"/>
                      <w:color w:val="auto"/>
                      <w:spacing w:val="-2"/>
                      <w:sz w:val="24"/>
                      <w:szCs w:val="24"/>
                      <w:highlight w:val="none"/>
                      <w:lang w:val="en-US" w:eastAsia="zh-CN" w:bidi="ar-SA"/>
                    </w:rPr>
                    <w:t>的</w:t>
                  </w:r>
                  <w:r>
                    <w:rPr>
                      <w:rFonts w:hint="eastAsia" w:ascii="宋体" w:hAnsi="宋体" w:eastAsia="宋体" w:cs="宋体"/>
                      <w:color w:val="auto"/>
                      <w:spacing w:val="-2"/>
                      <w:sz w:val="24"/>
                      <w:szCs w:val="24"/>
                      <w:highlight w:val="none"/>
                      <w:lang w:val="en-US" w:eastAsia="zh-CN" w:bidi="ar-SA"/>
                    </w:rPr>
                    <w:t>注册安全工程师的得3分。</w:t>
                  </w:r>
                </w:p>
                <w:p w14:paraId="62C050BD">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w:t>
                  </w:r>
                  <w:r>
                    <w:rPr>
                      <w:rFonts w:hint="eastAsia" w:ascii="宋体" w:hAnsi="宋体" w:eastAsia="宋体" w:cs="宋体"/>
                      <w:color w:val="auto"/>
                      <w:sz w:val="24"/>
                      <w:szCs w:val="24"/>
                      <w:highlight w:val="none"/>
                      <w:lang w:val="en-US" w:eastAsia="zh-CN"/>
                    </w:rPr>
                    <w:t>项目安全负责人</w:t>
                  </w:r>
                  <w:r>
                    <w:rPr>
                      <w:rFonts w:hint="eastAsia" w:ascii="宋体" w:hAnsi="宋体" w:eastAsia="宋体" w:cs="宋体"/>
                      <w:color w:val="auto"/>
                      <w:spacing w:val="-2"/>
                      <w:sz w:val="24"/>
                      <w:szCs w:val="24"/>
                      <w:highlight w:val="none"/>
                      <w:lang w:val="en-US" w:eastAsia="zh-CN" w:bidi="ar-SA"/>
                    </w:rPr>
                    <w:t>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w:t>
                  </w:r>
                  <w:r>
                    <w:rPr>
                      <w:rFonts w:hint="eastAsia" w:ascii="宋体" w:hAnsi="宋体" w:eastAsia="宋体" w:cs="宋体"/>
                      <w:color w:val="auto"/>
                      <w:sz w:val="24"/>
                      <w:szCs w:val="24"/>
                      <w:highlight w:val="none"/>
                      <w:lang w:val="en-US" w:eastAsia="zh-CN"/>
                    </w:rPr>
                    <w:t>项目安全负责</w:t>
                  </w:r>
                  <w:r>
                    <w:rPr>
                      <w:rFonts w:hint="eastAsia" w:ascii="宋体" w:hAnsi="宋体" w:eastAsia="宋体" w:cs="宋体"/>
                      <w:color w:val="auto"/>
                      <w:spacing w:val="-2"/>
                      <w:sz w:val="24"/>
                      <w:szCs w:val="24"/>
                      <w:highlight w:val="none"/>
                      <w:lang w:val="en-US" w:eastAsia="zh-CN" w:bidi="ar-SA"/>
                    </w:rPr>
                    <w:t>人的证书有效复印件及自本项目投标截止之日的上一个月起算,往前追溯六个月内任一月份投标人为其缴纳社会保险费的证明材料并加盖投标人公章，否则不得分。（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284BD481">
                  <w:pPr>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4003C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26DCE3FD">
                  <w:pPr>
                    <w:pStyle w:val="17"/>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w:t>
                  </w:r>
                </w:p>
              </w:tc>
              <w:tc>
                <w:tcPr>
                  <w:tcW w:w="1193" w:type="dxa"/>
                  <w:noWrap w:val="0"/>
                  <w:vAlign w:val="center"/>
                </w:tcPr>
                <w:p w14:paraId="71BF7771">
                  <w:pPr>
                    <w:keepNext w:val="0"/>
                    <w:keepLines w:val="0"/>
                    <w:widowControl/>
                    <w:suppressLineNumbers w:val="0"/>
                    <w:ind w:left="0" w:leftChars="0" w:right="0" w:rightChars="0"/>
                    <w:jc w:val="both"/>
                    <w:textAlignment w:val="center"/>
                    <w:rPr>
                      <w:rFonts w:hint="eastAsia" w:ascii="宋体" w:hAnsi="宋体" w:eastAsia="宋体" w:cs="宋体"/>
                      <w:color w:val="auto"/>
                      <w:kern w:val="2"/>
                      <w:sz w:val="24"/>
                      <w:szCs w:val="24"/>
                      <w:highlight w:val="none"/>
                    </w:rPr>
                  </w:pPr>
                  <w:r>
                    <w:rPr>
                      <w:rFonts w:hint="eastAsia" w:ascii="宋体" w:hAnsi="宋体" w:eastAsia="宋体" w:cs="宋体"/>
                      <w:color w:val="auto"/>
                      <w:spacing w:val="-2"/>
                      <w:sz w:val="24"/>
                      <w:szCs w:val="24"/>
                      <w:highlight w:val="none"/>
                      <w:lang w:val="en-US" w:eastAsia="zh-CN" w:bidi="ar-SA"/>
                    </w:rPr>
                    <w:t>自动监控（污废水）运行工</w:t>
                  </w:r>
                </w:p>
              </w:tc>
              <w:tc>
                <w:tcPr>
                  <w:tcW w:w="6735" w:type="dxa"/>
                  <w:noWrap w:val="0"/>
                  <w:vAlign w:val="center"/>
                </w:tcPr>
                <w:p w14:paraId="24CBDF2B">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CN" w:bidi="ar-SA"/>
                    </w:rPr>
                    <w:t>投标人拟投入本项目的服务人员具有自动监控（污废水）运行工证书</w:t>
                  </w:r>
                  <w:r>
                    <w:rPr>
                      <w:rFonts w:hint="eastAsia" w:ascii="宋体" w:hAnsi="宋体" w:cs="宋体"/>
                      <w:color w:val="auto"/>
                      <w:spacing w:val="-2"/>
                      <w:sz w:val="24"/>
                      <w:szCs w:val="24"/>
                      <w:highlight w:val="none"/>
                      <w:lang w:val="en-US" w:eastAsia="zh-CN" w:bidi="ar-SA"/>
                    </w:rPr>
                    <w:t>及</w:t>
                  </w:r>
                  <w:r>
                    <w:rPr>
                      <w:rFonts w:hint="eastAsia" w:ascii="宋体" w:hAnsi="宋体" w:eastAsia="宋体" w:cs="宋体"/>
                      <w:color w:val="auto"/>
                      <w:spacing w:val="-2"/>
                      <w:sz w:val="24"/>
                      <w:szCs w:val="24"/>
                      <w:highlight w:val="none"/>
                      <w:lang w:val="en-US" w:eastAsia="zh-CN" w:bidi="ar-SA"/>
                    </w:rPr>
                    <w:t>初级及以上工程师职称的，每提供1名得1.5分，满分3分。</w:t>
                  </w:r>
                </w:p>
                <w:p w14:paraId="7FEEF5E7">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pacing w:val="-2"/>
                      <w:sz w:val="24"/>
                      <w:szCs w:val="24"/>
                      <w:highlight w:val="none"/>
                      <w:lang w:val="en-US" w:eastAsia="zh-CN" w:bidi="ar-SA"/>
                    </w:rPr>
                    <w:t>备注：服务人员必须是投标人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2A23A3B1">
                  <w:pPr>
                    <w:spacing w:line="360" w:lineRule="auto"/>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w:t>
                  </w:r>
                </w:p>
              </w:tc>
            </w:tr>
            <w:tr w14:paraId="2174D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075EC859">
                  <w:pPr>
                    <w:pStyle w:val="155"/>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10"/>
                      <w:sz w:val="24"/>
                      <w:szCs w:val="24"/>
                      <w:highlight w:val="none"/>
                    </w:rPr>
                    <w:t>1-</w:t>
                  </w:r>
                  <w:r>
                    <w:rPr>
                      <w:rFonts w:hint="eastAsia" w:ascii="宋体" w:hAnsi="宋体" w:eastAsia="宋体" w:cs="宋体"/>
                      <w:color w:val="auto"/>
                      <w:kern w:val="10"/>
                      <w:sz w:val="24"/>
                      <w:szCs w:val="24"/>
                      <w:highlight w:val="none"/>
                      <w:lang w:val="en-US" w:eastAsia="zh-CN"/>
                    </w:rPr>
                    <w:t>9</w:t>
                  </w:r>
                </w:p>
              </w:tc>
              <w:tc>
                <w:tcPr>
                  <w:tcW w:w="1193" w:type="dxa"/>
                  <w:noWrap w:val="0"/>
                  <w:vAlign w:val="center"/>
                </w:tcPr>
                <w:p w14:paraId="22D65D3D">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污废水处理工</w:t>
                  </w:r>
                </w:p>
              </w:tc>
              <w:tc>
                <w:tcPr>
                  <w:tcW w:w="6735" w:type="dxa"/>
                  <w:noWrap w:val="0"/>
                  <w:vAlign w:val="center"/>
                </w:tcPr>
                <w:p w14:paraId="1A9285A3">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CN" w:bidi="ar-SA"/>
                    </w:rPr>
                    <w:t>投标人拟投入本项目的服务人员具有污废水处理工证书的，每提供1名得1分，满分3分。</w:t>
                  </w:r>
                </w:p>
                <w:p w14:paraId="441987BE">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备注：人员必须是投标人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3EB2BD1D">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09014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0ECFC661">
                  <w:pPr>
                    <w:pStyle w:val="155"/>
                    <w:spacing w:line="360" w:lineRule="auto"/>
                    <w:jc w:val="center"/>
                    <w:rPr>
                      <w:rFonts w:hint="default" w:ascii="宋体" w:hAnsi="宋体" w:eastAsia="宋体" w:cs="宋体"/>
                      <w:color w:val="auto"/>
                      <w:kern w:val="10"/>
                      <w:sz w:val="24"/>
                      <w:szCs w:val="24"/>
                      <w:highlight w:val="none"/>
                      <w:lang w:val="en-US" w:eastAsia="zh-CN"/>
                    </w:rPr>
                  </w:pPr>
                  <w:r>
                    <w:rPr>
                      <w:rFonts w:hint="eastAsia" w:ascii="宋体" w:hAnsi="宋体" w:eastAsia="宋体" w:cs="宋体"/>
                      <w:color w:val="auto"/>
                      <w:kern w:val="10"/>
                      <w:sz w:val="24"/>
                      <w:szCs w:val="24"/>
                      <w:highlight w:val="none"/>
                      <w:lang w:val="en-US" w:eastAsia="zh-CN"/>
                    </w:rPr>
                    <w:t>1-1</w:t>
                  </w:r>
                  <w:r>
                    <w:rPr>
                      <w:rFonts w:hint="eastAsia" w:ascii="宋体" w:hAnsi="宋体" w:cs="宋体"/>
                      <w:color w:val="auto"/>
                      <w:kern w:val="10"/>
                      <w:sz w:val="24"/>
                      <w:szCs w:val="24"/>
                      <w:highlight w:val="none"/>
                      <w:lang w:val="en-US" w:eastAsia="zh-CN"/>
                    </w:rPr>
                    <w:t>0</w:t>
                  </w:r>
                </w:p>
              </w:tc>
              <w:tc>
                <w:tcPr>
                  <w:tcW w:w="1193" w:type="dxa"/>
                  <w:noWrap w:val="0"/>
                  <w:vAlign w:val="center"/>
                </w:tcPr>
                <w:p w14:paraId="3265C1EB">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电工</w:t>
                  </w:r>
                </w:p>
              </w:tc>
              <w:tc>
                <w:tcPr>
                  <w:tcW w:w="6735" w:type="dxa"/>
                  <w:noWrap w:val="0"/>
                  <w:vAlign w:val="center"/>
                </w:tcPr>
                <w:p w14:paraId="564DCB4B">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CN" w:bidi="ar-SA"/>
                    </w:rPr>
                    <w:t>投标人拟投入本项目的电工人员具有国家主管部门颁发高低压“特种作业操作证”证书的，每提供1名得1.5分，满分3分。</w:t>
                  </w:r>
                </w:p>
                <w:p w14:paraId="4FB81FA0">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备注：人员必须是投标人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员工，提供证书有效复印件</w:t>
                  </w:r>
                  <w:r>
                    <w:rPr>
                      <w:rFonts w:hint="eastAsia" w:ascii="宋体" w:hAnsi="宋体" w:cs="宋体"/>
                      <w:color w:val="auto"/>
                      <w:spacing w:val="-2"/>
                      <w:sz w:val="24"/>
                      <w:szCs w:val="24"/>
                      <w:highlight w:val="none"/>
                      <w:lang w:val="en-US" w:eastAsia="zh-CN" w:bidi="ar-SA"/>
                    </w:rPr>
                    <w:t>、</w:t>
                  </w:r>
                  <w:r>
                    <w:rPr>
                      <w:rFonts w:hint="eastAsia" w:ascii="宋体" w:hAnsi="宋体" w:eastAsia="宋体" w:cs="宋体"/>
                      <w:color w:val="auto"/>
                      <w:spacing w:val="-2"/>
                      <w:sz w:val="24"/>
                      <w:szCs w:val="24"/>
                      <w:highlight w:val="none"/>
                      <w:lang w:val="en-US" w:eastAsia="zh-CN" w:bidi="ar-SA"/>
                    </w:rPr>
                    <w:t>证书</w:t>
                  </w:r>
                  <w:r>
                    <w:rPr>
                      <w:rFonts w:hint="eastAsia" w:ascii="宋体" w:hAnsi="宋体" w:cs="宋体"/>
                      <w:color w:val="auto"/>
                      <w:spacing w:val="-2"/>
                      <w:sz w:val="24"/>
                      <w:szCs w:val="24"/>
                      <w:highlight w:val="none"/>
                      <w:lang w:val="en-US" w:eastAsia="zh-CN" w:bidi="ar-SA"/>
                    </w:rPr>
                    <w:t>在</w:t>
                  </w:r>
                  <w:r>
                    <w:rPr>
                      <w:rFonts w:hint="eastAsia" w:ascii="宋体" w:hAnsi="宋体" w:eastAsia="宋体" w:cs="宋体"/>
                      <w:color w:val="auto"/>
                      <w:spacing w:val="-2"/>
                      <w:sz w:val="24"/>
                      <w:szCs w:val="24"/>
                      <w:highlight w:val="none"/>
                      <w:lang w:val="en-US" w:eastAsia="zh-CN" w:bidi="ar-SA"/>
                    </w:rPr>
                    <w:t>中华人民共和国应急管理部网站查询截图及自本项目投标截止之日的上一个月起算,往前追溯六个月内任一月份投标人为其缴纳社会保险费的证明材料并加盖投标人公章，否则不得分。（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66178784">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3FDF2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1C2D960B">
                  <w:pPr>
                    <w:pStyle w:val="155"/>
                    <w:spacing w:line="360" w:lineRule="auto"/>
                    <w:jc w:val="center"/>
                    <w:rPr>
                      <w:rFonts w:hint="default" w:ascii="宋体" w:hAnsi="宋体" w:eastAsia="宋体" w:cs="宋体"/>
                      <w:color w:val="auto"/>
                      <w:kern w:val="10"/>
                      <w:sz w:val="24"/>
                      <w:szCs w:val="24"/>
                      <w:highlight w:val="none"/>
                      <w:lang w:val="en-US" w:eastAsia="zh-CN"/>
                    </w:rPr>
                  </w:pPr>
                  <w:r>
                    <w:rPr>
                      <w:rFonts w:hint="eastAsia" w:ascii="宋体" w:hAnsi="宋体" w:eastAsia="宋体" w:cs="宋体"/>
                      <w:color w:val="auto"/>
                      <w:kern w:val="10"/>
                      <w:sz w:val="24"/>
                      <w:szCs w:val="24"/>
                      <w:highlight w:val="none"/>
                      <w:lang w:val="en-US" w:eastAsia="zh-CN"/>
                    </w:rPr>
                    <w:t>1-</w:t>
                  </w:r>
                  <w:r>
                    <w:rPr>
                      <w:rFonts w:hint="eastAsia" w:ascii="宋体" w:hAnsi="宋体" w:cs="宋体"/>
                      <w:color w:val="auto"/>
                      <w:kern w:val="10"/>
                      <w:sz w:val="24"/>
                      <w:szCs w:val="24"/>
                      <w:highlight w:val="none"/>
                      <w:lang w:val="en-US" w:eastAsia="zh-CN"/>
                    </w:rPr>
                    <w:t>11</w:t>
                  </w:r>
                </w:p>
              </w:tc>
              <w:tc>
                <w:tcPr>
                  <w:tcW w:w="1193" w:type="dxa"/>
                  <w:noWrap w:val="0"/>
                  <w:vAlign w:val="center"/>
                </w:tcPr>
                <w:p w14:paraId="3EA4F999">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资料员</w:t>
                  </w:r>
                </w:p>
              </w:tc>
              <w:tc>
                <w:tcPr>
                  <w:tcW w:w="6735" w:type="dxa"/>
                  <w:noWrap w:val="0"/>
                  <w:vAlign w:val="center"/>
                </w:tcPr>
                <w:p w14:paraId="08A6AC0A">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CN" w:bidi="ar-SA"/>
                    </w:rPr>
                  </w:pPr>
                  <w:r>
                    <w:rPr>
                      <w:rFonts w:hint="eastAsia" w:ascii="宋体" w:hAnsi="宋体" w:eastAsia="宋体" w:cs="宋体"/>
                      <w:color w:val="auto"/>
                      <w:spacing w:val="-2"/>
                      <w:sz w:val="24"/>
                      <w:szCs w:val="24"/>
                      <w:highlight w:val="none"/>
                      <w:lang w:val="en-US" w:eastAsia="zh-CN" w:bidi="ar-SA"/>
                    </w:rPr>
                    <w:t>投标人拟投入本项目的服务人员中持有资料员证书的得3分。</w:t>
                  </w:r>
                </w:p>
                <w:p w14:paraId="4CBE109F">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备注：人员必须是投标人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771CAAC2">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42A84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3BE9DF9A">
                  <w:pPr>
                    <w:pStyle w:val="155"/>
                    <w:spacing w:line="360" w:lineRule="auto"/>
                    <w:jc w:val="center"/>
                    <w:rPr>
                      <w:rFonts w:hint="default" w:ascii="宋体" w:hAnsi="宋体" w:eastAsia="宋体" w:cs="宋体"/>
                      <w:color w:val="auto"/>
                      <w:kern w:val="10"/>
                      <w:sz w:val="24"/>
                      <w:szCs w:val="24"/>
                      <w:highlight w:val="none"/>
                      <w:lang w:val="en-US" w:eastAsia="zh-CN"/>
                    </w:rPr>
                  </w:pPr>
                  <w:r>
                    <w:rPr>
                      <w:rFonts w:hint="eastAsia" w:ascii="宋体" w:hAnsi="宋体" w:eastAsia="宋体" w:cs="宋体"/>
                      <w:color w:val="auto"/>
                      <w:kern w:val="10"/>
                      <w:sz w:val="24"/>
                      <w:szCs w:val="24"/>
                      <w:highlight w:val="none"/>
                      <w:lang w:val="en-US" w:eastAsia="zh-CN"/>
                    </w:rPr>
                    <w:t>1-1</w:t>
                  </w:r>
                  <w:r>
                    <w:rPr>
                      <w:rFonts w:hint="eastAsia" w:ascii="宋体" w:hAnsi="宋体" w:cs="宋体"/>
                      <w:color w:val="auto"/>
                      <w:kern w:val="10"/>
                      <w:sz w:val="24"/>
                      <w:szCs w:val="24"/>
                      <w:highlight w:val="none"/>
                      <w:lang w:val="en-US" w:eastAsia="zh-CN"/>
                    </w:rPr>
                    <w:t>2</w:t>
                  </w:r>
                </w:p>
              </w:tc>
              <w:tc>
                <w:tcPr>
                  <w:tcW w:w="1193" w:type="dxa"/>
                  <w:noWrap w:val="0"/>
                  <w:vAlign w:val="center"/>
                </w:tcPr>
                <w:p w14:paraId="00731F2D">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有限空间作业人员</w:t>
                  </w:r>
                </w:p>
              </w:tc>
              <w:tc>
                <w:tcPr>
                  <w:tcW w:w="6735" w:type="dxa"/>
                  <w:noWrap w:val="0"/>
                  <w:vAlign w:val="center"/>
                </w:tcPr>
                <w:p w14:paraId="4D2B987E">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pacing w:val="-2"/>
                      <w:sz w:val="24"/>
                      <w:szCs w:val="24"/>
                      <w:highlight w:val="none"/>
                      <w:lang w:val="en-US" w:eastAsia="zh-Hans" w:bidi="ar-SA"/>
                    </w:rPr>
                  </w:pPr>
                  <w:r>
                    <w:rPr>
                      <w:rFonts w:hint="eastAsia" w:ascii="宋体" w:hAnsi="宋体" w:eastAsia="宋体" w:cs="宋体"/>
                      <w:color w:val="auto"/>
                      <w:spacing w:val="-2"/>
                      <w:sz w:val="24"/>
                      <w:szCs w:val="24"/>
                      <w:highlight w:val="none"/>
                      <w:lang w:val="en-US" w:eastAsia="zh-CN" w:bidi="ar-SA"/>
                    </w:rPr>
                    <w:t>投标人拟投入本项目的服务人员中持有有限空间作业员培训合格证的，每</w:t>
                  </w:r>
                  <w:r>
                    <w:rPr>
                      <w:rFonts w:hint="eastAsia" w:ascii="宋体" w:hAnsi="宋体" w:eastAsia="宋体" w:cs="宋体"/>
                      <w:color w:val="auto"/>
                      <w:spacing w:val="-2"/>
                      <w:sz w:val="24"/>
                      <w:szCs w:val="24"/>
                      <w:highlight w:val="none"/>
                      <w:lang w:val="en-US" w:eastAsia="zh-Hans" w:bidi="ar-SA"/>
                    </w:rPr>
                    <w:t>提供1名得</w:t>
                  </w:r>
                  <w:r>
                    <w:rPr>
                      <w:rFonts w:hint="eastAsia" w:ascii="宋体" w:hAnsi="宋体" w:eastAsia="宋体" w:cs="宋体"/>
                      <w:color w:val="auto"/>
                      <w:spacing w:val="-2"/>
                      <w:sz w:val="24"/>
                      <w:szCs w:val="24"/>
                      <w:highlight w:val="none"/>
                      <w:lang w:val="en-US" w:eastAsia="zh-CN" w:bidi="ar-SA"/>
                    </w:rPr>
                    <w:t>1</w:t>
                  </w:r>
                  <w:r>
                    <w:rPr>
                      <w:rFonts w:hint="eastAsia" w:ascii="宋体" w:hAnsi="宋体" w:eastAsia="宋体" w:cs="宋体"/>
                      <w:color w:val="auto"/>
                      <w:spacing w:val="-2"/>
                      <w:sz w:val="24"/>
                      <w:szCs w:val="24"/>
                      <w:highlight w:val="none"/>
                      <w:lang w:val="en-US" w:eastAsia="zh-Hans" w:bidi="ar-SA"/>
                    </w:rPr>
                    <w:t>分，满分</w:t>
                  </w:r>
                  <w:r>
                    <w:rPr>
                      <w:rFonts w:hint="eastAsia" w:ascii="宋体" w:hAnsi="宋体" w:eastAsia="宋体" w:cs="宋体"/>
                      <w:color w:val="auto"/>
                      <w:spacing w:val="-2"/>
                      <w:sz w:val="24"/>
                      <w:szCs w:val="24"/>
                      <w:highlight w:val="none"/>
                      <w:lang w:val="en-US" w:eastAsia="zh-CN" w:bidi="ar-SA"/>
                    </w:rPr>
                    <w:t>3</w:t>
                  </w:r>
                  <w:r>
                    <w:rPr>
                      <w:rFonts w:hint="eastAsia" w:ascii="宋体" w:hAnsi="宋体" w:eastAsia="宋体" w:cs="宋体"/>
                      <w:color w:val="auto"/>
                      <w:spacing w:val="-2"/>
                      <w:sz w:val="24"/>
                      <w:szCs w:val="24"/>
                      <w:highlight w:val="none"/>
                      <w:lang w:val="en-US" w:eastAsia="zh-Hans" w:bidi="ar-SA"/>
                    </w:rPr>
                    <w:t>分。</w:t>
                  </w:r>
                </w:p>
                <w:p w14:paraId="7570D82F">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备注：人员必须是投标人</w:t>
                  </w:r>
                  <w:r>
                    <w:rPr>
                      <w:rFonts w:hint="eastAsia" w:ascii="宋体" w:hAnsi="宋体" w:cs="宋体"/>
                      <w:color w:val="auto"/>
                      <w:spacing w:val="-2"/>
                      <w:sz w:val="24"/>
                      <w:szCs w:val="24"/>
                      <w:highlight w:val="none"/>
                      <w:lang w:val="en-US" w:eastAsia="zh-CN" w:bidi="ar-SA"/>
                    </w:rPr>
                    <w:t>本单位</w:t>
                  </w:r>
                  <w:r>
                    <w:rPr>
                      <w:rFonts w:hint="eastAsia" w:ascii="宋体" w:hAnsi="宋体" w:eastAsia="宋体" w:cs="宋体"/>
                      <w:color w:val="auto"/>
                      <w:spacing w:val="-2"/>
                      <w:sz w:val="24"/>
                      <w:szCs w:val="24"/>
                      <w:highlight w:val="none"/>
                      <w:lang w:val="en-US" w:eastAsia="zh-CN" w:bidi="ar-SA"/>
                    </w:rPr>
                    <w:t>员工，提供证书有效复印件及自本项目投标截止之日的上一个月起算,往前追溯六个月内任一月份投标人为其缴纳社会保险费的证明材料并加盖投标人公章，否则不得分。（</w:t>
                  </w:r>
                  <w:r>
                    <w:rPr>
                      <w:rFonts w:hint="eastAsia" w:ascii="宋体" w:hAnsi="宋体" w:cs="宋体"/>
                      <w:color w:val="auto"/>
                      <w:spacing w:val="-2"/>
                      <w:sz w:val="24"/>
                      <w:szCs w:val="24"/>
                      <w:highlight w:val="none"/>
                      <w:lang w:val="en-US" w:eastAsia="zh-CN" w:bidi="ar-SA"/>
                    </w:rPr>
                    <w:t>本项人员与其他人员评分项为同一人的不重复得分。</w:t>
                  </w:r>
                  <w:r>
                    <w:rPr>
                      <w:rFonts w:hint="eastAsia" w:ascii="宋体" w:hAnsi="宋体" w:eastAsia="宋体" w:cs="宋体"/>
                      <w:color w:val="auto"/>
                      <w:spacing w:val="-2"/>
                      <w:sz w:val="24"/>
                      <w:szCs w:val="24"/>
                      <w:highlight w:val="none"/>
                      <w:lang w:val="en-US" w:eastAsia="zh-CN" w:bidi="ar-SA"/>
                    </w:rPr>
                    <w:t>）</w:t>
                  </w:r>
                </w:p>
              </w:tc>
              <w:tc>
                <w:tcPr>
                  <w:tcW w:w="706" w:type="dxa"/>
                  <w:noWrap w:val="0"/>
                  <w:vAlign w:val="center"/>
                </w:tcPr>
                <w:p w14:paraId="22BF224C">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r>
            <w:tr w14:paraId="40C0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20950158">
                  <w:pPr>
                    <w:pStyle w:val="155"/>
                    <w:spacing w:line="360" w:lineRule="auto"/>
                    <w:jc w:val="center"/>
                    <w:rPr>
                      <w:rFonts w:hint="default" w:ascii="宋体" w:hAnsi="宋体" w:eastAsia="宋体" w:cs="宋体"/>
                      <w:color w:val="auto"/>
                      <w:kern w:val="10"/>
                      <w:sz w:val="24"/>
                      <w:szCs w:val="24"/>
                      <w:highlight w:val="none"/>
                      <w:lang w:val="en-US" w:eastAsia="zh-CN"/>
                    </w:rPr>
                  </w:pPr>
                  <w:r>
                    <w:rPr>
                      <w:rFonts w:hint="eastAsia" w:ascii="宋体" w:hAnsi="宋体" w:eastAsia="宋体" w:cs="宋体"/>
                      <w:color w:val="auto"/>
                      <w:kern w:val="10"/>
                      <w:sz w:val="24"/>
                      <w:szCs w:val="24"/>
                      <w:highlight w:val="none"/>
                      <w:lang w:val="en-US" w:eastAsia="zh-CN"/>
                    </w:rPr>
                    <w:t>1-1</w:t>
                  </w:r>
                  <w:r>
                    <w:rPr>
                      <w:rFonts w:hint="eastAsia" w:ascii="宋体" w:hAnsi="宋体" w:cs="宋体"/>
                      <w:color w:val="auto"/>
                      <w:kern w:val="10"/>
                      <w:sz w:val="24"/>
                      <w:szCs w:val="24"/>
                      <w:highlight w:val="none"/>
                      <w:lang w:val="en-US" w:eastAsia="zh-CN"/>
                    </w:rPr>
                    <w:t>3</w:t>
                  </w:r>
                </w:p>
              </w:tc>
              <w:tc>
                <w:tcPr>
                  <w:tcW w:w="1193" w:type="dxa"/>
                  <w:noWrap w:val="0"/>
                  <w:vAlign w:val="center"/>
                </w:tcPr>
                <w:p w14:paraId="24EF4424">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保障措施</w:t>
                  </w:r>
                </w:p>
              </w:tc>
              <w:tc>
                <w:tcPr>
                  <w:tcW w:w="6735" w:type="dxa"/>
                  <w:noWrap w:val="0"/>
                  <w:vAlign w:val="center"/>
                </w:tcPr>
                <w:p w14:paraId="6BB72662">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Hans" w:bidi="ar-SA"/>
                    </w:rPr>
                    <w:t>投标人</w:t>
                  </w:r>
                  <w:r>
                    <w:rPr>
                      <w:rFonts w:hint="eastAsia" w:ascii="宋体" w:hAnsi="宋体" w:cs="宋体"/>
                      <w:color w:val="auto"/>
                      <w:spacing w:val="-2"/>
                      <w:sz w:val="24"/>
                      <w:szCs w:val="24"/>
                      <w:highlight w:val="none"/>
                      <w:lang w:val="en-US" w:eastAsia="zh-CN" w:bidi="ar-SA"/>
                    </w:rPr>
                    <w:t>提供</w:t>
                  </w:r>
                  <w:r>
                    <w:rPr>
                      <w:rFonts w:hint="eastAsia" w:ascii="宋体" w:hAnsi="宋体" w:eastAsia="宋体" w:cs="宋体"/>
                      <w:color w:val="auto"/>
                      <w:spacing w:val="-2"/>
                      <w:sz w:val="24"/>
                      <w:szCs w:val="24"/>
                      <w:highlight w:val="none"/>
                      <w:lang w:val="en-US" w:eastAsia="zh-Hans" w:bidi="ar-SA"/>
                    </w:rPr>
                    <w:t>服务人员的劳动保障制度、工资待遇、福利保障措施等的得</w:t>
                  </w:r>
                  <w:r>
                    <w:rPr>
                      <w:rFonts w:hint="eastAsia" w:ascii="宋体" w:hAnsi="宋体" w:cs="宋体"/>
                      <w:color w:val="auto"/>
                      <w:spacing w:val="-2"/>
                      <w:sz w:val="24"/>
                      <w:szCs w:val="24"/>
                      <w:highlight w:val="none"/>
                      <w:lang w:val="en-US" w:eastAsia="zh-CN" w:bidi="ar-SA"/>
                    </w:rPr>
                    <w:t>3</w:t>
                  </w:r>
                  <w:r>
                    <w:rPr>
                      <w:rFonts w:hint="eastAsia" w:ascii="宋体" w:hAnsi="宋体" w:eastAsia="宋体" w:cs="宋体"/>
                      <w:color w:val="auto"/>
                      <w:spacing w:val="-2"/>
                      <w:sz w:val="24"/>
                      <w:szCs w:val="24"/>
                      <w:highlight w:val="none"/>
                      <w:lang w:val="en-US" w:eastAsia="zh-Hans" w:bidi="ar-SA"/>
                    </w:rPr>
                    <w:t>分，否则不得分。</w:t>
                  </w:r>
                </w:p>
              </w:tc>
              <w:tc>
                <w:tcPr>
                  <w:tcW w:w="706" w:type="dxa"/>
                  <w:noWrap w:val="0"/>
                  <w:vAlign w:val="center"/>
                </w:tcPr>
                <w:p w14:paraId="4B5E73A3">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32667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36" w:type="dxa"/>
                  <w:noWrap w:val="0"/>
                  <w:vAlign w:val="center"/>
                </w:tcPr>
                <w:p w14:paraId="578BF682">
                  <w:pPr>
                    <w:pStyle w:val="155"/>
                    <w:spacing w:line="360" w:lineRule="auto"/>
                    <w:jc w:val="center"/>
                    <w:rPr>
                      <w:rFonts w:hint="default" w:ascii="宋体" w:hAnsi="宋体" w:eastAsia="宋体" w:cs="宋体"/>
                      <w:color w:val="auto"/>
                      <w:kern w:val="10"/>
                      <w:sz w:val="24"/>
                      <w:szCs w:val="24"/>
                      <w:highlight w:val="none"/>
                      <w:lang w:val="en-US" w:eastAsia="zh-CN"/>
                    </w:rPr>
                  </w:pPr>
                  <w:r>
                    <w:rPr>
                      <w:rFonts w:hint="eastAsia" w:ascii="宋体" w:hAnsi="宋体" w:eastAsia="宋体" w:cs="宋体"/>
                      <w:color w:val="auto"/>
                      <w:kern w:val="10"/>
                      <w:sz w:val="24"/>
                      <w:szCs w:val="24"/>
                      <w:highlight w:val="none"/>
                      <w:lang w:val="en-US" w:eastAsia="zh-CN"/>
                    </w:rPr>
                    <w:t>1-</w:t>
                  </w:r>
                  <w:r>
                    <w:rPr>
                      <w:rFonts w:hint="eastAsia" w:ascii="宋体" w:hAnsi="宋体" w:cs="宋体"/>
                      <w:color w:val="auto"/>
                      <w:kern w:val="10"/>
                      <w:sz w:val="24"/>
                      <w:szCs w:val="24"/>
                      <w:highlight w:val="none"/>
                      <w:lang w:val="en-US" w:eastAsia="zh-CN"/>
                    </w:rPr>
                    <w:t>14</w:t>
                  </w:r>
                </w:p>
              </w:tc>
              <w:tc>
                <w:tcPr>
                  <w:tcW w:w="1193" w:type="dxa"/>
                  <w:noWrap w:val="0"/>
                  <w:vAlign w:val="center"/>
                </w:tcPr>
                <w:p w14:paraId="0D1585E4">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服务承诺</w:t>
                  </w:r>
                </w:p>
              </w:tc>
              <w:tc>
                <w:tcPr>
                  <w:tcW w:w="6735" w:type="dxa"/>
                  <w:noWrap w:val="0"/>
                  <w:vAlign w:val="center"/>
                </w:tcPr>
                <w:p w14:paraId="1FE87F50">
                  <w:pPr>
                    <w:keepNext w:val="0"/>
                    <w:keepLines w:val="0"/>
                    <w:pageBreakBefore w:val="0"/>
                    <w:widowControl/>
                    <w:kinsoku/>
                    <w:wordWrap/>
                    <w:overflowPunct/>
                    <w:topLinePunct w:val="0"/>
                    <w:autoSpaceDE/>
                    <w:autoSpaceDN/>
                    <w:bidi w:val="0"/>
                    <w:adjustRightInd/>
                    <w:snapToGrid/>
                    <w:spacing w:line="360" w:lineRule="auto"/>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
                      <w:sz w:val="24"/>
                      <w:szCs w:val="24"/>
                      <w:highlight w:val="none"/>
                      <w:lang w:val="en-US" w:eastAsia="zh-CN" w:bidi="ar-SA"/>
                    </w:rPr>
                    <w:t>投标人承诺：在项目运维过程中能够接受招标人提出的合理意见并接受招标人监督</w:t>
                  </w:r>
                  <w:r>
                    <w:rPr>
                      <w:rFonts w:hint="eastAsia" w:ascii="宋体" w:hAnsi="宋体" w:eastAsia="宋体" w:cs="宋体"/>
                      <w:color w:val="auto"/>
                      <w:spacing w:val="-2"/>
                      <w:sz w:val="24"/>
                      <w:szCs w:val="24"/>
                      <w:highlight w:val="none"/>
                      <w:lang w:val="en-US" w:eastAsia="zh-Hans" w:bidi="ar-SA"/>
                    </w:rPr>
                    <w:t>，投标人</w:t>
                  </w:r>
                  <w:r>
                    <w:rPr>
                      <w:rFonts w:hint="eastAsia" w:ascii="宋体" w:hAnsi="宋体" w:eastAsia="宋体" w:cs="宋体"/>
                      <w:color w:val="auto"/>
                      <w:spacing w:val="-2"/>
                      <w:sz w:val="24"/>
                      <w:szCs w:val="24"/>
                      <w:highlight w:val="none"/>
                      <w:lang w:val="en-US" w:eastAsia="zh-CN" w:bidi="ar-SA"/>
                    </w:rPr>
                    <w:t>应</w:t>
                  </w:r>
                  <w:r>
                    <w:rPr>
                      <w:rFonts w:hint="eastAsia" w:ascii="宋体" w:hAnsi="宋体" w:eastAsia="宋体" w:cs="宋体"/>
                      <w:color w:val="auto"/>
                      <w:spacing w:val="-2"/>
                      <w:sz w:val="24"/>
                      <w:szCs w:val="24"/>
                      <w:highlight w:val="none"/>
                      <w:lang w:val="en-US" w:eastAsia="zh-Hans" w:bidi="ar-SA"/>
                    </w:rPr>
                    <w:t>对此提供书面承诺函（格式自拟），满足要求的得2分，否则不得分。</w:t>
                  </w:r>
                </w:p>
              </w:tc>
              <w:tc>
                <w:tcPr>
                  <w:tcW w:w="706" w:type="dxa"/>
                  <w:noWrap w:val="0"/>
                  <w:vAlign w:val="center"/>
                </w:tcPr>
                <w:p w14:paraId="7AC21FB8">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r>
          </w:tbl>
          <w:p w14:paraId="62127F4B">
            <w:pPr>
              <w:spacing w:line="360" w:lineRule="auto"/>
              <w:rPr>
                <w:color w:val="auto"/>
                <w:highlight w:val="none"/>
              </w:rPr>
            </w:pPr>
          </w:p>
          <w:p w14:paraId="25CEC70C">
            <w:pPr>
              <w:numPr>
                <w:ilvl w:val="0"/>
                <w:numId w:val="4"/>
              </w:num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商务因素F2（满分</w:t>
            </w:r>
            <w:r>
              <w:rPr>
                <w:rFonts w:hint="eastAsia" w:asciiTheme="majorEastAsia" w:hAnsiTheme="majorEastAsia" w:eastAsiaTheme="majorEastAsia"/>
                <w:b/>
                <w:color w:val="auto"/>
                <w:sz w:val="24"/>
                <w:highlight w:val="none"/>
                <w:lang w:val="en-US" w:eastAsia="zh-CN"/>
              </w:rPr>
              <w:t>15</w:t>
            </w:r>
            <w:r>
              <w:rPr>
                <w:rFonts w:hint="eastAsia" w:asciiTheme="majorEastAsia" w:hAnsiTheme="majorEastAsia" w:eastAsiaTheme="majorEastAsia"/>
                <w:b/>
                <w:color w:val="auto"/>
                <w:sz w:val="24"/>
                <w:highlight w:val="none"/>
              </w:rPr>
              <w:t>分）。</w:t>
            </w:r>
          </w:p>
          <w:tbl>
            <w:tblPr>
              <w:tblStyle w:val="51"/>
              <w:tblW w:w="993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00"/>
              <w:gridCol w:w="1189"/>
              <w:gridCol w:w="7211"/>
              <w:gridCol w:w="733"/>
            </w:tblGrid>
            <w:tr w14:paraId="40385D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 w:hRule="atLeast"/>
                <w:tblHeader/>
                <w:jc w:val="center"/>
              </w:trPr>
              <w:tc>
                <w:tcPr>
                  <w:tcW w:w="800" w:type="dxa"/>
                  <w:noWrap w:val="0"/>
                  <w:vAlign w:val="center"/>
                </w:tcPr>
                <w:p w14:paraId="3A806536">
                  <w:pPr>
                    <w:pStyle w:val="165"/>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序号</w:t>
                  </w:r>
                </w:p>
              </w:tc>
              <w:tc>
                <w:tcPr>
                  <w:tcW w:w="1189" w:type="dxa"/>
                  <w:tcBorders>
                    <w:right w:val="single" w:color="auto" w:sz="4" w:space="0"/>
                  </w:tcBorders>
                  <w:noWrap w:val="0"/>
                  <w:vAlign w:val="center"/>
                </w:tcPr>
                <w:p w14:paraId="46004A37">
                  <w:pPr>
                    <w:pStyle w:val="165"/>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评分项目</w:t>
                  </w:r>
                </w:p>
              </w:tc>
              <w:tc>
                <w:tcPr>
                  <w:tcW w:w="7211" w:type="dxa"/>
                  <w:tcBorders>
                    <w:left w:val="single" w:color="auto" w:sz="4" w:space="0"/>
                  </w:tcBorders>
                  <w:noWrap w:val="0"/>
                  <w:vAlign w:val="center"/>
                </w:tcPr>
                <w:p w14:paraId="717EE4CD">
                  <w:pPr>
                    <w:pStyle w:val="165"/>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细则内容</w:t>
                  </w:r>
                </w:p>
              </w:tc>
              <w:tc>
                <w:tcPr>
                  <w:tcW w:w="733" w:type="dxa"/>
                  <w:noWrap w:val="0"/>
                  <w:vAlign w:val="center"/>
                </w:tcPr>
                <w:p w14:paraId="4DB84651">
                  <w:pPr>
                    <w:pStyle w:val="165"/>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满分</w:t>
                  </w:r>
                </w:p>
              </w:tc>
            </w:tr>
            <w:tr w14:paraId="3685F4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3" w:hRule="atLeast"/>
                <w:jc w:val="center"/>
              </w:trPr>
              <w:tc>
                <w:tcPr>
                  <w:tcW w:w="800" w:type="dxa"/>
                  <w:noWrap w:val="0"/>
                  <w:vAlign w:val="center"/>
                </w:tcPr>
                <w:p w14:paraId="0DA26B77">
                  <w:pPr>
                    <w:pStyle w:val="21"/>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1189" w:type="dxa"/>
                  <w:tcBorders>
                    <w:bottom w:val="single" w:color="auto" w:sz="4" w:space="0"/>
                    <w:right w:val="single" w:color="auto" w:sz="4" w:space="0"/>
                  </w:tcBorders>
                  <w:noWrap w:val="0"/>
                  <w:vAlign w:val="center"/>
                </w:tcPr>
                <w:p w14:paraId="171F61D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投标人企业资质</w:t>
                  </w:r>
                </w:p>
                <w:p w14:paraId="5CE42DC0">
                  <w:pPr>
                    <w:spacing w:line="360" w:lineRule="auto"/>
                    <w:jc w:val="center"/>
                    <w:rPr>
                      <w:rFonts w:hint="eastAsia" w:ascii="宋体" w:hAnsi="宋体" w:eastAsia="宋体" w:cs="宋体"/>
                      <w:color w:val="auto"/>
                      <w:sz w:val="24"/>
                      <w:highlight w:val="none"/>
                    </w:rPr>
                  </w:pPr>
                </w:p>
              </w:tc>
              <w:tc>
                <w:tcPr>
                  <w:tcW w:w="7211" w:type="dxa"/>
                  <w:tcBorders>
                    <w:left w:val="single" w:color="auto" w:sz="4" w:space="0"/>
                    <w:bottom w:val="single" w:color="auto" w:sz="4" w:space="0"/>
                  </w:tcBorders>
                  <w:noWrap w:val="0"/>
                  <w:vAlign w:val="top"/>
                </w:tcPr>
                <w:p w14:paraId="504EEC3E">
                  <w:pPr>
                    <w:numPr>
                      <w:ilvl w:val="0"/>
                      <w:numId w:val="0"/>
                    </w:numPr>
                    <w:spacing w:line="360" w:lineRule="auto"/>
                    <w:ind w:leftChars="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投标人具有有效的履约能力评价服务认证证书、质量管理体系认证证书、环境管理体系认证证书、诚信管理体系认证证书的得3分；具有其中3项的得1.5分，具有其中2项的得0.5分；其余不得分。</w:t>
                  </w:r>
                </w:p>
                <w:p w14:paraId="687EEAD2">
                  <w:pPr>
                    <w:numPr>
                      <w:ilvl w:val="0"/>
                      <w:numId w:val="0"/>
                    </w:numPr>
                    <w:spacing w:line="36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SA"/>
                    </w:rPr>
                    <w:t>注：投标人应提供证书复印件和在全国认证认可信息公告服务平台http://cx.cnca.cn网站查询截图</w:t>
                  </w:r>
                  <w:r>
                    <w:rPr>
                      <w:rFonts w:hint="eastAsia" w:ascii="宋体" w:hAnsi="宋体" w:cs="宋体"/>
                      <w:color w:val="auto"/>
                      <w:sz w:val="24"/>
                      <w:szCs w:val="24"/>
                      <w:highlight w:val="none"/>
                      <w:lang w:val="en-US" w:eastAsia="zh-CN" w:bidi="ar-SA"/>
                    </w:rPr>
                    <w:t>，</w:t>
                  </w:r>
                  <w:r>
                    <w:rPr>
                      <w:rFonts w:hint="eastAsia" w:ascii="宋体" w:hAnsi="宋体" w:eastAsia="宋体" w:cs="宋体"/>
                      <w:color w:val="auto"/>
                      <w:sz w:val="24"/>
                      <w:szCs w:val="24"/>
                      <w:highlight w:val="none"/>
                      <w:lang w:val="en-US" w:eastAsia="zh-CN" w:bidi="ar-SA"/>
                    </w:rPr>
                    <w:t>证书状态</w:t>
                  </w:r>
                  <w:r>
                    <w:rPr>
                      <w:rFonts w:hint="eastAsia" w:ascii="宋体" w:hAnsi="宋体" w:cs="宋体"/>
                      <w:color w:val="auto"/>
                      <w:sz w:val="24"/>
                      <w:szCs w:val="24"/>
                      <w:highlight w:val="none"/>
                      <w:lang w:val="en-US" w:eastAsia="zh-CN" w:bidi="ar-SA"/>
                    </w:rPr>
                    <w:t>应</w:t>
                  </w:r>
                  <w:r>
                    <w:rPr>
                      <w:rFonts w:hint="eastAsia" w:ascii="宋体" w:hAnsi="宋体" w:eastAsia="宋体" w:cs="宋体"/>
                      <w:color w:val="auto"/>
                      <w:sz w:val="24"/>
                      <w:szCs w:val="24"/>
                      <w:highlight w:val="none"/>
                      <w:lang w:val="en-US" w:eastAsia="zh-CN" w:bidi="ar-SA"/>
                    </w:rPr>
                    <w:t>为“有效”，否则不得分。</w:t>
                  </w:r>
                </w:p>
              </w:tc>
              <w:tc>
                <w:tcPr>
                  <w:tcW w:w="733" w:type="dxa"/>
                  <w:noWrap w:val="0"/>
                  <w:vAlign w:val="center"/>
                </w:tcPr>
                <w:p w14:paraId="4CCE9DDC">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r>
            <w:tr w14:paraId="7669E5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88" w:hRule="atLeast"/>
                <w:jc w:val="center"/>
              </w:trPr>
              <w:tc>
                <w:tcPr>
                  <w:tcW w:w="800" w:type="dxa"/>
                  <w:noWrap w:val="0"/>
                  <w:vAlign w:val="center"/>
                </w:tcPr>
                <w:p w14:paraId="65B8CF12">
                  <w:pPr>
                    <w:pStyle w:val="21"/>
                    <w:spacing w:line="360" w:lineRule="auto"/>
                    <w:ind w:left="0" w:leftChars="0" w:firstLine="0" w:firstLineChars="0"/>
                    <w:jc w:val="center"/>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2-2</w:t>
                  </w:r>
                </w:p>
              </w:tc>
              <w:tc>
                <w:tcPr>
                  <w:tcW w:w="1189" w:type="dxa"/>
                  <w:tcBorders>
                    <w:top w:val="single" w:color="auto" w:sz="4" w:space="0"/>
                    <w:bottom w:val="single" w:color="auto" w:sz="4" w:space="0"/>
                    <w:right w:val="single" w:color="auto" w:sz="4" w:space="0"/>
                  </w:tcBorders>
                  <w:noWrap w:val="0"/>
                  <w:vAlign w:val="center"/>
                </w:tcPr>
                <w:p w14:paraId="5A249037">
                  <w:pP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投标人企业</w:t>
                  </w:r>
                  <w:r>
                    <w:rPr>
                      <w:rFonts w:hint="eastAsia" w:ascii="宋体" w:hAnsi="宋体" w:cs="宋体"/>
                      <w:color w:val="auto"/>
                      <w:sz w:val="24"/>
                      <w:highlight w:val="none"/>
                      <w:lang w:val="en-US" w:eastAsia="zh-CN"/>
                    </w:rPr>
                    <w:t>能力</w:t>
                  </w:r>
                </w:p>
              </w:tc>
              <w:tc>
                <w:tcPr>
                  <w:tcW w:w="7211" w:type="dxa"/>
                  <w:tcBorders>
                    <w:left w:val="single" w:color="auto" w:sz="4" w:space="0"/>
                    <w:bottom w:val="single" w:color="auto" w:sz="4" w:space="0"/>
                  </w:tcBorders>
                  <w:noWrap w:val="0"/>
                  <w:vAlign w:val="top"/>
                </w:tcPr>
                <w:p w14:paraId="5D8E5A64">
                  <w:pPr>
                    <w:pStyle w:val="304"/>
                    <w:spacing w:before="1" w:line="360" w:lineRule="auto"/>
                    <w:ind w:left="0" w:leftChars="0" w:right="0" w:rightChars="0"/>
                    <w:rPr>
                      <w:rFonts w:hint="eastAsia" w:ascii="宋体" w:hAnsi="宋体" w:eastAsia="宋体" w:cs="宋体"/>
                      <w:color w:val="auto"/>
                      <w:kern w:val="2"/>
                      <w:sz w:val="24"/>
                      <w:szCs w:val="24"/>
                      <w:highlight w:val="none"/>
                    </w:rPr>
                  </w:pPr>
                  <w:r>
                    <w:rPr>
                      <w:rFonts w:hint="eastAsia" w:ascii="宋体" w:hAnsi="宋体" w:eastAsia="宋体" w:cs="宋体"/>
                      <w:color w:val="auto"/>
                      <w:sz w:val="24"/>
                      <w:highlight w:val="none"/>
                    </w:rPr>
                    <w:t>投标人</w:t>
                  </w:r>
                  <w:r>
                    <w:rPr>
                      <w:rFonts w:hint="eastAsia" w:cs="宋体"/>
                      <w:color w:val="auto"/>
                      <w:sz w:val="24"/>
                      <w:highlight w:val="none"/>
                      <w:lang w:val="en-US" w:eastAsia="zh-CN"/>
                    </w:rPr>
                    <w:t>参与</w:t>
                  </w:r>
                  <w:r>
                    <w:rPr>
                      <w:rFonts w:hint="eastAsia" w:ascii="宋体" w:hAnsi="宋体" w:eastAsia="宋体" w:cs="宋体"/>
                      <w:color w:val="auto"/>
                      <w:sz w:val="24"/>
                      <w:highlight w:val="none"/>
                    </w:rPr>
                    <w:t>起草工业水处理设施运行类国家标准</w:t>
                  </w:r>
                  <w:r>
                    <w:rPr>
                      <w:rFonts w:hint="eastAsia" w:cs="宋体"/>
                      <w:color w:val="auto"/>
                      <w:sz w:val="24"/>
                      <w:highlight w:val="none"/>
                      <w:lang w:val="en-US" w:eastAsia="zh-CN"/>
                    </w:rPr>
                    <w:t>的</w:t>
                  </w:r>
                  <w:r>
                    <w:rPr>
                      <w:rFonts w:hint="eastAsia" w:ascii="宋体" w:hAnsi="宋体" w:eastAsia="宋体" w:cs="宋体"/>
                      <w:color w:val="auto"/>
                      <w:sz w:val="24"/>
                      <w:highlight w:val="none"/>
                    </w:rPr>
                    <w:t>得3分，需提供有效证明材料，否则不得分。</w:t>
                  </w:r>
                </w:p>
              </w:tc>
              <w:tc>
                <w:tcPr>
                  <w:tcW w:w="733" w:type="dxa"/>
                  <w:noWrap w:val="0"/>
                  <w:vAlign w:val="center"/>
                </w:tcPr>
                <w:p w14:paraId="5E4858D6">
                  <w:pPr>
                    <w:spacing w:line="360" w:lineRule="auto"/>
                    <w:jc w:val="center"/>
                    <w:rPr>
                      <w:rFonts w:hint="default"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val="en-US" w:eastAsia="zh-CN"/>
                    </w:rPr>
                    <w:t>3</w:t>
                  </w:r>
                </w:p>
              </w:tc>
            </w:tr>
            <w:tr w14:paraId="346D28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1" w:hRule="atLeast"/>
                <w:jc w:val="center"/>
              </w:trPr>
              <w:tc>
                <w:tcPr>
                  <w:tcW w:w="800" w:type="dxa"/>
                  <w:noWrap w:val="0"/>
                  <w:vAlign w:val="center"/>
                </w:tcPr>
                <w:p w14:paraId="342FD3C9">
                  <w:pPr>
                    <w:pStyle w:val="21"/>
                    <w:spacing w:line="360" w:lineRule="auto"/>
                    <w:ind w:left="0" w:lef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p>
              </w:tc>
              <w:tc>
                <w:tcPr>
                  <w:tcW w:w="1189" w:type="dxa"/>
                  <w:tcBorders>
                    <w:top w:val="single" w:color="auto" w:sz="4" w:space="0"/>
                    <w:bottom w:val="single" w:color="auto" w:sz="4" w:space="0"/>
                    <w:right w:val="single" w:color="auto" w:sz="4" w:space="0"/>
                  </w:tcBorders>
                  <w:noWrap w:val="0"/>
                  <w:vAlign w:val="center"/>
                </w:tcPr>
                <w:p w14:paraId="41FB7D63">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投标人企业实力</w:t>
                  </w:r>
                </w:p>
              </w:tc>
              <w:tc>
                <w:tcPr>
                  <w:tcW w:w="7211" w:type="dxa"/>
                  <w:tcBorders>
                    <w:left w:val="single" w:color="auto" w:sz="4" w:space="0"/>
                    <w:bottom w:val="single" w:color="auto" w:sz="4" w:space="0"/>
                  </w:tcBorders>
                  <w:noWrap w:val="0"/>
                  <w:vAlign w:val="top"/>
                </w:tcPr>
                <w:p w14:paraId="0DF6B7D6">
                  <w:pPr>
                    <w:pStyle w:val="304"/>
                    <w:spacing w:before="1" w:line="360" w:lineRule="auto"/>
                    <w:ind w:left="0" w:leftChars="0" w:right="95" w:rightChars="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根据投标人提供的国家知识产权局颁发的拟应用于本项目且与水处理内容相关的</w:t>
                  </w:r>
                  <w:r>
                    <w:rPr>
                      <w:rFonts w:hint="eastAsia" w:ascii="宋体" w:hAnsi="宋体" w:eastAsia="宋体" w:cs="宋体"/>
                      <w:color w:val="auto"/>
                      <w:sz w:val="24"/>
                      <w:highlight w:val="none"/>
                      <w:lang w:val="en-US" w:eastAsia="zh-CN"/>
                    </w:rPr>
                    <w:t>专利证书</w:t>
                  </w:r>
                  <w:r>
                    <w:rPr>
                      <w:rFonts w:hint="eastAsia" w:ascii="宋体" w:hAnsi="宋体" w:eastAsia="宋体" w:cs="宋体"/>
                      <w:color w:val="auto"/>
                      <w:sz w:val="24"/>
                      <w:highlight w:val="none"/>
                    </w:rPr>
                    <w:t>进行评价：每</w:t>
                  </w:r>
                  <w:r>
                    <w:rPr>
                      <w:rFonts w:hint="eastAsia" w:ascii="宋体" w:hAnsi="宋体" w:eastAsia="宋体" w:cs="宋体"/>
                      <w:color w:val="auto"/>
                      <w:sz w:val="24"/>
                      <w:highlight w:val="none"/>
                      <w:lang w:val="en-US" w:eastAsia="zh-CN"/>
                    </w:rPr>
                    <w:t>提供一个</w:t>
                  </w:r>
                  <w:r>
                    <w:rPr>
                      <w:rFonts w:hint="eastAsia" w:ascii="宋体" w:hAnsi="宋体" w:eastAsia="宋体" w:cs="宋体"/>
                      <w:color w:val="auto"/>
                      <w:sz w:val="24"/>
                      <w:highlight w:val="none"/>
                    </w:rPr>
                    <w:t>得</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分，满分</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分。投标人专利证书应为投标人自身所有，投标人应提供证书有效复印件并加盖投标人公章，否则不得分。</w:t>
                  </w:r>
                </w:p>
              </w:tc>
              <w:tc>
                <w:tcPr>
                  <w:tcW w:w="733" w:type="dxa"/>
                  <w:noWrap w:val="0"/>
                  <w:vAlign w:val="center"/>
                </w:tcPr>
                <w:p w14:paraId="6F2F2AFA">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721544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8" w:hRule="atLeast"/>
                <w:jc w:val="center"/>
              </w:trPr>
              <w:tc>
                <w:tcPr>
                  <w:tcW w:w="800" w:type="dxa"/>
                  <w:noWrap w:val="0"/>
                  <w:vAlign w:val="center"/>
                </w:tcPr>
                <w:p w14:paraId="21403986">
                  <w:pPr>
                    <w:pStyle w:val="21"/>
                    <w:spacing w:line="360" w:lineRule="auto"/>
                    <w:ind w:left="0" w:leftChars="0"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p>
              </w:tc>
              <w:tc>
                <w:tcPr>
                  <w:tcW w:w="1189" w:type="dxa"/>
                  <w:tcBorders>
                    <w:bottom w:val="single" w:color="auto" w:sz="4" w:space="0"/>
                    <w:right w:val="single" w:color="auto" w:sz="4" w:space="0"/>
                  </w:tcBorders>
                  <w:noWrap w:val="0"/>
                  <w:vAlign w:val="center"/>
                </w:tcPr>
                <w:p w14:paraId="0F62C93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无处罚承诺</w:t>
                  </w:r>
                </w:p>
              </w:tc>
              <w:tc>
                <w:tcPr>
                  <w:tcW w:w="7211" w:type="dxa"/>
                  <w:tcBorders>
                    <w:left w:val="single" w:color="auto" w:sz="4" w:space="0"/>
                    <w:bottom w:val="single" w:color="auto" w:sz="4" w:space="0"/>
                  </w:tcBorders>
                  <w:noWrap w:val="0"/>
                  <w:vAlign w:val="top"/>
                </w:tcPr>
                <w:p w14:paraId="49234DF5">
                  <w:pPr>
                    <w:pStyle w:val="304"/>
                    <w:spacing w:before="1"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投标人承诺</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无行政处罚及环保处罚记录（不属于拒绝投标范围的处罚）</w:t>
                  </w:r>
                  <w:r>
                    <w:rPr>
                      <w:rFonts w:hint="eastAsia" w:ascii="宋体" w:hAnsi="宋体" w:eastAsia="宋体" w:cs="宋体"/>
                      <w:color w:val="auto"/>
                      <w:spacing w:val="-2"/>
                      <w:sz w:val="24"/>
                      <w:szCs w:val="24"/>
                      <w:highlight w:val="none"/>
                      <w:lang w:val="en-US" w:eastAsia="zh-Hans" w:bidi="ar-SA"/>
                    </w:rPr>
                    <w:t>，投标人</w:t>
                  </w:r>
                  <w:r>
                    <w:rPr>
                      <w:rFonts w:hint="eastAsia" w:ascii="宋体" w:hAnsi="宋体" w:eastAsia="宋体" w:cs="宋体"/>
                      <w:color w:val="auto"/>
                      <w:spacing w:val="-2"/>
                      <w:sz w:val="24"/>
                      <w:szCs w:val="24"/>
                      <w:highlight w:val="none"/>
                      <w:lang w:val="en-US" w:eastAsia="zh-CN" w:bidi="ar-SA"/>
                    </w:rPr>
                    <w:t>应</w:t>
                  </w:r>
                  <w:r>
                    <w:rPr>
                      <w:rFonts w:hint="eastAsia" w:ascii="宋体" w:hAnsi="宋体" w:eastAsia="宋体" w:cs="宋体"/>
                      <w:color w:val="auto"/>
                      <w:spacing w:val="-2"/>
                      <w:sz w:val="24"/>
                      <w:szCs w:val="24"/>
                      <w:highlight w:val="none"/>
                      <w:lang w:val="en-US" w:eastAsia="zh-Hans" w:bidi="ar-SA"/>
                    </w:rPr>
                    <w:t>对此提供书面承诺函（格式自拟），满足要求的得</w:t>
                  </w:r>
                  <w:r>
                    <w:rPr>
                      <w:rFonts w:hint="eastAsia" w:cs="宋体"/>
                      <w:color w:val="auto"/>
                      <w:spacing w:val="-2"/>
                      <w:sz w:val="24"/>
                      <w:szCs w:val="24"/>
                      <w:highlight w:val="none"/>
                      <w:lang w:val="en-US" w:eastAsia="zh-CN" w:bidi="ar-SA"/>
                    </w:rPr>
                    <w:t>3</w:t>
                  </w:r>
                  <w:r>
                    <w:rPr>
                      <w:rFonts w:hint="eastAsia" w:ascii="宋体" w:hAnsi="宋体" w:eastAsia="宋体" w:cs="宋体"/>
                      <w:color w:val="auto"/>
                      <w:spacing w:val="-2"/>
                      <w:sz w:val="24"/>
                      <w:szCs w:val="24"/>
                      <w:highlight w:val="none"/>
                      <w:lang w:val="en-US" w:eastAsia="zh-Hans" w:bidi="ar-SA"/>
                    </w:rPr>
                    <w:t>分，否则不得分。</w:t>
                  </w:r>
                </w:p>
              </w:tc>
              <w:tc>
                <w:tcPr>
                  <w:tcW w:w="733" w:type="dxa"/>
                  <w:noWrap w:val="0"/>
                  <w:vAlign w:val="center"/>
                </w:tcPr>
                <w:p w14:paraId="74D5BBCA">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r>
            <w:tr w14:paraId="189C47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8" w:hRule="atLeast"/>
                <w:jc w:val="center"/>
              </w:trPr>
              <w:tc>
                <w:tcPr>
                  <w:tcW w:w="800" w:type="dxa"/>
                  <w:noWrap w:val="0"/>
                  <w:vAlign w:val="center"/>
                </w:tcPr>
                <w:p w14:paraId="034A5112">
                  <w:pPr>
                    <w:pStyle w:val="21"/>
                    <w:spacing w:line="360" w:lineRule="auto"/>
                    <w:ind w:left="0" w:leftChars="0" w:firstLine="0" w:firstLineChars="0"/>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p>
              </w:tc>
              <w:tc>
                <w:tcPr>
                  <w:tcW w:w="1189" w:type="dxa"/>
                  <w:tcBorders>
                    <w:bottom w:val="single" w:color="auto" w:sz="4" w:space="0"/>
                    <w:right w:val="single" w:color="auto" w:sz="4" w:space="0"/>
                  </w:tcBorders>
                  <w:noWrap w:val="0"/>
                  <w:vAlign w:val="center"/>
                </w:tcPr>
                <w:p w14:paraId="75FD1255">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投标人业绩</w:t>
                  </w:r>
                </w:p>
              </w:tc>
              <w:tc>
                <w:tcPr>
                  <w:tcW w:w="7211" w:type="dxa"/>
                  <w:tcBorders>
                    <w:left w:val="single" w:color="auto" w:sz="4" w:space="0"/>
                    <w:bottom w:val="single" w:color="auto" w:sz="4" w:space="0"/>
                  </w:tcBorders>
                  <w:noWrap w:val="0"/>
                  <w:vAlign w:val="top"/>
                </w:tcPr>
                <w:p w14:paraId="5C991532">
                  <w:pPr>
                    <w:pStyle w:val="304"/>
                    <w:spacing w:before="1"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pacing w:val="-2"/>
                      <w:sz w:val="24"/>
                      <w:highlight w:val="none"/>
                      <w:lang w:val="en-US" w:eastAsia="zh-CN"/>
                    </w:rPr>
                    <w:t>根据投标人2021年1月1日（以签订合同时间为准）</w:t>
                  </w:r>
                  <w:r>
                    <w:rPr>
                      <w:rFonts w:hint="eastAsia" w:ascii="宋体" w:hAnsi="宋体" w:eastAsia="宋体" w:cs="宋体"/>
                      <w:color w:val="auto"/>
                      <w:sz w:val="24"/>
                      <w:highlight w:val="none"/>
                    </w:rPr>
                    <w:t>以来具有电子</w:t>
                  </w:r>
                  <w:r>
                    <w:rPr>
                      <w:rFonts w:hint="eastAsia" w:cs="宋体"/>
                      <w:color w:val="auto"/>
                      <w:sz w:val="24"/>
                      <w:highlight w:val="none"/>
                      <w:lang w:val="en-US" w:eastAsia="zh-CN"/>
                    </w:rPr>
                    <w:t>或半导体</w:t>
                  </w:r>
                  <w:r>
                    <w:rPr>
                      <w:rFonts w:hint="eastAsia" w:ascii="宋体" w:hAnsi="宋体" w:eastAsia="宋体" w:cs="宋体"/>
                      <w:color w:val="auto"/>
                      <w:sz w:val="24"/>
                      <w:highlight w:val="none"/>
                    </w:rPr>
                    <w:t>工业废水</w:t>
                  </w:r>
                  <w:r>
                    <w:rPr>
                      <w:rFonts w:hint="eastAsia" w:cs="宋体"/>
                      <w:color w:val="auto"/>
                      <w:sz w:val="24"/>
                      <w:highlight w:val="none"/>
                      <w:lang w:val="en-US" w:eastAsia="zh-CN"/>
                    </w:rPr>
                    <w:t>类</w:t>
                  </w:r>
                  <w:r>
                    <w:rPr>
                      <w:rFonts w:hint="eastAsia" w:ascii="宋体" w:hAnsi="宋体" w:eastAsia="宋体" w:cs="宋体"/>
                      <w:color w:val="auto"/>
                      <w:sz w:val="24"/>
                      <w:highlight w:val="none"/>
                    </w:rPr>
                    <w:t>项目运营管理业绩</w:t>
                  </w:r>
                  <w:r>
                    <w:rPr>
                      <w:rFonts w:hint="eastAsia" w:ascii="宋体" w:hAnsi="宋体" w:eastAsia="宋体" w:cs="宋体"/>
                      <w:color w:val="auto"/>
                      <w:sz w:val="24"/>
                      <w:highlight w:val="none"/>
                      <w:lang w:val="en-US" w:eastAsia="zh-CN"/>
                    </w:rPr>
                    <w:t>的：每提供一个</w:t>
                  </w:r>
                  <w:r>
                    <w:rPr>
                      <w:rFonts w:hint="eastAsia" w:ascii="宋体" w:hAnsi="宋体" w:eastAsia="宋体" w:cs="宋体"/>
                      <w:color w:val="auto"/>
                      <w:sz w:val="24"/>
                      <w:highlight w:val="none"/>
                    </w:rPr>
                    <w:t>得3分，</w:t>
                  </w:r>
                  <w:r>
                    <w:rPr>
                      <w:rFonts w:hint="eastAsia" w:ascii="宋体" w:hAnsi="宋体" w:eastAsia="宋体" w:cs="宋体"/>
                      <w:color w:val="auto"/>
                      <w:sz w:val="24"/>
                      <w:highlight w:val="none"/>
                      <w:lang w:val="en-US" w:eastAsia="zh-CN"/>
                    </w:rPr>
                    <w:t>满分3分</w:t>
                  </w:r>
                  <w:r>
                    <w:rPr>
                      <w:rFonts w:hint="eastAsia" w:ascii="宋体" w:hAnsi="宋体" w:eastAsia="宋体" w:cs="宋体"/>
                      <w:color w:val="auto"/>
                      <w:spacing w:val="-2"/>
                      <w:sz w:val="24"/>
                      <w:highlight w:val="none"/>
                      <w:lang w:val="en-US" w:eastAsia="zh-CN"/>
                    </w:rPr>
                    <w:t>。投标人须提供该业绩项目以下资料复印件(原件备查)：①中标(成交)公告(提供相关网站成交或成交公告的下载网页及其网址)；②中标(成交)通知书；③采购合同文本；④业绩项目已经验收合格的相关证明文件。如未按照以上要求提供该项目业绩完整资料的，评标委员会对该项业绩将不予采信。（招标文件</w:t>
                  </w:r>
                  <w:r>
                    <w:rPr>
                      <w:rFonts w:hint="eastAsia" w:ascii="宋体" w:hAnsi="宋体" w:cs="宋体"/>
                      <w:color w:val="auto"/>
                      <w:sz w:val="24"/>
                      <w:szCs w:val="24"/>
                      <w:highlight w:val="none"/>
                    </w:rPr>
                    <w:t>特定资格</w:t>
                  </w:r>
                  <w:r>
                    <w:rPr>
                      <w:rFonts w:hint="eastAsia" w:ascii="宋体" w:hAnsi="宋体" w:eastAsia="宋体" w:cs="宋体"/>
                      <w:color w:val="auto"/>
                      <w:spacing w:val="-2"/>
                      <w:sz w:val="24"/>
                      <w:highlight w:val="none"/>
                      <w:lang w:val="en-US" w:eastAsia="zh-CN"/>
                    </w:rPr>
                    <w:t>的业绩不计入此项业绩得分）</w:t>
                  </w:r>
                </w:p>
              </w:tc>
              <w:tc>
                <w:tcPr>
                  <w:tcW w:w="733" w:type="dxa"/>
                  <w:noWrap w:val="0"/>
                  <w:vAlign w:val="center"/>
                </w:tcPr>
                <w:p w14:paraId="4DEA9BEA">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r>
          </w:tbl>
          <w:p w14:paraId="27DD2E9C">
            <w:pPr>
              <w:spacing w:line="360" w:lineRule="auto"/>
              <w:rPr>
                <w:rFonts w:asciiTheme="majorEastAsia" w:hAnsiTheme="majorEastAsia" w:eastAsiaTheme="majorEastAsia"/>
                <w:b/>
                <w:color w:val="auto"/>
                <w:sz w:val="24"/>
                <w:highlight w:val="none"/>
              </w:rPr>
            </w:pPr>
            <w:r>
              <w:rPr>
                <w:rFonts w:hint="eastAsia" w:asciiTheme="majorEastAsia" w:hAnsiTheme="majorEastAsia" w:eastAsiaTheme="majorEastAsia"/>
                <w:b/>
                <w:color w:val="auto"/>
                <w:sz w:val="24"/>
                <w:highlight w:val="none"/>
              </w:rPr>
              <w:t>3.价格因素F3（满分</w:t>
            </w:r>
            <w:r>
              <w:rPr>
                <w:rFonts w:hint="eastAsia" w:asciiTheme="majorEastAsia" w:hAnsiTheme="majorEastAsia" w:eastAsiaTheme="majorEastAsia"/>
                <w:b/>
                <w:color w:val="auto"/>
                <w:sz w:val="24"/>
                <w:highlight w:val="none"/>
                <w:lang w:val="en-US" w:eastAsia="zh-CN"/>
              </w:rPr>
              <w:t>45</w:t>
            </w:r>
            <w:r>
              <w:rPr>
                <w:rFonts w:hint="eastAsia" w:asciiTheme="majorEastAsia" w:hAnsiTheme="majorEastAsia" w:eastAsiaTheme="majorEastAsia"/>
                <w:b/>
                <w:color w:val="auto"/>
                <w:sz w:val="24"/>
                <w:highlight w:val="none"/>
              </w:rPr>
              <w:t>分）。</w:t>
            </w:r>
          </w:p>
          <w:p w14:paraId="50F7A559">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lang w:val="en-US" w:eastAsia="zh-CN"/>
              </w:rPr>
              <w:t>3.1</w:t>
            </w:r>
            <w:r>
              <w:rPr>
                <w:rFonts w:hint="eastAsia" w:ascii="宋体" w:hAnsi="宋体" w:cs="宋体"/>
                <w:color w:val="auto"/>
                <w:sz w:val="24"/>
                <w:highlight w:val="none"/>
              </w:rPr>
              <w:t xml:space="preserve">评标基准价计算方法： </w:t>
            </w:r>
          </w:p>
          <w:p w14:paraId="7C6AA623">
            <w:pPr>
              <w:spacing w:line="360" w:lineRule="auto"/>
              <w:ind w:firstLine="480" w:firstLineChars="200"/>
              <w:rPr>
                <w:rFonts w:hint="eastAsia" w:ascii="宋体" w:hAnsi="宋体" w:cs="宋体"/>
                <w:color w:val="auto"/>
                <w:sz w:val="24"/>
                <w:highlight w:val="none"/>
              </w:rPr>
            </w:pPr>
            <w:r>
              <w:rPr>
                <w:rFonts w:hint="eastAsia" w:ascii="宋体" w:hAnsi="宋体" w:cs="宋体"/>
                <w:strike w:val="0"/>
                <w:dstrike w:val="0"/>
                <w:color w:val="auto"/>
                <w:sz w:val="24"/>
                <w:highlight w:val="none"/>
              </w:rPr>
              <w:t>①评标基准价=所有有效投标报价去掉最高和最低各N 家后的算术平均值，其中N=1，当有效投标人数量</w:t>
            </w:r>
            <w:r>
              <w:rPr>
                <w:rFonts w:hint="eastAsia" w:ascii="宋体" w:hAnsi="宋体" w:cs="宋体"/>
                <w:color w:val="auto"/>
                <w:sz w:val="24"/>
                <w:highlight w:val="none"/>
              </w:rPr>
              <w:t>等于或少于5家时, N= 0。有效投标报价是指有效投标人的投标报价，有效投标人是指投标文件未被否决的投标人。</w:t>
            </w:r>
          </w:p>
          <w:p w14:paraId="22A5BAA9">
            <w:pPr>
              <w:spacing w:line="360" w:lineRule="auto"/>
              <w:ind w:firstLine="480" w:firstLineChars="200"/>
              <w:rPr>
                <w:rFonts w:hint="eastAsia" w:ascii="宋体" w:hAnsi="宋体" w:cs="宋体"/>
                <w:color w:val="auto"/>
                <w:sz w:val="24"/>
                <w:highlight w:val="none"/>
              </w:rPr>
            </w:pPr>
            <w:r>
              <w:rPr>
                <w:rFonts w:hint="eastAsia" w:ascii="宋体" w:hAnsi="宋体" w:cs="宋体"/>
                <w:strike w:val="0"/>
                <w:dstrike w:val="0"/>
                <w:color w:val="auto"/>
                <w:sz w:val="24"/>
                <w:highlight w:val="none"/>
              </w:rPr>
              <w:t>②</w:t>
            </w:r>
            <w:r>
              <w:rPr>
                <w:rFonts w:hint="eastAsia" w:ascii="宋体" w:hAnsi="宋体" w:cs="宋体"/>
                <w:color w:val="auto"/>
                <w:sz w:val="24"/>
                <w:highlight w:val="none"/>
              </w:rPr>
              <w:t>各有效报价投标人的投标报价得分，按如下公式计算：</w:t>
            </w:r>
          </w:p>
          <w:p w14:paraId="10FFF74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(1)如果投标人的投标报价（如有修正，应为修正后的投标报价）&gt;评标基准价,则评标价得分=45×（1-投标报价的偏差率×E1）；</w:t>
            </w:r>
          </w:p>
          <w:p w14:paraId="24AA672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如果投标人的投标报价（如有修正，应为修正后的投标报价）</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评标基准价,则评标价得分=45×（1+投标报价的偏差率×E2）。其中:E1 是评标价每高于评标基准价一个百分点的扣分值</w:t>
            </w:r>
            <w:r>
              <w:rPr>
                <w:rFonts w:hint="eastAsia" w:ascii="宋体" w:hAnsi="宋体" w:cs="宋体"/>
                <w:color w:val="auto"/>
                <w:sz w:val="24"/>
                <w:highlight w:val="none"/>
                <w:lang w:eastAsia="zh-CN"/>
              </w:rPr>
              <w:t>；</w:t>
            </w:r>
            <w:r>
              <w:rPr>
                <w:rFonts w:hint="eastAsia" w:ascii="宋体" w:hAnsi="宋体" w:cs="宋体"/>
                <w:color w:val="auto"/>
                <w:sz w:val="24"/>
                <w:highlight w:val="none"/>
              </w:rPr>
              <w:t>E2 是评标价每低于评标基准价一个百分点的扣分值。E1=2，E2=1。</w:t>
            </w:r>
          </w:p>
          <w:p w14:paraId="7CFB18A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③评标基准价计算保留小数点后两位，小数点后第三位“四舍五入”。</w:t>
            </w:r>
          </w:p>
          <w:p w14:paraId="6DEB3EA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④投标报价的偏差率</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投标报价</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评标基准价</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评标基准价</w:t>
            </w:r>
            <w:r>
              <w:rPr>
                <w:rFonts w:hint="eastAsia" w:ascii="宋体" w:hAnsi="宋体" w:cs="宋体"/>
                <w:color w:val="auto"/>
                <w:sz w:val="24"/>
                <w:highlight w:val="none"/>
                <w:lang w:eastAsia="zh-CN"/>
              </w:rPr>
              <w:t>。</w:t>
            </w:r>
          </w:p>
          <w:p w14:paraId="6DBC2543">
            <w:pPr>
              <w:spacing w:line="360" w:lineRule="auto"/>
              <w:rPr>
                <w:rFonts w:cs="Arial"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w:t>
            </w:r>
            <w:r>
              <w:rPr>
                <w:rFonts w:hint="eastAsia" w:cs="Arial" w:asciiTheme="majorEastAsia" w:hAnsiTheme="majorEastAsia" w:eastAsiaTheme="majorEastAsia"/>
                <w:color w:val="auto"/>
                <w:sz w:val="24"/>
                <w:highlight w:val="none"/>
              </w:rPr>
              <w:t>对评委技术、商务部分评分结果统计时，进行算术平均计算各有效投标人的技术、商务最终得分。投标人最终</w:t>
            </w:r>
            <w:r>
              <w:rPr>
                <w:rFonts w:hint="eastAsia" w:asciiTheme="majorEastAsia" w:hAnsiTheme="majorEastAsia" w:eastAsiaTheme="majorEastAsia"/>
                <w:color w:val="auto"/>
                <w:sz w:val="24"/>
                <w:highlight w:val="none"/>
              </w:rPr>
              <w:t>总得分F=F1+F2+F3。</w:t>
            </w:r>
          </w:p>
          <w:p w14:paraId="14D9105A">
            <w:pPr>
              <w:snapToGrid w:val="0"/>
              <w:spacing w:line="360" w:lineRule="auto"/>
              <w:rPr>
                <w:rFonts w:hint="eastAsia"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（二）推荐中标候选供应商名单。</w:t>
            </w:r>
          </w:p>
          <w:p w14:paraId="1686806A">
            <w:pPr>
              <w:snapToGrid w:val="0"/>
              <w:spacing w:line="360" w:lineRule="auto"/>
              <w:ind w:firstLine="480" w:firstLineChars="200"/>
              <w:rPr>
                <w:rFonts w:hint="eastAsia"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1.中标候选供应商数量：</w:t>
            </w:r>
            <w:r>
              <w:rPr>
                <w:rFonts w:hint="eastAsia" w:asciiTheme="majorEastAsia" w:hAnsiTheme="majorEastAsia" w:eastAsiaTheme="majorEastAsia"/>
                <w:color w:val="auto"/>
                <w:sz w:val="24"/>
                <w:highlight w:val="none"/>
                <w:u w:val="single"/>
              </w:rPr>
              <w:t>3</w:t>
            </w:r>
            <w:r>
              <w:rPr>
                <w:rFonts w:hint="eastAsia" w:asciiTheme="majorEastAsia" w:hAnsiTheme="majorEastAsia" w:eastAsiaTheme="majorEastAsia"/>
                <w:color w:val="auto"/>
                <w:sz w:val="24"/>
                <w:highlight w:val="none"/>
              </w:rPr>
              <w:t>个。</w:t>
            </w:r>
          </w:p>
          <w:p w14:paraId="4885FA7E">
            <w:pPr>
              <w:snapToGrid w:val="0"/>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中标候选供应商排列顺序。经投标文件初审、澄清有关问题、比较与评价评标程序后，按以下办法推荐中标候选供应商名单的排列顺序：按评审后得分由高到低顺序排列。得分相同的，按投标报价由低到高顺序排列。得分且投标报价相同的，按技术指标优劣顺序排列。以上办法都不能确定排名时，评标委员会根据随机抽取原则确定排名。</w:t>
            </w:r>
          </w:p>
        </w:tc>
      </w:tr>
      <w:tr w14:paraId="6EC2A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9943" w:type="dxa"/>
            <w:tcBorders>
              <w:top w:val="single" w:color="auto" w:sz="4" w:space="0"/>
              <w:left w:val="single" w:color="auto" w:sz="4" w:space="0"/>
              <w:bottom w:val="single" w:color="auto" w:sz="4" w:space="0"/>
              <w:right w:val="single" w:color="auto" w:sz="4" w:space="0"/>
            </w:tcBorders>
          </w:tcPr>
          <w:p w14:paraId="3E6C6333">
            <w:pPr>
              <w:snapToGrid w:val="0"/>
              <w:spacing w:line="360" w:lineRule="auto"/>
              <w:jc w:val="left"/>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三、定标原则：</w:t>
            </w:r>
          </w:p>
          <w:p w14:paraId="1B4A36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结束后，代理机构将在原招标信息发布媒体上对中标候选人进行公示，公示期为3个日历日。投标人或者其他利害关系人对评标结果有异议的，应当在中标候选人公示期间提出，逾期的将不予受理。中标候选人公示期结束，招标人根据评标委员会提出的书面评标报告和推荐的中标候选人，确定中标人，发布中标结果公示并向中标人发出中标通知书。</w:t>
            </w:r>
          </w:p>
          <w:p w14:paraId="62105EFE">
            <w:pPr>
              <w:snapToGrid w:val="0"/>
              <w:spacing w:line="360" w:lineRule="auto"/>
              <w:ind w:firstLine="480" w:firstLineChars="200"/>
              <w:rPr>
                <w:rFonts w:asciiTheme="majorEastAsia" w:hAnsiTheme="majorEastAsia" w:eastAsiaTheme="majorEastAsia"/>
                <w:color w:val="auto"/>
                <w:sz w:val="24"/>
                <w:highlight w:val="none"/>
              </w:rPr>
            </w:pPr>
            <w:r>
              <w:rPr>
                <w:rFonts w:hint="eastAsia" w:ascii="宋体" w:hAnsi="宋体" w:cs="宋体"/>
                <w:color w:val="auto"/>
                <w:sz w:val="24"/>
                <w:highlight w:val="none"/>
              </w:rPr>
              <w:t>2.排名第一的中标候选人放弃中标、因不可抗力不能履行合同、不按照招标文件要求提交履约保证金，或被查实存在影响中标结果的违法行为等情形，不符合中标条件的，招标人可以按照评标委员会提出的中标候选人名单排序，依次确定其他中标候选人为中标人，或重新组织招标。</w:t>
            </w:r>
          </w:p>
        </w:tc>
      </w:tr>
    </w:tbl>
    <w:p w14:paraId="54B27A0D">
      <w:pPr>
        <w:keepNext/>
        <w:pageBreakBefore/>
        <w:spacing w:line="360" w:lineRule="auto"/>
        <w:jc w:val="center"/>
        <w:outlineLvl w:val="1"/>
        <w:rPr>
          <w:rFonts w:asciiTheme="majorEastAsia" w:hAnsiTheme="majorEastAsia" w:eastAsiaTheme="majorEastAsia"/>
          <w:b/>
          <w:color w:val="auto"/>
          <w:sz w:val="28"/>
          <w:szCs w:val="28"/>
          <w:highlight w:val="none"/>
        </w:rPr>
      </w:pPr>
      <w:bookmarkStart w:id="32" w:name="_Toc447204662"/>
      <w:bookmarkStart w:id="33" w:name="_Toc332627317"/>
      <w:bookmarkStart w:id="34" w:name="_Toc32433"/>
      <w:bookmarkStart w:id="35" w:name="_Toc6497"/>
      <w:bookmarkStart w:id="36" w:name="_Toc379988483"/>
      <w:bookmarkStart w:id="37" w:name="_Toc258884492"/>
      <w:r>
        <w:rPr>
          <w:rFonts w:hint="eastAsia" w:asciiTheme="majorEastAsia" w:hAnsiTheme="majorEastAsia" w:eastAsiaTheme="majorEastAsia"/>
          <w:b/>
          <w:color w:val="auto"/>
          <w:sz w:val="28"/>
          <w:szCs w:val="28"/>
          <w:highlight w:val="none"/>
        </w:rPr>
        <w:t>一、说明</w:t>
      </w:r>
      <w:bookmarkEnd w:id="32"/>
      <w:bookmarkEnd w:id="33"/>
      <w:bookmarkEnd w:id="34"/>
      <w:bookmarkEnd w:id="35"/>
      <w:bookmarkEnd w:id="36"/>
      <w:bookmarkEnd w:id="37"/>
    </w:p>
    <w:p w14:paraId="60B0A680">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 适用范围</w:t>
      </w:r>
    </w:p>
    <w:p w14:paraId="4D36611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 本招标文件仅适用于投标邀请中所叙述项目的服务招标。</w:t>
      </w:r>
    </w:p>
    <w:p w14:paraId="4F7A7F69">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2. 定义</w:t>
      </w:r>
    </w:p>
    <w:p w14:paraId="38A82F8A">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2.1 “招标人”系指本次招标项目的业主方。</w:t>
      </w:r>
    </w:p>
    <w:p w14:paraId="74DAD58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2.2 “招标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”系指组织本次招标活动的招标人或招标代理机构。</w:t>
      </w:r>
    </w:p>
    <w:p w14:paraId="5B6CC463">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2.3 “招标代理机构”系指组织本次招标采购项目的厦门市华沧采购招标有限公司。</w:t>
      </w:r>
    </w:p>
    <w:p w14:paraId="65CCDD7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2.4 “投标人”系指购买了本招标文件，且已经提交或者准备提交本次投标文件的制造商或供货商。</w:t>
      </w:r>
    </w:p>
    <w:p w14:paraId="669CEC2B">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2.5 “货物”系指各种形态和种类的物品，包括原材料、燃料、设备、产品等。</w:t>
      </w:r>
    </w:p>
    <w:p w14:paraId="196E769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2.6 “服务”系指安装、调试、技术协助、校准、培训以及其他类似的义务。</w:t>
      </w:r>
    </w:p>
    <w:p w14:paraId="682045AC">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3. 合格的投标人</w:t>
      </w:r>
    </w:p>
    <w:p w14:paraId="679351A6">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3.1 凡有足够能力提供本招标文件所述服务的，符合本招标文件规定资格条件要求的境内供货商或制造商均可能成为合格的投标人。</w:t>
      </w:r>
    </w:p>
    <w:p w14:paraId="37C95C4B">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3.2 投标人应遵守相关法规和规章的规定。</w:t>
      </w:r>
    </w:p>
    <w:p w14:paraId="2282E630">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3.3</w:t>
      </w:r>
      <w:r>
        <w:rPr>
          <w:rFonts w:ascii="宋体" w:hAnsi="宋体" w:cs="宋体"/>
          <w:color w:val="auto"/>
          <w:sz w:val="24"/>
          <w:highlight w:val="none"/>
        </w:rPr>
        <w:t>一个投标人只能提交一个投标文件。单位负责人为同一人或存在直接控股、管理关系的不同供应商，不得同时参加同一合同项下的投标，否则投标无效</w:t>
      </w:r>
      <w:r>
        <w:rPr>
          <w:rFonts w:hint="eastAsia" w:ascii="宋体" w:hAnsi="宋体"/>
          <w:color w:val="auto"/>
          <w:sz w:val="24"/>
          <w:highlight w:val="none"/>
        </w:rPr>
        <w:t>。</w:t>
      </w:r>
    </w:p>
    <w:p w14:paraId="2D03CB45">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3.4 </w:t>
      </w:r>
      <w:r>
        <w:rPr>
          <w:rFonts w:ascii="宋体" w:hAnsi="宋体"/>
          <w:color w:val="auto"/>
          <w:sz w:val="24"/>
          <w:highlight w:val="none"/>
        </w:rPr>
        <w:t xml:space="preserve">投标人不得与本次招标项下设计、编制技术规格和其他文件的公司或提供咨询服务的公司包括其附属机构有任何关联。 </w:t>
      </w:r>
    </w:p>
    <w:p w14:paraId="27393232">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3.5 投标代理人在本招标项目中只能接受一个投标人的委托参加投标。</w:t>
      </w:r>
    </w:p>
    <w:p w14:paraId="3DB85BE9">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4. 投标费用</w:t>
      </w:r>
    </w:p>
    <w:p w14:paraId="03F471F4">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4.1 投标人自行承担其参加投标所涉及的一切费用。</w:t>
      </w:r>
    </w:p>
    <w:p w14:paraId="3E503BC5">
      <w:pPr>
        <w:pStyle w:val="3"/>
        <w:numPr>
          <w:ilvl w:val="1"/>
          <w:numId w:val="0"/>
        </w:numPr>
        <w:spacing w:before="0" w:after="0" w:line="360" w:lineRule="auto"/>
        <w:rPr>
          <w:rFonts w:asciiTheme="majorEastAsia" w:hAnsiTheme="majorEastAsia" w:eastAsiaTheme="majorEastAsia"/>
          <w:color w:val="auto"/>
          <w:sz w:val="28"/>
          <w:szCs w:val="28"/>
          <w:highlight w:val="none"/>
        </w:rPr>
      </w:pPr>
      <w:bookmarkStart w:id="38" w:name="_Toc31148"/>
      <w:bookmarkStart w:id="39" w:name="_Toc23352"/>
      <w:bookmarkStart w:id="40" w:name="_Toc258884493"/>
      <w:bookmarkStart w:id="41" w:name="_Toc213649846"/>
      <w:bookmarkStart w:id="42" w:name="_Toc332627318"/>
      <w:bookmarkStart w:id="43" w:name="_Toc213658539"/>
      <w:bookmarkStart w:id="44" w:name="_Toc447204663"/>
      <w:bookmarkStart w:id="45" w:name="_Toc379988484"/>
      <w:r>
        <w:rPr>
          <w:rFonts w:hint="eastAsia" w:asciiTheme="majorEastAsia" w:hAnsiTheme="majorEastAsia" w:eastAsiaTheme="majorEastAsia"/>
          <w:color w:val="auto"/>
          <w:sz w:val="28"/>
          <w:szCs w:val="28"/>
          <w:highlight w:val="none"/>
        </w:rPr>
        <w:t>二、招标文件</w:t>
      </w:r>
      <w:bookmarkEnd w:id="38"/>
      <w:bookmarkEnd w:id="39"/>
      <w:bookmarkEnd w:id="40"/>
      <w:bookmarkEnd w:id="41"/>
      <w:bookmarkEnd w:id="42"/>
      <w:bookmarkEnd w:id="43"/>
      <w:bookmarkEnd w:id="44"/>
      <w:bookmarkEnd w:id="45"/>
    </w:p>
    <w:p w14:paraId="4134E988">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5. 招标文件的组成</w:t>
      </w:r>
    </w:p>
    <w:p w14:paraId="64DE9C74">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5.1 招标文件用以阐明所需货物及服务招标程序、内容和合同主要条款。招标文件由下述部分组成：</w:t>
      </w:r>
    </w:p>
    <w:p w14:paraId="2F35B677">
      <w:pPr>
        <w:pStyle w:val="6"/>
        <w:snapToGrid w:val="0"/>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（1）投标邀请</w:t>
      </w:r>
    </w:p>
    <w:p w14:paraId="11938456">
      <w:pPr>
        <w:pStyle w:val="6"/>
        <w:snapToGrid w:val="0"/>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（2）投标人须知</w:t>
      </w:r>
    </w:p>
    <w:p w14:paraId="7C1E4148">
      <w:pPr>
        <w:pStyle w:val="6"/>
        <w:snapToGrid w:val="0"/>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（3）招标内容及要求</w:t>
      </w:r>
    </w:p>
    <w:p w14:paraId="75D50B5B">
      <w:pPr>
        <w:pStyle w:val="6"/>
        <w:snapToGrid w:val="0"/>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（4）合同主要条款</w:t>
      </w:r>
    </w:p>
    <w:p w14:paraId="28A4E312">
      <w:pPr>
        <w:pStyle w:val="6"/>
        <w:snapToGrid w:val="0"/>
        <w:spacing w:line="360" w:lineRule="auto"/>
        <w:ind w:firstLine="480" w:firstLineChars="200"/>
        <w:rPr>
          <w:rFonts w:asciiTheme="majorEastAsia" w:hAnsiTheme="majorEastAsia" w:eastAsiaTheme="majorEastAsia"/>
          <w:color w:val="auto"/>
          <w:sz w:val="24"/>
          <w:szCs w:val="24"/>
          <w:highlight w:val="none"/>
        </w:rPr>
      </w:pPr>
      <w:r>
        <w:rPr>
          <w:rFonts w:hint="eastAsia" w:asciiTheme="majorEastAsia" w:hAnsiTheme="majorEastAsia" w:eastAsiaTheme="majorEastAsia"/>
          <w:color w:val="auto"/>
          <w:sz w:val="24"/>
          <w:szCs w:val="24"/>
          <w:highlight w:val="none"/>
        </w:rPr>
        <w:t>（5）投标文件格式</w:t>
      </w:r>
    </w:p>
    <w:p w14:paraId="0E530CBB">
      <w:pPr>
        <w:spacing w:line="360" w:lineRule="auto"/>
        <w:rPr>
          <w:rFonts w:asciiTheme="majorEastAsia" w:hAnsiTheme="majorEastAsia" w:eastAsiaTheme="majorEastAsia"/>
          <w:b/>
          <w:bCs/>
          <w:color w:val="auto"/>
          <w:sz w:val="24"/>
          <w:highlight w:val="none"/>
        </w:rPr>
      </w:pPr>
      <w:bookmarkStart w:id="46" w:name="_Toc430422413"/>
      <w:bookmarkStart w:id="47" w:name="_Toc430489119"/>
      <w:bookmarkStart w:id="48" w:name="_Toc430488851"/>
      <w:bookmarkStart w:id="49" w:name="_Toc430488644"/>
      <w:bookmarkStart w:id="50" w:name="_Toc415567497"/>
      <w:bookmarkStart w:id="51" w:name="_Toc430492126"/>
      <w:bookmarkStart w:id="52" w:name="_Toc430490612"/>
      <w:r>
        <w:rPr>
          <w:rFonts w:hint="eastAsia" w:asciiTheme="majorEastAsia" w:hAnsiTheme="majorEastAsia" w:eastAsiaTheme="majorEastAsia"/>
          <w:b/>
          <w:bCs/>
          <w:color w:val="auto"/>
          <w:sz w:val="24"/>
          <w:highlight w:val="none"/>
        </w:rPr>
        <w:t>6.</w:t>
      </w:r>
      <w:bookmarkEnd w:id="46"/>
      <w:bookmarkEnd w:id="47"/>
      <w:bookmarkEnd w:id="48"/>
      <w:bookmarkEnd w:id="49"/>
      <w:bookmarkEnd w:id="50"/>
      <w:bookmarkEnd w:id="51"/>
      <w:bookmarkEnd w:id="52"/>
      <w:r>
        <w:rPr>
          <w:rFonts w:hint="eastAsia" w:asciiTheme="majorEastAsia" w:hAnsiTheme="majorEastAsia" w:eastAsiaTheme="majorEastAsia"/>
          <w:b/>
          <w:bCs/>
          <w:color w:val="auto"/>
          <w:sz w:val="24"/>
          <w:highlight w:val="none"/>
        </w:rPr>
        <w:t>招标文件的澄清</w:t>
      </w:r>
    </w:p>
    <w:p w14:paraId="0C40917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6.1投标人对招标文件如有疑点，可要求澄清。要求澄清应按投标邀请中载明的地址以书面形式（包括信函、电报或传真，下同）通知招标代理机构。招标代理机构将视情况在投标截止时间前将书面答复发给所有投标人，并在原招标信息发布媒体上发布更正公告。该澄清内容为招标文件的组成部分。</w:t>
      </w:r>
    </w:p>
    <w:p w14:paraId="4D8990F1">
      <w:pPr>
        <w:spacing w:line="360" w:lineRule="auto"/>
        <w:rPr>
          <w:rFonts w:asciiTheme="majorEastAsia" w:hAnsiTheme="majorEastAsia" w:eastAsiaTheme="majorEastAsia"/>
          <w:b/>
          <w:color w:val="auto"/>
          <w:sz w:val="24"/>
          <w:highlight w:val="none"/>
        </w:rPr>
      </w:pPr>
      <w:bookmarkStart w:id="53" w:name="_Toc430488645"/>
      <w:bookmarkStart w:id="54" w:name="_Toc430488852"/>
      <w:bookmarkStart w:id="55" w:name="_Toc415567498"/>
      <w:bookmarkStart w:id="56" w:name="_Toc430489120"/>
      <w:bookmarkStart w:id="57" w:name="_Toc430422414"/>
      <w:bookmarkStart w:id="58" w:name="_Toc430492127"/>
      <w:bookmarkStart w:id="59" w:name="_Toc430490613"/>
      <w:r>
        <w:rPr>
          <w:rFonts w:hint="eastAsia" w:asciiTheme="majorEastAsia" w:hAnsiTheme="majorEastAsia" w:eastAsiaTheme="majorEastAsia"/>
          <w:b/>
          <w:color w:val="auto"/>
          <w:sz w:val="24"/>
          <w:highlight w:val="none"/>
        </w:rPr>
        <w:t>7. 招标文件的修改</w:t>
      </w:r>
      <w:bookmarkEnd w:id="53"/>
      <w:bookmarkEnd w:id="54"/>
      <w:bookmarkEnd w:id="55"/>
      <w:bookmarkEnd w:id="56"/>
      <w:bookmarkEnd w:id="57"/>
      <w:bookmarkEnd w:id="58"/>
      <w:bookmarkEnd w:id="59"/>
    </w:p>
    <w:p w14:paraId="429A6E9A">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7.1至投标截止时间前，招标代理机构可主动或依投标人要求澄清的问题而修改招标文件，并以书面形式通知所有招标文件收受人，投标人在收到该通知后应当立即以传真形式予以确认。该修改内容为招标文件的组成部分，对投标人具有约束力。但本招标文件第7.2条规定的推迟投标截止时间和开标时间情形不受本条约束。</w:t>
      </w:r>
    </w:p>
    <w:p w14:paraId="426904D6">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7.2为使投标人在准备投标文件时有合理的时间考虑投标文件的修改，招标代理机构可酌情推迟投标截止时间和开标时间，变更时间以书面形式通知所有招标文件收受人，并在原招标信息发布媒体上发布更正公告。在此情况下，招标人和投标人受投标截止期制约的所有权利和义务均应延长至新的截止日期。</w:t>
      </w:r>
    </w:p>
    <w:p w14:paraId="4AAB5A8A">
      <w:pPr>
        <w:pStyle w:val="3"/>
        <w:numPr>
          <w:ilvl w:val="1"/>
          <w:numId w:val="0"/>
        </w:numPr>
        <w:spacing w:before="0" w:after="0" w:line="360" w:lineRule="auto"/>
        <w:rPr>
          <w:rFonts w:asciiTheme="majorEastAsia" w:hAnsiTheme="majorEastAsia" w:eastAsiaTheme="majorEastAsia"/>
          <w:color w:val="auto"/>
          <w:sz w:val="28"/>
          <w:szCs w:val="28"/>
          <w:highlight w:val="none"/>
        </w:rPr>
      </w:pPr>
      <w:bookmarkStart w:id="60" w:name="_Toc213649847"/>
      <w:bookmarkStart w:id="61" w:name="_Toc379988485"/>
      <w:bookmarkStart w:id="62" w:name="_Toc213658540"/>
      <w:bookmarkStart w:id="63" w:name="_Toc28583"/>
      <w:bookmarkStart w:id="64" w:name="_Toc447204664"/>
      <w:bookmarkStart w:id="65" w:name="_Toc332627319"/>
      <w:bookmarkStart w:id="66" w:name="_Toc258884494"/>
      <w:bookmarkStart w:id="67" w:name="_Toc24492"/>
      <w:r>
        <w:rPr>
          <w:rFonts w:hint="eastAsia" w:asciiTheme="majorEastAsia" w:hAnsiTheme="majorEastAsia" w:eastAsiaTheme="majorEastAsia"/>
          <w:color w:val="auto"/>
          <w:sz w:val="28"/>
          <w:szCs w:val="28"/>
          <w:highlight w:val="none"/>
        </w:rPr>
        <w:t>三、投标文件的编写</w:t>
      </w:r>
      <w:bookmarkEnd w:id="60"/>
      <w:bookmarkEnd w:id="61"/>
      <w:bookmarkEnd w:id="62"/>
      <w:bookmarkEnd w:id="63"/>
      <w:bookmarkEnd w:id="64"/>
      <w:bookmarkEnd w:id="65"/>
      <w:bookmarkEnd w:id="66"/>
      <w:bookmarkEnd w:id="67"/>
    </w:p>
    <w:p w14:paraId="31A27E6D">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8. 要求</w:t>
      </w:r>
    </w:p>
    <w:p w14:paraId="1C2CC0A3">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8.1 投标人应认真和细致阅读招标文件的所有内容，按照招标文件的要求提交投标文件。投标文件应对招标文件的相关要求作出实质性的完整响应，投标人应保证所提供的全部资料的真实性、有效性和完整性，否则其投标将被拒绝。</w:t>
      </w:r>
    </w:p>
    <w:p w14:paraId="62EDE87A">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8.2 除非有另外的规定，投标人应对招标服务一览表所列的全部合同包进行投标。招标代理机构不接受有任何可选择性的报价，每一种服务只能有一个报价。</w:t>
      </w:r>
    </w:p>
    <w:p w14:paraId="5340F2F1">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9. 投标文件语言</w:t>
      </w:r>
    </w:p>
    <w:p w14:paraId="435266B0">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9.1 投标文件应用中文书写。投标文件中所附或所引用的原件不是中文时，应附中文译本。各种计量单位及符号应采用国际上统一使用的公制计量单位和符号。</w:t>
      </w:r>
    </w:p>
    <w:p w14:paraId="4D71B888">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10. 投标文件的组成</w:t>
      </w:r>
    </w:p>
    <w:p w14:paraId="42EF9E8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10.1 投标文件应包括下列部分（但不限于）：</w:t>
      </w:r>
    </w:p>
    <w:p w14:paraId="37C36A5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 投标书</w:t>
      </w:r>
    </w:p>
    <w:p w14:paraId="754025E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开标一览表</w:t>
      </w:r>
    </w:p>
    <w:p w14:paraId="087E72E2">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（3）费用明细表</w:t>
      </w:r>
    </w:p>
    <w:p w14:paraId="38E91F9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 服务方案</w:t>
      </w:r>
    </w:p>
    <w:p w14:paraId="4C308F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 技术服务及商务偏离表</w:t>
      </w:r>
    </w:p>
    <w:p w14:paraId="0611B00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拟投入本项目的人员配备一览表</w:t>
      </w:r>
    </w:p>
    <w:p w14:paraId="766A6C3E">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拟投入本项目的设备情况表</w:t>
      </w:r>
    </w:p>
    <w:p w14:paraId="34192A7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 拟投入本项目的易损件或备品备件清单表</w:t>
      </w:r>
    </w:p>
    <w:p w14:paraId="127AFDE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 项目服务经验一览表</w:t>
      </w:r>
    </w:p>
    <w:p w14:paraId="4BABFFE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 投标人资格证明文件</w:t>
      </w:r>
    </w:p>
    <w:p w14:paraId="468EE2A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 投标人的资格声明</w:t>
      </w:r>
    </w:p>
    <w:p w14:paraId="3FB4A7B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 法定代表人（或单位负责人）授权书</w:t>
      </w:r>
    </w:p>
    <w:p w14:paraId="14D8C60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服务承诺书</w:t>
      </w:r>
    </w:p>
    <w:p w14:paraId="55FC6B5F">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 投标人提交的其他资料</w:t>
      </w:r>
    </w:p>
    <w:p w14:paraId="7310AC0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15</w:t>
      </w:r>
      <w:r>
        <w:rPr>
          <w:rFonts w:hint="eastAsia" w:ascii="宋体" w:hAnsi="宋体" w:cs="宋体"/>
          <w:color w:val="auto"/>
          <w:sz w:val="24"/>
          <w:highlight w:val="none"/>
        </w:rPr>
        <w:t>) 招标代理服务费承诺书</w:t>
      </w:r>
    </w:p>
    <w:p w14:paraId="01F9F4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投标保证金缴交凭证</w:t>
      </w:r>
    </w:p>
    <w:p w14:paraId="4290442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 采购保证金退还申请书</w:t>
      </w:r>
    </w:p>
    <w:p w14:paraId="139CFD4D">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11. 投标有效期</w:t>
      </w:r>
    </w:p>
    <w:p w14:paraId="05811CB3">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11.1投标文件从投标人须知前附表第4项所规定的投标截止期之后开始生效，在投标人须知前附表第3项所规定的期限内保持有效。有效期不足将导致其投标文件被拒绝。</w:t>
      </w:r>
    </w:p>
    <w:p w14:paraId="14ECA18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11.2特殊情况下招标代理机构可于投标有效期满之前书面要求投标人同意延长有效期，投标人应在招标代理机构规定的期限内以书面形式予以答复。投标人可以拒绝上述要求而其投标保证金可按规定予以退还。投标人答复不明确或者逾期未答复的，均视为拒绝上述要求。对于接受该要求的投标人，既不要求也不允许其修改投标文件，但将要求其相应延长投标保证金有效期，有关退还和不予退还投标保证金的规定在投标有效期延长期内继续有效。</w:t>
      </w:r>
    </w:p>
    <w:p w14:paraId="1C45790E">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12. 投标保证金</w:t>
      </w:r>
    </w:p>
    <w:p w14:paraId="717BC39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12.1 投标保证金为投标文件的组成部分之一。</w:t>
      </w:r>
    </w:p>
    <w:p w14:paraId="2C9ACE98">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12.2 投标人应在投标截止时间之前向招标代理机构缴交投标人须知前附表第5项要求的投标保证金。</w:t>
      </w:r>
    </w:p>
    <w:p w14:paraId="614A97ED">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12.3 投标保证金用于保护本次招标活动免受投标人的行为而引起的风险。</w:t>
      </w:r>
    </w:p>
    <w:p w14:paraId="44BB235C">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12.4 投标保证金应以转账、汇款等国家允许的方式在规定时间之前足额转入本招标文件指定的银行账户。</w:t>
      </w:r>
    </w:p>
    <w:p w14:paraId="184DBD97">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12.5 未按规定缴交投标保证金的投标，将被视为无效投标。</w:t>
      </w:r>
    </w:p>
    <w:p w14:paraId="728084F6">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12.6 </w:t>
      </w:r>
      <w:r>
        <w:rPr>
          <w:rFonts w:ascii="宋体" w:hAnsi="宋体"/>
          <w:color w:val="auto"/>
          <w:sz w:val="24"/>
          <w:szCs w:val="20"/>
          <w:highlight w:val="none"/>
        </w:rPr>
        <w:t>未中标的投标人在中标人确定后，凭投标人开具的“投标保证金退还申请书”办理退还其投标保证金手续，招标代理机构在收到“投标保证金退还申请书”后的5个</w:t>
      </w:r>
      <w:r>
        <w:rPr>
          <w:rFonts w:hint="eastAsia" w:ascii="宋体" w:hAnsi="宋体"/>
          <w:color w:val="auto"/>
          <w:sz w:val="24"/>
          <w:szCs w:val="20"/>
          <w:highlight w:val="none"/>
        </w:rPr>
        <w:t>工作日内将保证金原额无息退返投标人。</w:t>
      </w:r>
    </w:p>
    <w:p w14:paraId="3879A753">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12.7</w:t>
      </w:r>
      <w:r>
        <w:rPr>
          <w:rFonts w:hint="eastAsia" w:asciiTheme="majorEastAsia" w:hAnsiTheme="majorEastAsia" w:eastAsiaTheme="majorEastAsia"/>
          <w:color w:val="auto"/>
          <w:sz w:val="24"/>
          <w:szCs w:val="20"/>
          <w:highlight w:val="none"/>
        </w:rPr>
        <w:t>在中标人支付所有招标代理服务费并签订合同后（若有交纳履约保证金要求的，在中标人交纳履约保证金并签订合同后），中标人凭其签订的合同副本及开具的“投标保证金退还申请书”办理退还其投标保证金手续，招标代理机构在收到“投标保证金退还申请书”及合同副本后的5个工作日内将保证金原额无息退返中标人。</w:t>
      </w:r>
    </w:p>
    <w:p w14:paraId="2A82EB6B">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12.8发生以下情形之一的，投标保证金将不予退还：</w:t>
      </w:r>
    </w:p>
    <w:p w14:paraId="1C782771">
      <w:pPr>
        <w:numPr>
          <w:ilvl w:val="0"/>
          <w:numId w:val="5"/>
        </w:num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投标人在投标截止时间后，投标有效期内撤回投标；</w:t>
      </w:r>
    </w:p>
    <w:p w14:paraId="1B9FCDE2">
      <w:pPr>
        <w:numPr>
          <w:ilvl w:val="0"/>
          <w:numId w:val="5"/>
        </w:num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中标人未能按本须知第22条规定签订合同；</w:t>
      </w:r>
    </w:p>
    <w:p w14:paraId="30E4FA48">
      <w:pPr>
        <w:numPr>
          <w:ilvl w:val="0"/>
          <w:numId w:val="5"/>
        </w:num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中标人未按投标人须知前附表规定缴纳招标代理服务费；（招标人如有要求中标人增加支付履约保证金的，增加：“中标人未按本须知第12.7条规定提交履约保证金的；）</w:t>
      </w:r>
    </w:p>
    <w:p w14:paraId="3B5EB755">
      <w:pPr>
        <w:numPr>
          <w:ilvl w:val="0"/>
          <w:numId w:val="5"/>
        </w:num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以他人名义投标或者以其他方式弄虚作假，骗取中标；</w:t>
      </w:r>
    </w:p>
    <w:p w14:paraId="795FA52B">
      <w:pPr>
        <w:numPr>
          <w:ilvl w:val="0"/>
          <w:numId w:val="5"/>
        </w:numPr>
        <w:spacing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本招标文件中规定的其他不予退还投标保证金的情形。</w:t>
      </w:r>
    </w:p>
    <w:p w14:paraId="0F8CC649">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上述不予退还投标保证金的情形给招标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造成损失的，相关责任人还应当承担赔偿责任。</w:t>
      </w:r>
    </w:p>
    <w:p w14:paraId="0357C7C7">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13. 投标文件的格式</w:t>
      </w:r>
    </w:p>
    <w:p w14:paraId="79A234AD">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13.1 投标人须编制由本须知规定文件组成的投标文件正本及副本（份数以投标人须知附表为准）；“正本”必须用A4等标准幅面纸张打印装订（相关证明材料可以按招标文件要求直接使用有效的原件、复印件或资料彩页等），副本可以用正本的完整复印件，并在封面标明“正本”、“副本”字样。正本与副本如有不一致，则以正本为准。</w:t>
      </w:r>
    </w:p>
    <w:p w14:paraId="6162F1B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13.2 投标文件应由投标人的法定代表人或者其授权代表签字并加盖投标人公章，如由后者签字，应提供“法定代表人授权委托书”。</w:t>
      </w:r>
    </w:p>
    <w:p w14:paraId="04544225">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13.3 除非有另外的规定或许可，投标使用货币为人民币。</w:t>
      </w:r>
    </w:p>
    <w:p w14:paraId="43DB6A07">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13.4 投标人应提交证明其拟供货物（或服务）符合招标文件要求的技术响应文件，该文件可以是文字资料、图片、图纸和数据，并须提供该货物（或服务）主要技术性能和特征的详细描述。</w:t>
      </w:r>
    </w:p>
    <w:p w14:paraId="2ECBA715">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13.5 投标文件的正本和全部副本均应使用不能擦去的墨料或墨水打印、书写或复印，并由法定代表人或其授权代表签署，盖投标人公章。</w:t>
      </w:r>
    </w:p>
    <w:p w14:paraId="28D5C6E1">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13.6 全套投标文件应无涂改和行间插字等改动，除非这些改动是根据招标代理机构的指示进行的，或者是为改正投标人造成的必须修改的错误而进行的。有改动时，修改处应当由法定代表人或授权代表签字证明或加盖投标人公章。</w:t>
      </w:r>
    </w:p>
    <w:p w14:paraId="65E4D4BE">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13.7未按本须知规定的格式填写投标文件、投标文件字迹模糊不清的，其投标将被拒绝。</w:t>
      </w:r>
    </w:p>
    <w:p w14:paraId="579DBC7C">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13.8 所有资格证明文件复印件须注明“与原件一致”并加盖投标人公章。</w:t>
      </w:r>
    </w:p>
    <w:p w14:paraId="6A94688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13.9</w:t>
      </w:r>
      <w:r>
        <w:rPr>
          <w:rFonts w:hint="eastAsia" w:asciiTheme="majorEastAsia" w:hAnsiTheme="majorEastAsia" w:eastAsiaTheme="majorEastAsia"/>
          <w:bCs/>
          <w:color w:val="auto"/>
          <w:sz w:val="24"/>
          <w:highlight w:val="none"/>
        </w:rPr>
        <w:t>投标人应将投标文件按顺序装订成册（不</w:t>
      </w:r>
      <w:r>
        <w:rPr>
          <w:rFonts w:asciiTheme="majorEastAsia" w:hAnsiTheme="majorEastAsia" w:eastAsiaTheme="majorEastAsia"/>
          <w:bCs/>
          <w:color w:val="auto"/>
          <w:sz w:val="24"/>
          <w:highlight w:val="none"/>
        </w:rPr>
        <w:t>得</w:t>
      </w:r>
      <w:r>
        <w:rPr>
          <w:rFonts w:hint="eastAsia" w:asciiTheme="majorEastAsia" w:hAnsiTheme="majorEastAsia" w:eastAsiaTheme="majorEastAsia"/>
          <w:bCs/>
          <w:color w:val="auto"/>
          <w:sz w:val="24"/>
          <w:highlight w:val="none"/>
        </w:rPr>
        <w:t>活页装订）、打印页码，并编列投标文件目录、资料清单，由于装订不规范或编排顺序混乱而导致投标文件被误读或漏读，该投标可能被视为无效投标或承担不利的评标结果</w:t>
      </w:r>
      <w:r>
        <w:rPr>
          <w:rFonts w:hint="eastAsia" w:asciiTheme="majorEastAsia" w:hAnsiTheme="majorEastAsia" w:eastAsiaTheme="majorEastAsia"/>
          <w:color w:val="auto"/>
          <w:sz w:val="24"/>
          <w:highlight w:val="none"/>
        </w:rPr>
        <w:t>。</w:t>
      </w:r>
    </w:p>
    <w:p w14:paraId="42A5B350">
      <w:pPr>
        <w:pStyle w:val="3"/>
        <w:numPr>
          <w:ilvl w:val="1"/>
          <w:numId w:val="0"/>
        </w:numPr>
        <w:spacing w:before="0" w:after="0" w:line="360" w:lineRule="auto"/>
        <w:rPr>
          <w:rFonts w:asciiTheme="majorEastAsia" w:hAnsiTheme="majorEastAsia" w:eastAsiaTheme="majorEastAsia"/>
          <w:color w:val="auto"/>
          <w:sz w:val="28"/>
          <w:szCs w:val="28"/>
          <w:highlight w:val="none"/>
        </w:rPr>
      </w:pPr>
      <w:bookmarkStart w:id="68" w:name="_Toc213649848"/>
      <w:bookmarkStart w:id="69" w:name="_Toc18339"/>
      <w:bookmarkStart w:id="70" w:name="_Toc447204665"/>
      <w:bookmarkStart w:id="71" w:name="_Toc379988486"/>
      <w:bookmarkStart w:id="72" w:name="_Toc213658541"/>
      <w:bookmarkStart w:id="73" w:name="_Toc15633"/>
      <w:bookmarkStart w:id="74" w:name="_Toc258884495"/>
      <w:bookmarkStart w:id="75" w:name="_Toc332627320"/>
      <w:r>
        <w:rPr>
          <w:rFonts w:hint="eastAsia" w:asciiTheme="majorEastAsia" w:hAnsiTheme="majorEastAsia" w:eastAsiaTheme="majorEastAsia"/>
          <w:color w:val="auto"/>
          <w:sz w:val="28"/>
          <w:szCs w:val="28"/>
          <w:highlight w:val="none"/>
        </w:rPr>
        <w:t>四、投标文件的提交</w:t>
      </w:r>
      <w:bookmarkEnd w:id="68"/>
      <w:bookmarkEnd w:id="69"/>
      <w:bookmarkEnd w:id="70"/>
      <w:bookmarkEnd w:id="71"/>
      <w:bookmarkEnd w:id="72"/>
      <w:bookmarkEnd w:id="73"/>
      <w:bookmarkEnd w:id="74"/>
      <w:bookmarkEnd w:id="75"/>
    </w:p>
    <w:p w14:paraId="331411D0">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14. 投标文件的密封、标记和递交</w:t>
      </w:r>
    </w:p>
    <w:p w14:paraId="5B13C427">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14.1 投标人应将投标文件正本和全部副本分别妥帖密封，并标明项目编号、投标人名称、投标货物名称及“正本”或“副本”字样。投标文件未密封或密封不合要求的将导致其投标被拒绝。</w:t>
      </w:r>
    </w:p>
    <w:p w14:paraId="104FB7E5">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14.2 每一密封处应注明“于</w:t>
      </w:r>
      <w:r>
        <w:rPr>
          <w:rFonts w:hint="eastAsia" w:asciiTheme="majorEastAsia" w:hAnsiTheme="majorEastAsia" w:eastAsiaTheme="majorEastAsia"/>
          <w:color w:val="auto"/>
          <w:sz w:val="24"/>
          <w:highlight w:val="none"/>
          <w:u w:val="single"/>
        </w:rPr>
        <w:t xml:space="preserve">       </w:t>
      </w:r>
      <w:r>
        <w:rPr>
          <w:rFonts w:hint="eastAsia" w:asciiTheme="majorEastAsia" w:hAnsiTheme="majorEastAsia" w:eastAsiaTheme="majorEastAsia"/>
          <w:color w:val="auto"/>
          <w:sz w:val="24"/>
          <w:highlight w:val="none"/>
        </w:rPr>
        <w:t>之前（指招标邀请中规定的开标日期及时间）不准启封”的字样，并加盖投标人公章或由投标代表签字。</w:t>
      </w:r>
    </w:p>
    <w:p w14:paraId="2FEEE6B2">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14.3 如果投标文件由邮局或专人送交，投标人应将投标文件按照本须知第14.1条至第14.2条的规定进行密封和标记后，按投标人须知前附表注明的地址送至接收人。</w:t>
      </w:r>
    </w:p>
    <w:p w14:paraId="651D54F1">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14.4 如果未按上述规定进行密封和标记，招标代理机构将不承担由此造成的对投标文件的误投或提前拆封的责任。</w:t>
      </w:r>
    </w:p>
    <w:p w14:paraId="7694FE37">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14.5 投标文件应在投标邀请中规定的截止时间前送达，迟到的投标文件为无效投标文件，将被拒收。</w:t>
      </w:r>
    </w:p>
    <w:p w14:paraId="339F99EF">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14.6 投标人在投标截止时间之前，可以对所提交的投标文件进行修改或者撤回，并书面通知招标代理机构。载明修改内容和（或）撤回通知的文件应当按本须知要求签署、盖章、密封和递交，并作为投标文件的组成部分。</w:t>
      </w:r>
    </w:p>
    <w:p w14:paraId="4E89F690">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14.7 投标人在投标截止时间后不得修改、撤回投标文件。投标人在投标截止时间后修改投标文件的，其投标将被拒绝。</w:t>
      </w:r>
    </w:p>
    <w:p w14:paraId="68771770">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14.8投标截止时间结束后参加投标的投标人不足3家的，本次招标程序终止，除招标任务取消情形外，招标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将重新组织招标或者采取其他方式招标。</w:t>
      </w:r>
    </w:p>
    <w:p w14:paraId="04F936F5">
      <w:pPr>
        <w:pStyle w:val="3"/>
        <w:numPr>
          <w:ilvl w:val="1"/>
          <w:numId w:val="0"/>
        </w:numPr>
        <w:spacing w:before="0" w:after="0" w:line="360" w:lineRule="auto"/>
        <w:rPr>
          <w:rFonts w:asciiTheme="majorEastAsia" w:hAnsiTheme="majorEastAsia" w:eastAsiaTheme="majorEastAsia"/>
          <w:b w:val="0"/>
          <w:bCs/>
          <w:color w:val="auto"/>
          <w:sz w:val="24"/>
          <w:szCs w:val="24"/>
          <w:highlight w:val="none"/>
        </w:rPr>
      </w:pPr>
      <w:bookmarkStart w:id="76" w:name="_Toc1498"/>
      <w:bookmarkStart w:id="77" w:name="_Toc379988487"/>
      <w:bookmarkStart w:id="78" w:name="_Toc19088"/>
      <w:bookmarkStart w:id="79" w:name="_Toc213658542"/>
      <w:bookmarkStart w:id="80" w:name="_Toc447204666"/>
      <w:bookmarkStart w:id="81" w:name="_Toc332627321"/>
      <w:bookmarkStart w:id="82" w:name="_Toc213649849"/>
      <w:bookmarkStart w:id="83" w:name="_Toc258884496"/>
      <w:r>
        <w:rPr>
          <w:rFonts w:hint="eastAsia" w:asciiTheme="majorEastAsia" w:hAnsiTheme="majorEastAsia" w:eastAsiaTheme="majorEastAsia"/>
          <w:color w:val="auto"/>
          <w:sz w:val="28"/>
          <w:szCs w:val="28"/>
          <w:highlight w:val="none"/>
        </w:rPr>
        <w:t>五、投标文件的评估和比较</w:t>
      </w:r>
      <w:bookmarkEnd w:id="76"/>
      <w:bookmarkEnd w:id="77"/>
      <w:bookmarkEnd w:id="78"/>
      <w:bookmarkEnd w:id="79"/>
      <w:bookmarkEnd w:id="80"/>
      <w:bookmarkEnd w:id="81"/>
      <w:bookmarkEnd w:id="82"/>
      <w:bookmarkEnd w:id="83"/>
    </w:p>
    <w:p w14:paraId="3B28B846">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15．开标、评标时间</w:t>
      </w:r>
    </w:p>
    <w:p w14:paraId="31D1E313">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15.1 在投标人须知前附表中所规定的时间、地点开标（如有推迟情形，以推迟后的时间、地点为准）。</w:t>
      </w:r>
    </w:p>
    <w:p w14:paraId="7E6A988B">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15.2 开标由招标代理机构主持，邀请招标人、投标人和有关方面代表参加。投标人一般应派授权代表参加开标会，并办理签到手续。</w:t>
      </w:r>
    </w:p>
    <w:p w14:paraId="5DA1196A">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15.3 开标时，由监标人或者投标人共同推举的代表检查投标文件的密封情况。招标代理机构对符合密封要求的投标文件按照提交投标文件时间的先后顺序（或者逆顺序）当场逐一拆封，由开标会主持人按规定宣唱“报价一览表”等规定内容。招标代理机构对唱标内容作开标记录，由投标人代表及相关人员签字确认。</w:t>
      </w:r>
    </w:p>
    <w:p w14:paraId="016A24BC">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15.4开标、唱标后，有效投标人不足3家的，本次招标程序终止，除招标任务取消情形外，招标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将重新组织招标或者采取其他方式招标。</w:t>
      </w:r>
    </w:p>
    <w:p w14:paraId="079D739B">
      <w:pPr>
        <w:tabs>
          <w:tab w:val="left" w:pos="3330"/>
        </w:tabs>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16．评标委员会</w:t>
      </w:r>
    </w:p>
    <w:p w14:paraId="577F635B">
      <w:pPr>
        <w:spacing w:line="360" w:lineRule="auto"/>
        <w:ind w:firstLine="48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16.1招标代理机构根据招标货物（或服务）的特点组建评标委员会。评标委员会由技术、经济、法律方面的专家和招标人代表组成。成员为5人以上单数组成，专家人数不能少于2/3。在开标后的适当时间里由评标委员会对投标文件进行审查、质疑、评估和比较，并做出推荐中标人的建议。</w:t>
      </w:r>
    </w:p>
    <w:p w14:paraId="0642A1DF">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17. 投标文件的初审</w:t>
      </w:r>
    </w:p>
    <w:p w14:paraId="3D0BD3A1">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对所有投标人的评估，都采用相同的程序和标准。评议过程将严格按照招标文件的要求和条件进行。</w:t>
      </w:r>
    </w:p>
    <w:p w14:paraId="26ED22B4">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有关投标文件的审查、澄清、评估和比较以及推荐中标候选人的一切情况都不得透露给任一投标人或与上述评标工作无关的人员。</w:t>
      </w:r>
    </w:p>
    <w:p w14:paraId="0B8DDAC2">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投标人任何试图影响评标委员会对投标文件的评估、比较或者推荐候选人的行为，都将导致其投标被拒绝，并丧失投标保证金退还的请求权。</w:t>
      </w:r>
    </w:p>
    <w:p w14:paraId="3D2FF31A">
      <w:pPr>
        <w:spacing w:before="120"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17.1 评标委员会将对投标文件进行审查，以确定投标文件是否完整、有无计算上的错误、是否提交了投标保证金、文件是否已正确签署。</w:t>
      </w:r>
    </w:p>
    <w:p w14:paraId="5CC7E2EE">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17.2 算术错误将按以下方法更正：</w:t>
      </w:r>
    </w:p>
    <w:p w14:paraId="4FBF7FC8">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（1）投标文件中开标一览表（报价表）内容与投标文件中明细表内容不一致的，以开标一览表（报价表）为准。</w:t>
      </w:r>
    </w:p>
    <w:p w14:paraId="10D89483">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14:paraId="46401A46">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如果投标人不接受评标委员会按上述方法对投标文件中的算术错误进行更正，其投标将被拒绝并没收其投标保证金。</w:t>
      </w:r>
    </w:p>
    <w:p w14:paraId="492BE37D">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17.3 资格性检查和符合性检查</w:t>
      </w:r>
    </w:p>
    <w:p w14:paraId="7A3C2D56">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17.3.1 资格性检查。依据法律法规和招标文件的规定，在对投标文件详细评估之前，评标委员会将依据投标人提交的投标文件按第二章第二项所述的资格标准对投标人进行资格审查，以确定其是否具备投标资格。如果投标人不具备投标资格，不满足招标文件所规定的资格标准或提供资格证明文件不全的，其投标将被拒绝。</w:t>
      </w:r>
    </w:p>
    <w:p w14:paraId="424DF682">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17.3.2符合性检查。依据招标文件的规定，评标委员会还将从投标文件的有效性、完整性和对招标文件的响应程度进行审查，以确定其是否符合对招标文件的实质性要求作出响应。（招标人可根据具体项目的情况对实质性要求作特别的规定。）实质性偏离是指：（1）实质性影响合同的范围、质量和履行；（2）实质性违背招标文件，限制了招标人的权利和中标人合同项下的义务；（3）不公正地影响了其他作出实质性响应的投标人的竞争地位。对没有实质性响应的投标文件将不进行评估，其投标将被拒绝。</w:t>
      </w:r>
    </w:p>
    <w:p w14:paraId="2CB80F3A">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符合性检查的具体内容详见“投标人须知前附表2”。</w:t>
      </w:r>
    </w:p>
    <w:p w14:paraId="544BC38F">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评标委员会决定投标的响应性只根据投标文件本身的内容，而不寻求其他的外部证据。</w:t>
      </w:r>
    </w:p>
    <w:p w14:paraId="0A7FECEC">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18. 投标文件的澄清</w:t>
      </w:r>
    </w:p>
    <w:p w14:paraId="3AF06F2B">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18.1 对投标文件中含义不明确、同类问题表述不一致或者有明显文字和计算错误的内容，评标委员会可以书面形式要求投标人做出必要的澄清、说明或者纠正。投标人的澄清、说明或者补正应当在评标委员会规定的时间内以书面形式作出，由其法定代表人或者授权代表签字，并不得超出投标文件的范围或者改变投标文件的实质性内容。</w:t>
      </w:r>
    </w:p>
    <w:p w14:paraId="7AC9BD05">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19. 比较与评价</w:t>
      </w:r>
    </w:p>
    <w:p w14:paraId="147252CD">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19.1 评标委员会将按投标人须知前附表第3所述评标方法与标准，对资格性检查和符合性检查合格的投标文件进行商务和技术评估，综合比较与评价。</w:t>
      </w:r>
    </w:p>
    <w:p w14:paraId="4D53F75A">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19.2 对漏（缺）报项的处理：招标文件中要求列入报价的费用（含配置、功能），漏（缺）报的视同已含在投标总价中。但在评标时取有效投标人该项最高报价加入漏（缺）报人的评标价进行评标。对多报项及赠送项的价格评标时不予核减，全部进入评标价评议。</w:t>
      </w:r>
    </w:p>
    <w:p w14:paraId="5E6566B8">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19.3 若投标人的报价明显低于其他报价，使得其投标报价可能低于其个别成本的，有可能影响供应质量或不能诚信履约的，投标人应按评标委员会要求做出书面说明并提供相关证明材料，不能合理说明或不能提供相关证明材料的，可作无效投标处理。</w:t>
      </w:r>
    </w:p>
    <w:p w14:paraId="278F9038">
      <w:pPr>
        <w:spacing w:line="336"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19.4 评标委员会将按综合评分总分的高低，排列评价顺序，根据在投标人须知前附表中确定的中标候选人数量推荐出中标候选人。</w:t>
      </w:r>
    </w:p>
    <w:p w14:paraId="56BFF748">
      <w:pPr>
        <w:spacing w:line="336"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19.5在评标期间，若出现符合本须知规定的所有投标条件的投标人不足三家情形的，本次招标程序终止，除招标任务取消情形外，招标</w:t>
      </w:r>
      <w:r>
        <w:rPr>
          <w:rFonts w:hint="eastAsia" w:asciiTheme="majorEastAsia" w:hAnsiTheme="majorEastAsia" w:eastAsiaTheme="majorEastAsia"/>
          <w:color w:val="auto"/>
          <w:sz w:val="24"/>
          <w:highlight w:val="none"/>
          <w:lang w:eastAsia="zh-CN"/>
        </w:rPr>
        <w:t>招标人</w:t>
      </w:r>
      <w:r>
        <w:rPr>
          <w:rFonts w:hint="eastAsia" w:asciiTheme="majorEastAsia" w:hAnsiTheme="majorEastAsia" w:eastAsiaTheme="majorEastAsia"/>
          <w:color w:val="auto"/>
          <w:sz w:val="24"/>
          <w:highlight w:val="none"/>
        </w:rPr>
        <w:t>将重新组织招标或者采取其他方式招标。</w:t>
      </w:r>
    </w:p>
    <w:p w14:paraId="1174846E">
      <w:pPr>
        <w:pStyle w:val="3"/>
        <w:numPr>
          <w:ilvl w:val="1"/>
          <w:numId w:val="0"/>
        </w:numPr>
        <w:spacing w:before="0" w:after="0" w:line="240" w:lineRule="atLeast"/>
        <w:rPr>
          <w:rFonts w:asciiTheme="majorEastAsia" w:hAnsiTheme="majorEastAsia" w:eastAsiaTheme="majorEastAsia"/>
          <w:color w:val="auto"/>
          <w:sz w:val="28"/>
          <w:szCs w:val="28"/>
          <w:highlight w:val="none"/>
        </w:rPr>
      </w:pPr>
      <w:bookmarkStart w:id="84" w:name="_Toc258884497"/>
      <w:bookmarkStart w:id="85" w:name="_Toc213649850"/>
      <w:bookmarkStart w:id="86" w:name="_Toc213658543"/>
      <w:bookmarkStart w:id="87" w:name="_Toc16187"/>
      <w:bookmarkStart w:id="88" w:name="_Toc23779"/>
      <w:bookmarkStart w:id="89" w:name="_Toc379988488"/>
      <w:bookmarkStart w:id="90" w:name="_Toc332627322"/>
      <w:bookmarkStart w:id="91" w:name="_Toc447204667"/>
      <w:r>
        <w:rPr>
          <w:rFonts w:hint="eastAsia" w:asciiTheme="majorEastAsia" w:hAnsiTheme="majorEastAsia" w:eastAsiaTheme="majorEastAsia"/>
          <w:color w:val="auto"/>
          <w:sz w:val="28"/>
          <w:szCs w:val="28"/>
          <w:highlight w:val="none"/>
        </w:rPr>
        <w:t>六、定标与签订合同</w:t>
      </w:r>
      <w:bookmarkEnd w:id="84"/>
      <w:bookmarkEnd w:id="85"/>
      <w:bookmarkEnd w:id="86"/>
      <w:bookmarkEnd w:id="87"/>
      <w:bookmarkEnd w:id="88"/>
      <w:bookmarkEnd w:id="89"/>
      <w:bookmarkEnd w:id="90"/>
      <w:bookmarkEnd w:id="91"/>
    </w:p>
    <w:p w14:paraId="4517A487">
      <w:pPr>
        <w:spacing w:line="336"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20. 定标准则</w:t>
      </w:r>
    </w:p>
    <w:p w14:paraId="78E4131D">
      <w:pPr>
        <w:spacing w:line="336"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20.1 最低投标价不作为中标的保证。</w:t>
      </w:r>
    </w:p>
    <w:p w14:paraId="25358473">
      <w:pPr>
        <w:spacing w:line="336"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20.2 投标人的投标文件符合招标文件要求，按招标文件确定的评标方法、标准，经评标委员会评审并推荐中标候选人。</w:t>
      </w:r>
    </w:p>
    <w:p w14:paraId="1DE72801">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21. 中标通知</w:t>
      </w:r>
    </w:p>
    <w:p w14:paraId="504FF88F">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 xml:space="preserve">21.1 </w:t>
      </w:r>
      <w:r>
        <w:rPr>
          <w:rFonts w:hint="eastAsia" w:ascii="宋体" w:hAnsi="宋体" w:cs="宋体"/>
          <w:color w:val="auto"/>
          <w:sz w:val="24"/>
          <w:highlight w:val="none"/>
        </w:rPr>
        <w:t>评标结束后，代理机构将在原招标信息发布媒体上对中标候选人进行公示，公示期为3个日历日。中标候选人公示期结束，招标人根据评标委员会提出的书面评标报告和推荐的中标候选人，确定中标人，发布中标结果公示并向中标人发出中标通知书</w:t>
      </w:r>
      <w:r>
        <w:rPr>
          <w:rFonts w:hint="eastAsia" w:asciiTheme="majorEastAsia" w:hAnsiTheme="majorEastAsia" w:eastAsiaTheme="majorEastAsia"/>
          <w:color w:val="auto"/>
          <w:sz w:val="24"/>
          <w:highlight w:val="none"/>
        </w:rPr>
        <w:t>（须缴纳相关费用）。中标通知书发出后，中标人放弃中标，应当承担相应的法律责任。</w:t>
      </w:r>
    </w:p>
    <w:p w14:paraId="0C175717">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21.2 招标代理机构应当在《中标通知书》发出的同时将落标通知书发送给未中标的其它投标人。</w:t>
      </w:r>
    </w:p>
    <w:p w14:paraId="4236DF4D">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21.3 《中标通知书》将作为签订采购合同的依据。采购合同签订后，《中标通知书》成为合同文件的组成部分。</w:t>
      </w:r>
    </w:p>
    <w:p w14:paraId="7C20864B">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21.4 招标代理机构应当在《中标通知书》发出后5个工作日内退还未中标人的投标保证金（或银行保函），在招标人与中标人签订合同后（若有交纳履约保证金或银行履约保函的，则在中标人交纳履约保证金或银行履约保函后）5个工作日内，退还中标人的投标保证金。相关投标人须按招标文件要求向招标代理机构提交退还投标保证金的凭证材料。</w:t>
      </w:r>
    </w:p>
    <w:p w14:paraId="4FE5B534">
      <w:pPr>
        <w:spacing w:line="360" w:lineRule="auto"/>
        <w:rPr>
          <w:rFonts w:asciiTheme="majorEastAsia" w:hAnsiTheme="majorEastAsia" w:eastAsiaTheme="majorEastAsia"/>
          <w:b/>
          <w:bCs/>
          <w:color w:val="auto"/>
          <w:sz w:val="24"/>
          <w:highlight w:val="none"/>
        </w:rPr>
      </w:pPr>
      <w:r>
        <w:rPr>
          <w:rFonts w:hint="eastAsia" w:asciiTheme="majorEastAsia" w:hAnsiTheme="majorEastAsia" w:eastAsiaTheme="majorEastAsia"/>
          <w:b/>
          <w:bCs/>
          <w:color w:val="auto"/>
          <w:sz w:val="24"/>
          <w:highlight w:val="none"/>
        </w:rPr>
        <w:t>22. 签订合同</w:t>
      </w:r>
    </w:p>
    <w:p w14:paraId="25CB4903">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22.1 招标人、中标人应当在《中标通知书》发出之日起，根据招标文件确定的事项和中标投标文件，参照本招标文件第四章的合同文本签订合同。双方所签订的合同不得对招标文件和中标人投标文件作实质性修改。逾期未签订合同，按照有关法律规定承担相应的法律责任。属中标人责任的，招标代理机构将没收其投标保证金，以抵偿对招标人造成的损失。招标人逾期不与中标人签订合同的，按本文件的有关规定处理。</w:t>
      </w:r>
    </w:p>
    <w:p w14:paraId="1B8548DE">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22.2 招标文件、招标文件的修改文件、中标人的投标文件、补充或修改的文件及澄清或承诺文件等，均为双方签订采购合同文件的有效组成部分。</w:t>
      </w:r>
    </w:p>
    <w:p w14:paraId="31AAFE55">
      <w:pPr>
        <w:spacing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22.3 招标人在合同履行中，需追加与合同标的相同服务的，在不改变合同其他条款的前提下，可与供应商协商签订补充合同，但所有补充合同的采购金额不得超过原合同采购金额的10%。</w:t>
      </w:r>
    </w:p>
    <w:p w14:paraId="1C2A24F1">
      <w:pPr>
        <w:pStyle w:val="3"/>
        <w:spacing w:before="120" w:after="120" w:line="360" w:lineRule="auto"/>
        <w:ind w:left="0"/>
        <w:rPr>
          <w:rFonts w:ascii="宋体" w:hAnsi="宋体" w:cs="宋体"/>
          <w:color w:val="auto"/>
          <w:sz w:val="28"/>
          <w:szCs w:val="28"/>
          <w:highlight w:val="none"/>
        </w:rPr>
      </w:pPr>
      <w:bookmarkStart w:id="92" w:name="_Toc30326"/>
      <w:bookmarkStart w:id="93" w:name="_Toc10218"/>
      <w:bookmarkStart w:id="94" w:name="_Toc8171"/>
      <w:bookmarkStart w:id="95" w:name="_Toc8405"/>
      <w:bookmarkStart w:id="96" w:name="_Toc13821"/>
      <w:bookmarkStart w:id="97" w:name="_Toc4897"/>
      <w:bookmarkStart w:id="98" w:name="_Toc13869"/>
      <w:bookmarkStart w:id="99" w:name="_Toc7247"/>
      <w:bookmarkStart w:id="100" w:name="_Toc17022"/>
      <w:bookmarkStart w:id="101" w:name="_Toc11280"/>
      <w:bookmarkStart w:id="102" w:name="_Toc7990"/>
      <w:bookmarkStart w:id="103" w:name="_Toc14519"/>
      <w:bookmarkStart w:id="104" w:name="_Toc20481"/>
      <w:r>
        <w:rPr>
          <w:rFonts w:hint="eastAsia" w:ascii="宋体" w:hAnsi="宋体" w:cs="宋体"/>
          <w:color w:val="auto"/>
          <w:sz w:val="28"/>
          <w:szCs w:val="28"/>
          <w:highlight w:val="none"/>
        </w:rPr>
        <w:t>七、</w:t>
      </w:r>
      <w:bookmarkEnd w:id="92"/>
      <w:bookmarkEnd w:id="93"/>
      <w:bookmarkEnd w:id="94"/>
      <w:bookmarkEnd w:id="95"/>
      <w:bookmarkEnd w:id="96"/>
      <w:bookmarkEnd w:id="97"/>
      <w:r>
        <w:rPr>
          <w:rFonts w:hint="eastAsia" w:ascii="宋体" w:hAnsi="宋体" w:cs="宋体"/>
          <w:color w:val="auto"/>
          <w:sz w:val="28"/>
          <w:szCs w:val="28"/>
          <w:highlight w:val="none"/>
        </w:rPr>
        <w:t>异议</w:t>
      </w:r>
      <w:bookmarkEnd w:id="98"/>
      <w:bookmarkEnd w:id="99"/>
      <w:bookmarkEnd w:id="100"/>
      <w:bookmarkEnd w:id="101"/>
      <w:bookmarkEnd w:id="102"/>
      <w:bookmarkEnd w:id="103"/>
      <w:bookmarkEnd w:id="104"/>
    </w:p>
    <w:p w14:paraId="0BF7D70F">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23.异议</w:t>
      </w:r>
    </w:p>
    <w:p w14:paraId="01C2AD83">
      <w:pPr>
        <w:spacing w:line="360" w:lineRule="auto"/>
        <w:ind w:firstLine="420"/>
        <w:rPr>
          <w:rFonts w:ascii="宋体" w:hAnsi="宋体" w:cs="宋体"/>
          <w:color w:val="auto"/>
          <w:kern w:val="0"/>
          <w:sz w:val="24"/>
          <w:highlight w:val="none"/>
        </w:rPr>
      </w:pPr>
      <w:r>
        <w:rPr>
          <w:rFonts w:hint="eastAsia" w:ascii="宋体" w:hAnsi="宋体" w:cs="宋体"/>
          <w:color w:val="auto"/>
          <w:kern w:val="0"/>
          <w:sz w:val="24"/>
          <w:highlight w:val="none"/>
        </w:rPr>
        <w:t>23.1潜在投标人或者其他利害关系人对招标文件有异议的，应当在投标截止时间10日前向代理机构或招标人提出，否则将不予受理。</w:t>
      </w:r>
    </w:p>
    <w:p w14:paraId="2AF15F32">
      <w:pPr>
        <w:spacing w:line="360" w:lineRule="auto"/>
        <w:ind w:firstLine="420"/>
        <w:rPr>
          <w:rFonts w:asciiTheme="majorEastAsia" w:hAnsiTheme="majorEastAsia" w:eastAsiaTheme="majorEastAsia"/>
          <w:color w:val="auto"/>
          <w:sz w:val="24"/>
          <w:highlight w:val="none"/>
        </w:rPr>
      </w:pPr>
      <w:r>
        <w:rPr>
          <w:rFonts w:hint="eastAsia" w:ascii="宋体" w:hAnsi="宋体" w:cs="宋体"/>
          <w:color w:val="auto"/>
          <w:kern w:val="0"/>
          <w:sz w:val="24"/>
          <w:highlight w:val="none"/>
        </w:rPr>
        <w:t>23.2投标人或者其他利害关系人对项目的评标结果有异议的，应当在中标候选人公示期间提出，否则将不予受理。</w:t>
      </w:r>
    </w:p>
    <w:p w14:paraId="1CD82DF4">
      <w:pPr>
        <w:pStyle w:val="3"/>
        <w:spacing w:before="0" w:after="0" w:line="360" w:lineRule="auto"/>
        <w:ind w:left="0"/>
        <w:rPr>
          <w:rFonts w:ascii="宋体" w:hAnsi="宋体" w:cs="宋体"/>
          <w:color w:val="auto"/>
          <w:sz w:val="28"/>
          <w:szCs w:val="28"/>
          <w:highlight w:val="none"/>
        </w:rPr>
      </w:pPr>
      <w:bookmarkStart w:id="105" w:name="_Toc6953"/>
      <w:bookmarkStart w:id="106" w:name="_Toc7470"/>
      <w:bookmarkStart w:id="107" w:name="_Toc447204668"/>
      <w:bookmarkStart w:id="108" w:name="_Toc5256"/>
      <w:bookmarkStart w:id="109" w:name="_Toc17665"/>
      <w:bookmarkStart w:id="110" w:name="_Toc5325"/>
      <w:bookmarkStart w:id="111" w:name="_Toc729"/>
      <w:r>
        <w:rPr>
          <w:rFonts w:hint="eastAsia" w:ascii="宋体" w:hAnsi="宋体" w:cs="宋体"/>
          <w:color w:val="auto"/>
          <w:sz w:val="28"/>
          <w:szCs w:val="28"/>
          <w:highlight w:val="none"/>
        </w:rPr>
        <w:t>八、其他事项</w:t>
      </w:r>
      <w:bookmarkEnd w:id="105"/>
      <w:bookmarkEnd w:id="106"/>
      <w:bookmarkEnd w:id="107"/>
      <w:bookmarkEnd w:id="108"/>
      <w:bookmarkEnd w:id="109"/>
      <w:bookmarkEnd w:id="110"/>
      <w:bookmarkEnd w:id="111"/>
    </w:p>
    <w:p w14:paraId="18F79BD8">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24.代理服务费</w:t>
      </w:r>
    </w:p>
    <w:p w14:paraId="13FC92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24.1 中标人应按投标人须知前附表规定的标准向代理机构缴纳招标代理服务费。招标代理服务费在领取《中标通知书》的同时，以电汇、转账、银行现金解款等付款方式一次性缴清。</w:t>
      </w:r>
    </w:p>
    <w:p w14:paraId="346581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24.2 中标人在中标公告发布后或中标通知书发出后30日内未向代理机构缴交招标代理服务费的，代理机构将从其投标保证金中等额扣除招标代理服务费，余额退还中标人；投标保证金不足以支付招标代理服务费的，中标人应当向代理机构补足。若中标人存在恶意拖欠缴纳招标代理服务费的，代理机构可视情对中标人采取法律手段追索。</w:t>
      </w:r>
    </w:p>
    <w:p w14:paraId="0F32CC9D">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25.招标文件的解释</w:t>
      </w:r>
    </w:p>
    <w:p w14:paraId="0563F4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本招标文件的解释权归厦门市华沧采购招标有限公司。</w:t>
      </w:r>
    </w:p>
    <w:p w14:paraId="7634726D">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112" w:name="_Toc17246"/>
      <w:bookmarkStart w:id="113" w:name="_Toc26720"/>
      <w:r>
        <w:rPr>
          <w:rFonts w:hint="eastAsia" w:asciiTheme="majorEastAsia" w:hAnsiTheme="majorEastAsia" w:eastAsiaTheme="majorEastAsia"/>
          <w:color w:val="auto"/>
          <w:sz w:val="28"/>
          <w:szCs w:val="28"/>
          <w:highlight w:val="none"/>
        </w:rPr>
        <w:t>第三章招标内容及要求</w:t>
      </w:r>
      <w:bookmarkEnd w:id="112"/>
      <w:bookmarkEnd w:id="113"/>
    </w:p>
    <w:p w14:paraId="1A4255D7">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cs="宋体"/>
          <w:bCs/>
          <w:color w:val="auto"/>
          <w:sz w:val="24"/>
          <w:szCs w:val="24"/>
          <w:highlight w:val="none"/>
          <w:lang w:val="en-US" w:eastAsia="zh-CN"/>
        </w:rPr>
      </w:pPr>
      <w:bookmarkStart w:id="114" w:name="_Toc314838394"/>
      <w:bookmarkStart w:id="115" w:name="_Toc14860"/>
      <w:bookmarkStart w:id="116" w:name="_Toc169944036"/>
      <w:bookmarkStart w:id="117" w:name="_Toc450841304"/>
      <w:bookmarkStart w:id="118" w:name="_Toc169877489"/>
      <w:bookmarkStart w:id="119" w:name="_Toc30270"/>
      <w:bookmarkStart w:id="120" w:name="_Toc10926"/>
      <w:bookmarkStart w:id="121" w:name="_Toc99201668"/>
      <w:bookmarkStart w:id="122" w:name="_Toc462583246"/>
      <w:bookmarkStart w:id="123" w:name="_Toc8305"/>
      <w:bookmarkStart w:id="124" w:name="_Toc3679"/>
      <w:bookmarkStart w:id="125" w:name="_Toc10336"/>
      <w:bookmarkStart w:id="126" w:name="_Toc336250945"/>
      <w:bookmarkStart w:id="127" w:name="_Toc384391102"/>
      <w:r>
        <w:rPr>
          <w:rFonts w:hint="eastAsia" w:ascii="宋体" w:hAnsi="宋体" w:cs="宋体"/>
          <w:bCs/>
          <w:color w:val="auto"/>
          <w:sz w:val="24"/>
          <w:szCs w:val="24"/>
          <w:highlight w:val="none"/>
          <w:lang w:val="en-US" w:eastAsia="zh-CN"/>
        </w:rPr>
        <w:t>一、</w:t>
      </w:r>
      <w:bookmarkEnd w:id="114"/>
      <w:bookmarkEnd w:id="115"/>
      <w:bookmarkEnd w:id="116"/>
      <w:bookmarkEnd w:id="117"/>
      <w:bookmarkEnd w:id="118"/>
      <w:r>
        <w:rPr>
          <w:rFonts w:hint="eastAsia" w:ascii="宋体" w:hAnsi="宋体" w:cs="宋体"/>
          <w:bCs/>
          <w:color w:val="auto"/>
          <w:sz w:val="24"/>
          <w:szCs w:val="24"/>
          <w:highlight w:val="none"/>
          <w:lang w:val="en-US" w:eastAsia="zh-CN"/>
        </w:rPr>
        <w:t>项目概况</w:t>
      </w:r>
      <w:bookmarkEnd w:id="119"/>
      <w:bookmarkEnd w:id="120"/>
      <w:bookmarkEnd w:id="121"/>
    </w:p>
    <w:p w14:paraId="5CBB2D72">
      <w:pPr>
        <w:pStyle w:val="4"/>
        <w:numPr>
          <w:ilvl w:val="0"/>
          <w:numId w:val="0"/>
        </w:numPr>
        <w:tabs>
          <w:tab w:val="left" w:pos="-28"/>
          <w:tab w:val="left" w:pos="686"/>
          <w:tab w:val="clear" w:pos="5852"/>
        </w:tabs>
        <w:spacing w:before="156" w:after="156" w:line="360" w:lineRule="auto"/>
        <w:ind w:left="0" w:leftChars="0" w:firstLine="480" w:firstLineChars="200"/>
        <w:rPr>
          <w:rFonts w:hint="eastAsia" w:ascii="宋体" w:hAnsi="宋体" w:eastAsia="宋体" w:cs="宋体"/>
          <w:b w:val="0"/>
          <w:color w:val="auto"/>
          <w:kern w:val="2"/>
          <w:sz w:val="24"/>
          <w:szCs w:val="24"/>
          <w:highlight w:val="none"/>
          <w:lang w:val="en-US" w:eastAsia="zh-CN" w:bidi="ar-SA"/>
        </w:rPr>
      </w:pPr>
      <w:bookmarkStart w:id="128" w:name="_Toc314838395"/>
      <w:bookmarkStart w:id="129" w:name="_Toc169944039"/>
      <w:bookmarkStart w:id="130" w:name="_Toc450841305"/>
      <w:bookmarkStart w:id="131" w:name="_Toc169877492"/>
      <w:bookmarkStart w:id="132" w:name="_Toc329098429"/>
      <w:bookmarkStart w:id="133" w:name="_Toc11983"/>
      <w:r>
        <w:rPr>
          <w:rFonts w:hint="eastAsia" w:ascii="宋体" w:hAnsi="宋体" w:eastAsia="宋体" w:cs="宋体"/>
          <w:b w:val="0"/>
          <w:color w:val="auto"/>
          <w:kern w:val="2"/>
          <w:sz w:val="24"/>
          <w:szCs w:val="24"/>
          <w:highlight w:val="none"/>
          <w:lang w:val="en-US" w:eastAsia="zh-CN" w:bidi="ar-SA"/>
        </w:rPr>
        <w:t>海沧半导体产业基地项目废水站系统服务于园区企业的一套生产废水集中处理的系统，本项目入住企业主要为集成电路半导体封装测试，载板封装测试等先进制造企业，其主要生产废水包括集成电路晶圆封装测试或载板生产过程中的清洗废水。对入园企业生产过程中产生的各类废水分别收集、集中处理，共有如下九套系统</w:t>
      </w:r>
      <w:r>
        <w:rPr>
          <w:rFonts w:hint="eastAsia" w:ascii="宋体" w:hAnsi="宋体" w:cs="宋体"/>
          <w:b w:val="0"/>
          <w:color w:val="auto"/>
          <w:kern w:val="2"/>
          <w:sz w:val="24"/>
          <w:szCs w:val="24"/>
          <w:highlight w:val="none"/>
          <w:lang w:val="en-US" w:eastAsia="zh-CN" w:bidi="ar-SA"/>
        </w:rPr>
        <w:t>（</w:t>
      </w:r>
      <w:r>
        <w:rPr>
          <w:rFonts w:hint="eastAsia" w:ascii="宋体" w:hAnsi="宋体" w:eastAsia="宋体" w:cs="宋体"/>
          <w:b w:val="0"/>
          <w:color w:val="auto"/>
          <w:kern w:val="2"/>
          <w:sz w:val="24"/>
          <w:szCs w:val="24"/>
          <w:highlight w:val="none"/>
          <w:lang w:val="en-US" w:eastAsia="zh-CN" w:bidi="ar-SA"/>
        </w:rPr>
        <w:t>一期设计处理水量为6000吨/天</w:t>
      </w:r>
      <w:r>
        <w:rPr>
          <w:rFonts w:hint="eastAsia" w:ascii="宋体" w:hAnsi="宋体" w:cs="宋体"/>
          <w:b w:val="0"/>
          <w:color w:val="auto"/>
          <w:kern w:val="2"/>
          <w:sz w:val="24"/>
          <w:szCs w:val="24"/>
          <w:highlight w:val="none"/>
          <w:lang w:val="en-US" w:eastAsia="zh-CN" w:bidi="ar-SA"/>
        </w:rPr>
        <w:t>）</w:t>
      </w:r>
      <w:r>
        <w:rPr>
          <w:rFonts w:hint="eastAsia" w:ascii="宋体" w:hAnsi="宋体" w:eastAsia="宋体" w:cs="宋体"/>
          <w:b w:val="0"/>
          <w:color w:val="auto"/>
          <w:kern w:val="2"/>
          <w:sz w:val="24"/>
          <w:szCs w:val="24"/>
          <w:highlight w:val="none"/>
          <w:lang w:val="en-US" w:eastAsia="zh-CN" w:bidi="ar-SA"/>
        </w:rPr>
        <w:t>：</w:t>
      </w:r>
    </w:p>
    <w:p w14:paraId="49EAD73A">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含铜废水处理系统（非络合废水）</w:t>
      </w:r>
    </w:p>
    <w:p w14:paraId="063A3181">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含铜络合</w:t>
      </w:r>
      <w:r>
        <w:rPr>
          <w:rFonts w:hint="eastAsia" w:ascii="宋体" w:hAnsi="宋体" w:cs="宋体"/>
          <w:b w:val="0"/>
          <w:color w:val="auto"/>
          <w:kern w:val="2"/>
          <w:sz w:val="24"/>
          <w:szCs w:val="24"/>
          <w:highlight w:val="none"/>
          <w:lang w:val="en-US" w:eastAsia="zh-CN" w:bidi="ar-SA"/>
        </w:rPr>
        <w:t>+含铜有机</w:t>
      </w:r>
      <w:r>
        <w:rPr>
          <w:rFonts w:hint="eastAsia" w:ascii="宋体" w:hAnsi="宋体" w:eastAsia="宋体" w:cs="宋体"/>
          <w:b w:val="0"/>
          <w:color w:val="auto"/>
          <w:kern w:val="2"/>
          <w:sz w:val="24"/>
          <w:szCs w:val="24"/>
          <w:highlight w:val="none"/>
          <w:lang w:val="en-US" w:eastAsia="zh-CN" w:bidi="ar-SA"/>
        </w:rPr>
        <w:t>废水处理系统</w:t>
      </w:r>
    </w:p>
    <w:p w14:paraId="5BC16398">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含氰废水处理系统</w:t>
      </w:r>
    </w:p>
    <w:p w14:paraId="7779BCD1">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含镍废水处理系统</w:t>
      </w:r>
    </w:p>
    <w:p w14:paraId="532BFDCB">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含氟有机处理系统</w:t>
      </w:r>
    </w:p>
    <w:p w14:paraId="17BE4A71">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含锡银废水处理系统</w:t>
      </w:r>
    </w:p>
    <w:p w14:paraId="50A341AD">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研磨废水处理系统</w:t>
      </w:r>
    </w:p>
    <w:p w14:paraId="1D282971">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酸碱废水处理系统</w:t>
      </w:r>
    </w:p>
    <w:p w14:paraId="12BE0B91">
      <w:pPr>
        <w:pStyle w:val="178"/>
        <w:numPr>
          <w:ilvl w:val="1"/>
          <w:numId w:val="6"/>
        </w:numPr>
        <w:spacing w:before="156" w:after="156"/>
        <w:ind w:firstLineChars="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有机废水处理系统</w:t>
      </w:r>
    </w:p>
    <w:p w14:paraId="668A354E">
      <w:pPr>
        <w:numPr>
          <w:ilvl w:val="0"/>
          <w:numId w:val="0"/>
        </w:numPr>
        <w:spacing w:line="360" w:lineRule="auto"/>
        <w:ind w:firstLine="480" w:firstLineChars="200"/>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服务内容包括废水站处理设施及配套设施(含室外桥架上收集管道、全部在线监测设备、化验室、危废仓库、药剂仓库)运营。</w:t>
      </w:r>
    </w:p>
    <w:p w14:paraId="428C249B">
      <w:pPr>
        <w:pStyle w:val="178"/>
        <w:widowControl/>
        <w:spacing w:line="360" w:lineRule="auto"/>
        <w:ind w:firstLine="48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投标人运营内容包括但不限于：应保证废水站系统全天24小时连续运作，废水处理设施正常运行，出水达标排放；</w:t>
      </w:r>
      <w:r>
        <w:rPr>
          <w:rFonts w:hint="eastAsia" w:ascii="宋体" w:hAnsi="宋体" w:cs="宋体"/>
          <w:color w:val="auto"/>
          <w:sz w:val="24"/>
          <w:szCs w:val="24"/>
          <w:highlight w:val="none"/>
          <w:lang w:val="en-US" w:eastAsia="zh-CN"/>
        </w:rPr>
        <w:t>负责废水站内全部在线设备运营管理服务；</w:t>
      </w:r>
      <w:r>
        <w:rPr>
          <w:rFonts w:hint="eastAsia" w:ascii="宋体" w:hAnsi="宋体" w:cs="宋体"/>
          <w:color w:val="auto"/>
          <w:sz w:val="24"/>
          <w:szCs w:val="24"/>
          <w:highlight w:val="none"/>
        </w:rPr>
        <w:t>负责废水站系统相关管理工作；负责废水处理构筑物及所有设备的运行、维修保养、安全管理工作；制定技术经济指标，用以反映处理程度、处理能力、设备状态、运行成本及安全生产；对各项生产指标、能源和材料消耗等准确计量；</w:t>
      </w:r>
      <w:r>
        <w:rPr>
          <w:rFonts w:hint="eastAsia" w:ascii="宋体" w:hAnsi="宋体" w:cs="宋体"/>
          <w:color w:val="auto"/>
          <w:sz w:val="24"/>
          <w:szCs w:val="24"/>
          <w:highlight w:val="none"/>
          <w:lang w:val="en-US" w:eastAsia="zh-CN"/>
        </w:rPr>
        <w:t>负责全部监管平台系统的维护及填报工作；</w:t>
      </w:r>
      <w:r>
        <w:rPr>
          <w:rFonts w:hint="eastAsia" w:ascii="宋体" w:hAnsi="宋体" w:cs="宋体"/>
          <w:color w:val="auto"/>
          <w:sz w:val="24"/>
          <w:szCs w:val="24"/>
          <w:highlight w:val="none"/>
        </w:rPr>
        <w:t>协助园区建设单位管理企业废水排放，定期及突发状况下检测企业废水排放水质，制定相应处理方案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应急处理方案</w:t>
      </w:r>
      <w:r>
        <w:rPr>
          <w:rFonts w:hint="eastAsia" w:ascii="宋体" w:hAnsi="宋体" w:cs="宋体"/>
          <w:color w:val="auto"/>
          <w:sz w:val="24"/>
          <w:szCs w:val="24"/>
          <w:highlight w:val="none"/>
        </w:rPr>
        <w:t>等废水站系统全套运营管理。</w:t>
      </w:r>
    </w:p>
    <w:p w14:paraId="170645F1">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cs="宋体"/>
          <w:bCs/>
          <w:color w:val="auto"/>
          <w:sz w:val="24"/>
          <w:szCs w:val="24"/>
          <w:highlight w:val="none"/>
          <w:lang w:val="en-US" w:eastAsia="zh-CN"/>
        </w:rPr>
      </w:pPr>
      <w:bookmarkStart w:id="134" w:name="_Toc15628424"/>
      <w:bookmarkStart w:id="135" w:name="_Toc4407515"/>
      <w:bookmarkStart w:id="136" w:name="_Toc4340"/>
      <w:bookmarkStart w:id="137" w:name="_Toc99201670"/>
      <w:bookmarkStart w:id="138" w:name="_Toc7207"/>
      <w:r>
        <w:rPr>
          <w:rFonts w:hint="eastAsia" w:ascii="宋体" w:hAnsi="宋体" w:cs="宋体"/>
          <w:bCs/>
          <w:color w:val="auto"/>
          <w:sz w:val="24"/>
          <w:szCs w:val="24"/>
          <w:highlight w:val="none"/>
          <w:lang w:val="en-US" w:eastAsia="zh-CN"/>
        </w:rPr>
        <w:t>二、技术及服务</w:t>
      </w:r>
      <w:bookmarkEnd w:id="134"/>
      <w:bookmarkEnd w:id="135"/>
      <w:bookmarkEnd w:id="136"/>
      <w:bookmarkEnd w:id="137"/>
      <w:r>
        <w:rPr>
          <w:rFonts w:hint="eastAsia" w:ascii="宋体" w:hAnsi="宋体" w:cs="宋体"/>
          <w:bCs/>
          <w:color w:val="auto"/>
          <w:sz w:val="24"/>
          <w:szCs w:val="24"/>
          <w:highlight w:val="none"/>
          <w:lang w:val="en-US" w:eastAsia="zh-CN"/>
        </w:rPr>
        <w:t>要求</w:t>
      </w:r>
      <w:bookmarkEnd w:id="138"/>
    </w:p>
    <w:bookmarkEnd w:id="128"/>
    <w:bookmarkEnd w:id="129"/>
    <w:bookmarkEnd w:id="130"/>
    <w:bookmarkEnd w:id="131"/>
    <w:p w14:paraId="794673CB">
      <w:pPr>
        <w:spacing w:line="360" w:lineRule="auto"/>
        <w:ind w:firstLine="454" w:firstLineChars="200"/>
        <w:outlineLvl w:val="0"/>
        <w:rPr>
          <w:rFonts w:hint="eastAsia" w:ascii="宋体" w:hAnsi="宋体" w:cs="宋体"/>
          <w:color w:val="auto"/>
          <w:sz w:val="24"/>
          <w:highlight w:val="none"/>
        </w:rPr>
      </w:pPr>
      <w:bookmarkStart w:id="139" w:name="_Toc173848272"/>
      <w:bookmarkStart w:id="140" w:name="_Toc21887"/>
      <w:bookmarkStart w:id="141" w:name="_Toc12899"/>
      <w:bookmarkStart w:id="142" w:name="_Toc99201676"/>
      <w:r>
        <w:rPr>
          <w:rFonts w:hint="eastAsia" w:ascii="宋体" w:hAnsi="宋体" w:cs="宋体"/>
          <w:b/>
          <w:bCs/>
          <w:color w:val="auto"/>
          <w:spacing w:val="-7"/>
          <w:sz w:val="24"/>
          <w:highlight w:val="none"/>
          <w:lang w:val="en-US" w:eastAsia="zh-CN"/>
        </w:rPr>
        <w:t>1</w:t>
      </w:r>
      <w:r>
        <w:rPr>
          <w:rFonts w:hint="eastAsia" w:ascii="宋体" w:hAnsi="宋体" w:cs="宋体"/>
          <w:b/>
          <w:bCs/>
          <w:color w:val="auto"/>
          <w:spacing w:val="-7"/>
          <w:sz w:val="24"/>
          <w:highlight w:val="none"/>
        </w:rPr>
        <w:t>.污水水质及处理质量要求</w:t>
      </w:r>
      <w:bookmarkEnd w:id="139"/>
    </w:p>
    <w:p w14:paraId="505A2B0C">
      <w:pPr>
        <w:spacing w:line="360" w:lineRule="auto"/>
        <w:ind w:right="152" w:firstLine="472" w:firstLineChars="200"/>
        <w:rPr>
          <w:rFonts w:hint="default"/>
          <w:color w:val="auto"/>
          <w:highlight w:val="none"/>
          <w:lang w:val="en-US" w:eastAsia="zh-CN"/>
        </w:rPr>
      </w:pPr>
      <w:r>
        <w:rPr>
          <w:rFonts w:hint="eastAsia" w:ascii="宋体" w:hAnsi="宋体" w:cs="宋体"/>
          <w:color w:val="auto"/>
          <w:spacing w:val="-2"/>
          <w:sz w:val="24"/>
          <w:highlight w:val="none"/>
          <w:lang w:val="en-US" w:eastAsia="zh-CN"/>
        </w:rPr>
        <w:t>废水站</w:t>
      </w:r>
      <w:r>
        <w:rPr>
          <w:rFonts w:hint="eastAsia" w:ascii="宋体" w:hAnsi="宋体" w:cs="宋体"/>
          <w:color w:val="auto"/>
          <w:spacing w:val="-2"/>
          <w:sz w:val="24"/>
          <w:highlight w:val="none"/>
        </w:rPr>
        <w:t>出水水质应满足</w:t>
      </w:r>
      <w:r>
        <w:rPr>
          <w:color w:val="auto"/>
          <w:sz w:val="24"/>
          <w:highlight w:val="none"/>
        </w:rPr>
        <w:t>《电子工业水污染物排放标准》</w:t>
      </w:r>
      <w:r>
        <w:rPr>
          <w:rFonts w:hint="eastAsia"/>
          <w:color w:val="auto"/>
          <w:sz w:val="24"/>
          <w:highlight w:val="none"/>
        </w:rPr>
        <w:t>（GB39731-2020）中表1间接排放标准</w:t>
      </w:r>
      <w:r>
        <w:rPr>
          <w:rFonts w:hint="eastAsia" w:ascii="宋体" w:hAnsi="宋体" w:cs="宋体"/>
          <w:color w:val="auto"/>
          <w:spacing w:val="-8"/>
          <w:sz w:val="24"/>
          <w:highlight w:val="none"/>
        </w:rPr>
        <w:t>。</w:t>
      </w:r>
      <w:r>
        <w:rPr>
          <w:rFonts w:hint="eastAsia" w:ascii="宋体" w:hAnsi="宋体" w:cs="宋体"/>
          <w:color w:val="auto"/>
          <w:spacing w:val="-8"/>
          <w:sz w:val="24"/>
          <w:highlight w:val="none"/>
          <w:lang w:val="en-US" w:eastAsia="zh-CN"/>
        </w:rPr>
        <w:t>未详尽部分应满足</w:t>
      </w:r>
      <w:r>
        <w:rPr>
          <w:color w:val="auto"/>
          <w:sz w:val="24"/>
          <w:highlight w:val="none"/>
        </w:rPr>
        <w:t>《</w:t>
      </w:r>
      <w:r>
        <w:rPr>
          <w:rFonts w:hint="eastAsia" w:ascii="宋体" w:hAnsi="宋体" w:cs="宋体"/>
          <w:color w:val="auto"/>
          <w:spacing w:val="-8"/>
          <w:sz w:val="24"/>
          <w:highlight w:val="none"/>
          <w:lang w:val="en-US" w:eastAsia="zh-CN"/>
        </w:rPr>
        <w:t>海沧半导体产业基地项目废水站系统环境影响报告书</w:t>
      </w:r>
      <w:r>
        <w:rPr>
          <w:color w:val="auto"/>
          <w:sz w:val="24"/>
          <w:highlight w:val="none"/>
        </w:rPr>
        <w:t>》</w:t>
      </w:r>
      <w:r>
        <w:rPr>
          <w:rFonts w:hint="eastAsia"/>
          <w:color w:val="auto"/>
          <w:sz w:val="24"/>
          <w:highlight w:val="none"/>
          <w:lang w:val="en-US" w:eastAsia="zh-CN"/>
        </w:rPr>
        <w:t>相关要求</w:t>
      </w:r>
      <w:r>
        <w:rPr>
          <w:rFonts w:hint="eastAsia" w:ascii="宋体" w:hAnsi="宋体" w:cs="宋体"/>
          <w:color w:val="auto"/>
          <w:spacing w:val="-8"/>
          <w:sz w:val="24"/>
          <w:highlight w:val="none"/>
          <w:lang w:val="en-US" w:eastAsia="zh-CN"/>
        </w:rPr>
        <w:t>。</w:t>
      </w:r>
    </w:p>
    <w:p w14:paraId="2CA575CE">
      <w:pPr>
        <w:numPr>
          <w:ilvl w:val="0"/>
          <w:numId w:val="0"/>
        </w:numPr>
        <w:spacing w:line="360" w:lineRule="auto"/>
        <w:ind w:firstLine="458" w:firstLineChars="200"/>
        <w:outlineLvl w:val="0"/>
        <w:rPr>
          <w:rFonts w:hint="eastAsia" w:ascii="宋体" w:hAnsi="宋体" w:cs="宋体"/>
          <w:b/>
          <w:bCs/>
          <w:color w:val="auto"/>
          <w:spacing w:val="-6"/>
          <w:sz w:val="24"/>
          <w:highlight w:val="none"/>
        </w:rPr>
      </w:pPr>
      <w:bookmarkStart w:id="143" w:name="_Toc173848273"/>
      <w:r>
        <w:rPr>
          <w:rFonts w:hint="eastAsia" w:ascii="宋体" w:hAnsi="宋体" w:cs="宋体"/>
          <w:b/>
          <w:bCs/>
          <w:color w:val="auto"/>
          <w:spacing w:val="-6"/>
          <w:kern w:val="2"/>
          <w:sz w:val="24"/>
          <w:szCs w:val="24"/>
          <w:highlight w:val="none"/>
          <w:lang w:val="en-US" w:eastAsia="zh-CN" w:bidi="ar-SA"/>
        </w:rPr>
        <w:t>2</w:t>
      </w:r>
      <w:r>
        <w:rPr>
          <w:rFonts w:hint="eastAsia" w:ascii="宋体" w:hAnsi="宋体" w:eastAsia="宋体" w:cs="宋体"/>
          <w:b/>
          <w:bCs/>
          <w:color w:val="auto"/>
          <w:spacing w:val="-6"/>
          <w:kern w:val="2"/>
          <w:sz w:val="24"/>
          <w:szCs w:val="24"/>
          <w:highlight w:val="none"/>
          <w:lang w:val="en-US" w:eastAsia="zh-CN" w:bidi="ar-SA"/>
        </w:rPr>
        <w:t>.</w:t>
      </w:r>
      <w:r>
        <w:rPr>
          <w:rFonts w:hint="eastAsia" w:ascii="宋体" w:hAnsi="宋体" w:cs="宋体"/>
          <w:b/>
          <w:bCs/>
          <w:color w:val="auto"/>
          <w:spacing w:val="-6"/>
          <w:sz w:val="24"/>
          <w:highlight w:val="none"/>
        </w:rPr>
        <w:t>项目运行管理要求</w:t>
      </w:r>
      <w:bookmarkEnd w:id="143"/>
    </w:p>
    <w:p w14:paraId="3770C382">
      <w:pPr>
        <w:numPr>
          <w:ilvl w:val="0"/>
          <w:numId w:val="0"/>
        </w:numPr>
        <w:spacing w:line="360" w:lineRule="auto"/>
        <w:ind w:firstLine="480" w:firstLineChars="200"/>
        <w:outlineLvl w:val="0"/>
        <w:rPr>
          <w:rFonts w:hint="eastAsia" w:ascii="宋体" w:hAnsi="宋体" w:cs="宋体"/>
          <w:color w:val="auto"/>
          <w:sz w:val="24"/>
          <w:highlight w:val="none"/>
        </w:rPr>
      </w:pPr>
      <w:r>
        <w:rPr>
          <w:rFonts w:hint="eastAsia" w:ascii="宋体" w:hAnsi="宋体" w:cs="宋体"/>
          <w:color w:val="auto"/>
          <w:kern w:val="0"/>
          <w:sz w:val="24"/>
          <w:highlight w:val="none"/>
          <w:lang w:val="en-US" w:eastAsia="zh-CN"/>
        </w:rPr>
        <w:t>2.1中标人</w:t>
      </w:r>
      <w:r>
        <w:rPr>
          <w:rFonts w:hint="eastAsia" w:ascii="宋体" w:hAnsi="宋体" w:cs="宋体"/>
          <w:color w:val="auto"/>
          <w:kern w:val="0"/>
          <w:sz w:val="24"/>
          <w:highlight w:val="none"/>
        </w:rPr>
        <w:t>保证全天24小时正常运行并达到排放标准要求。</w:t>
      </w:r>
    </w:p>
    <w:p w14:paraId="3929D77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应充分了解</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及主管部门的服务要求，制定详细管理服务方案。无条件接受</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制定的各项规章制度，并根据项目管理的需要建立各种规范化管理制度、工作流程、考核制度及其他相关的工作制度；接受</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的检查评估和监督；配合</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保障上级单位的检查。</w:t>
      </w:r>
    </w:p>
    <w:p w14:paraId="1CD3835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须针对本项目组建专业的运营服务团队，并将人员配备情况书面报告</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的服务人员必须具备相应技术能力及证书，特种作业人员必须持证上岗，且并提供有效证件复印件。</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应按国家劳动法律、法规与工人确立合法的劳动管理合同，按时足额向工人发放工资，如发生恶意欠薪或</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工人向</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主张发放工资等情况，由</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自行承担一切责任，</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有权单方解除合同。</w:t>
      </w:r>
    </w:p>
    <w:p w14:paraId="51051BA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须建立相应的内业档案制度（包括运营、巡查、检测、维修、安全管理等作业档案资料），要求有文字与图片记录，对运营服务工作进行书面记录和上报。</w:t>
      </w:r>
    </w:p>
    <w:p w14:paraId="6A4E5E19">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2.5</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lang w:val="en-US" w:eastAsia="zh-CN"/>
        </w:rPr>
        <w:t>须承包建立、填报各监管平台相关信息、年报等工作，提报前应经过招标人审核无误。并按照规定做好电子核纸质版存档。</w:t>
      </w:r>
    </w:p>
    <w:p w14:paraId="67DA88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须自备有完成本项目所需的工具、材料、防护用具等，且必须符合国家相关标准方可使用，否则，由此产生的一切经济损失及安全责任由</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全部承担；造成较大损害，</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还须承担相应的法律责任。</w:t>
      </w:r>
    </w:p>
    <w:p w14:paraId="0B01530F">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spacing w:val="2"/>
          <w:sz w:val="24"/>
          <w:highlight w:val="none"/>
          <w:lang w:val="en-US" w:eastAsia="zh-CN"/>
        </w:rPr>
        <w:t>2</w:t>
      </w:r>
      <w:r>
        <w:rPr>
          <w:rFonts w:hint="eastAsia" w:ascii="宋体" w:hAnsi="宋体" w:cs="宋体"/>
          <w:color w:val="auto"/>
          <w:spacing w:val="2"/>
          <w:sz w:val="24"/>
          <w:highlight w:val="none"/>
        </w:rPr>
        <w:t>.</w:t>
      </w:r>
      <w:r>
        <w:rPr>
          <w:rFonts w:hint="eastAsia" w:ascii="宋体" w:hAnsi="宋体" w:cs="宋体"/>
          <w:color w:val="auto"/>
          <w:spacing w:val="2"/>
          <w:sz w:val="24"/>
          <w:highlight w:val="none"/>
          <w:lang w:val="en-US" w:eastAsia="zh-CN"/>
        </w:rPr>
        <w:t>7</w:t>
      </w:r>
      <w:r>
        <w:rPr>
          <w:rFonts w:hint="eastAsia" w:ascii="宋体" w:hAnsi="宋体" w:cs="宋体"/>
          <w:b/>
          <w:bCs/>
          <w:color w:val="auto"/>
          <w:spacing w:val="2"/>
          <w:sz w:val="24"/>
          <w:highlight w:val="none"/>
        </w:rPr>
        <w:t>本项目在运行时，中标人</w:t>
      </w:r>
      <w:r>
        <w:rPr>
          <w:rFonts w:hint="eastAsia" w:ascii="宋体" w:hAnsi="宋体" w:cs="宋体"/>
          <w:b/>
          <w:bCs/>
          <w:color w:val="auto"/>
          <w:kern w:val="0"/>
          <w:sz w:val="24"/>
          <w:highlight w:val="none"/>
        </w:rPr>
        <w:t>需考虑对周边环境的影响(如噪声、臭气等),</w:t>
      </w:r>
      <w:r>
        <w:rPr>
          <w:rFonts w:hint="eastAsia" w:ascii="宋体" w:hAnsi="宋体" w:cs="宋体"/>
          <w:b/>
          <w:bCs/>
          <w:color w:val="auto"/>
          <w:spacing w:val="2"/>
          <w:sz w:val="24"/>
          <w:highlight w:val="none"/>
        </w:rPr>
        <w:t>中标人</w:t>
      </w:r>
      <w:r>
        <w:rPr>
          <w:rFonts w:hint="eastAsia" w:ascii="宋体" w:hAnsi="宋体" w:cs="宋体"/>
          <w:b/>
          <w:bCs/>
          <w:color w:val="auto"/>
          <w:kern w:val="0"/>
          <w:sz w:val="24"/>
          <w:highlight w:val="none"/>
        </w:rPr>
        <w:t>必须按相关法规做好防火、环保、噪声、臭气、排污、扬尘等控制措施，并承担相应费用。</w:t>
      </w:r>
    </w:p>
    <w:p w14:paraId="74E1CBC4">
      <w:pPr>
        <w:widowControl/>
        <w:spacing w:line="360" w:lineRule="auto"/>
        <w:ind w:firstLine="480" w:firstLineChars="200"/>
        <w:jc w:val="left"/>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8中标人</w:t>
      </w:r>
      <w:r>
        <w:rPr>
          <w:rFonts w:hint="eastAsia" w:ascii="宋体" w:hAnsi="宋体" w:cs="宋体"/>
          <w:color w:val="auto"/>
          <w:sz w:val="24"/>
          <w:szCs w:val="24"/>
          <w:highlight w:val="none"/>
        </w:rPr>
        <w:t>制定技术经济指标，用以反映处理程度、处理能力、设备状态、运行成本及安全生产；对各项生产指标、能源和材料消耗等准确计量；协助园区建设单位管理企业废水排放，定期及突发状况下检测企业废水排放水质，制定相应处理方案等废水站系统全套运营管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协助</w:t>
      </w:r>
      <w:r>
        <w:rPr>
          <w:rFonts w:hint="eastAsia" w:ascii="宋体" w:hAnsi="宋体" w:cs="宋体"/>
          <w:color w:val="auto"/>
          <w:sz w:val="24"/>
          <w:highlight w:val="none"/>
          <w:lang w:val="en-US" w:eastAsia="zh-CN"/>
        </w:rPr>
        <w:t>招标人</w:t>
      </w:r>
      <w:r>
        <w:rPr>
          <w:rFonts w:hint="eastAsia" w:ascii="宋体" w:hAnsi="宋体" w:cs="宋体"/>
          <w:color w:val="auto"/>
          <w:sz w:val="24"/>
          <w:szCs w:val="24"/>
          <w:highlight w:val="none"/>
          <w:lang w:val="en-US" w:eastAsia="zh-CN"/>
        </w:rPr>
        <w:t>做好运行成本控制。</w:t>
      </w:r>
    </w:p>
    <w:p w14:paraId="6CA88D40">
      <w:pPr>
        <w:widowControl/>
        <w:spacing w:line="360" w:lineRule="auto"/>
        <w:ind w:firstLine="482"/>
        <w:jc w:val="left"/>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9</w:t>
      </w:r>
      <w:r>
        <w:rPr>
          <w:rFonts w:hint="eastAsia" w:ascii="宋体" w:hAnsi="宋体" w:cs="宋体"/>
          <w:color w:val="auto"/>
          <w:kern w:val="0"/>
          <w:sz w:val="24"/>
          <w:highlight w:val="none"/>
          <w:lang w:val="en-US" w:eastAsia="zh-CN"/>
        </w:rPr>
        <w:t>中标人</w:t>
      </w:r>
      <w:r>
        <w:rPr>
          <w:rFonts w:hint="eastAsia" w:ascii="宋体" w:hAnsi="宋体" w:eastAsia="宋体" w:cs="宋体"/>
          <w:color w:val="auto"/>
          <w:kern w:val="0"/>
          <w:sz w:val="24"/>
          <w:highlight w:val="none"/>
        </w:rPr>
        <w:t>应在</w:t>
      </w:r>
      <w:r>
        <w:rPr>
          <w:rFonts w:hint="eastAsia" w:ascii="宋体" w:hAnsi="宋体" w:cs="宋体"/>
          <w:color w:val="auto"/>
          <w:sz w:val="24"/>
          <w:highlight w:val="none"/>
          <w:lang w:val="en-US" w:eastAsia="zh-CN"/>
        </w:rPr>
        <w:t>招标人</w:t>
      </w:r>
      <w:r>
        <w:rPr>
          <w:rFonts w:hint="eastAsia" w:ascii="宋体" w:hAnsi="宋体" w:eastAsia="宋体" w:cs="宋体"/>
          <w:color w:val="auto"/>
          <w:kern w:val="0"/>
          <w:sz w:val="24"/>
          <w:highlight w:val="none"/>
        </w:rPr>
        <w:t>规定的用地范围内提供服务，由</w:t>
      </w:r>
      <w:r>
        <w:rPr>
          <w:rFonts w:hint="eastAsia" w:ascii="宋体" w:hAnsi="宋体" w:cs="宋体"/>
          <w:color w:val="auto"/>
          <w:sz w:val="24"/>
          <w:highlight w:val="none"/>
          <w:lang w:val="en-US" w:eastAsia="zh-CN"/>
        </w:rPr>
        <w:t>招标人</w:t>
      </w:r>
      <w:r>
        <w:rPr>
          <w:rFonts w:hint="eastAsia" w:ascii="宋体" w:hAnsi="宋体" w:eastAsia="宋体" w:cs="宋体"/>
          <w:color w:val="auto"/>
          <w:kern w:val="0"/>
          <w:sz w:val="24"/>
          <w:highlight w:val="none"/>
          <w:lang w:val="en-US" w:eastAsia="zh-CN"/>
        </w:rPr>
        <w:t>协调主管部门</w:t>
      </w:r>
      <w:r>
        <w:rPr>
          <w:rFonts w:hint="eastAsia" w:ascii="宋体" w:hAnsi="宋体" w:eastAsia="宋体" w:cs="宋体"/>
          <w:color w:val="auto"/>
          <w:kern w:val="0"/>
          <w:sz w:val="24"/>
          <w:highlight w:val="none"/>
        </w:rPr>
        <w:t>办理相关用地手续。</w:t>
      </w:r>
    </w:p>
    <w:p w14:paraId="7978BEE4">
      <w:pPr>
        <w:widowControl/>
        <w:spacing w:line="360" w:lineRule="auto"/>
        <w:ind w:firstLine="482"/>
        <w:jc w:val="left"/>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10在线设备运营要求</w:t>
      </w:r>
    </w:p>
    <w:p w14:paraId="7190C564">
      <w:pPr>
        <w:tabs>
          <w:tab w:val="left" w:pos="735"/>
        </w:tabs>
        <w:spacing w:line="360" w:lineRule="auto"/>
        <w:ind w:firstLine="482" w:firstLineChars="200"/>
        <w:rPr>
          <w:rFonts w:hint="eastAsia" w:ascii="宋体" w:hAnsi="宋体" w:cs="宋体"/>
          <w:color w:val="auto"/>
          <w:kern w:val="0"/>
          <w:sz w:val="24"/>
          <w:highlight w:val="none"/>
        </w:rPr>
      </w:pPr>
      <w:r>
        <w:rPr>
          <w:rFonts w:hint="eastAsia" w:ascii="宋体" w:hAnsi="宋体" w:cs="宋体"/>
          <w:b/>
          <w:bCs/>
          <w:color w:val="auto"/>
          <w:kern w:val="0"/>
          <w:sz w:val="24"/>
          <w:highlight w:val="none"/>
        </w:rPr>
        <w:t>服务范围，包含且不限于：包含全年在线仪表所需的全套试剂、纯净水和标定核查专用质控样；包含全年运维维护所需的全部配件和易耗品；包含日常巡检维护、在线系统报备、月季年网上系统填报、日常环保局对接等；包含全年的4个季度</w:t>
      </w:r>
      <w:r>
        <w:rPr>
          <w:rFonts w:hint="eastAsia" w:ascii="宋体" w:hAnsi="宋体" w:cs="宋体"/>
          <w:b/>
          <w:bCs/>
          <w:color w:val="auto"/>
          <w:kern w:val="0"/>
          <w:sz w:val="24"/>
          <w:highlight w:val="none"/>
          <w:lang w:val="en-US" w:eastAsia="zh-CN"/>
        </w:rPr>
        <w:t>联网部分流量计比对检测和每个月</w:t>
      </w:r>
      <w:r>
        <w:rPr>
          <w:rFonts w:hint="eastAsia" w:ascii="宋体" w:hAnsi="宋体" w:cs="宋体"/>
          <w:b/>
          <w:bCs/>
          <w:color w:val="auto"/>
          <w:kern w:val="0"/>
          <w:sz w:val="24"/>
          <w:highlight w:val="none"/>
        </w:rPr>
        <w:t>的</w:t>
      </w:r>
      <w:r>
        <w:rPr>
          <w:rFonts w:hint="eastAsia" w:ascii="宋体" w:hAnsi="宋体" w:cs="宋体"/>
          <w:b/>
          <w:bCs/>
          <w:color w:val="auto"/>
          <w:kern w:val="0"/>
          <w:sz w:val="24"/>
          <w:highlight w:val="none"/>
          <w:lang w:val="en-US" w:eastAsia="zh-CN"/>
        </w:rPr>
        <w:t>联网部分</w:t>
      </w:r>
      <w:r>
        <w:rPr>
          <w:rFonts w:hint="eastAsia" w:ascii="宋体" w:hAnsi="宋体" w:cs="宋体"/>
          <w:b/>
          <w:bCs/>
          <w:color w:val="auto"/>
          <w:kern w:val="0"/>
          <w:sz w:val="24"/>
          <w:highlight w:val="none"/>
        </w:rPr>
        <w:t>在线监测系统比对检测委外费用和材料编辑费用</w:t>
      </w:r>
      <w:r>
        <w:rPr>
          <w:rFonts w:hint="eastAsia" w:ascii="宋体" w:hAnsi="宋体" w:cs="宋体"/>
          <w:b/>
          <w:bCs/>
          <w:color w:val="auto"/>
          <w:kern w:val="0"/>
          <w:sz w:val="24"/>
          <w:highlight w:val="none"/>
          <w:lang w:val="en-US" w:eastAsia="zh-CN"/>
        </w:rPr>
        <w:t>等在线设备全部工作及费用</w:t>
      </w:r>
      <w:r>
        <w:rPr>
          <w:rFonts w:hint="eastAsia" w:ascii="宋体" w:hAnsi="宋体" w:cs="宋体"/>
          <w:b/>
          <w:bCs/>
          <w:color w:val="auto"/>
          <w:kern w:val="0"/>
          <w:sz w:val="24"/>
          <w:highlight w:val="none"/>
          <w:lang w:eastAsia="zh-CN"/>
        </w:rPr>
        <w:t>；</w:t>
      </w:r>
      <w:r>
        <w:rPr>
          <w:rFonts w:hint="eastAsia" w:ascii="宋体" w:hAnsi="宋体" w:eastAsia="宋体" w:cs="宋体"/>
          <w:b/>
          <w:bCs/>
          <w:color w:val="auto"/>
          <w:kern w:val="0"/>
          <w:sz w:val="24"/>
          <w:highlight w:val="none"/>
          <w:lang w:val="en-US" w:eastAsia="zh-CN"/>
        </w:rPr>
        <w:t>包含环保</w:t>
      </w:r>
      <w:r>
        <w:rPr>
          <w:rFonts w:hint="eastAsia" w:ascii="宋体" w:hAnsi="宋体" w:eastAsia="宋体" w:cs="宋体"/>
          <w:b/>
          <w:bCs/>
          <w:color w:val="auto"/>
          <w:kern w:val="0"/>
          <w:sz w:val="24"/>
          <w:highlight w:val="none"/>
        </w:rPr>
        <w:t>监测</w:t>
      </w:r>
      <w:r>
        <w:rPr>
          <w:rFonts w:hint="eastAsia" w:ascii="宋体" w:hAnsi="宋体" w:eastAsia="宋体" w:cs="宋体"/>
          <w:b/>
          <w:bCs/>
          <w:color w:val="auto"/>
          <w:kern w:val="0"/>
          <w:sz w:val="24"/>
          <w:highlight w:val="none"/>
          <w:lang w:val="en-US" w:eastAsia="zh-CN"/>
        </w:rPr>
        <w:t>监管</w:t>
      </w:r>
      <w:r>
        <w:rPr>
          <w:rFonts w:hint="eastAsia" w:ascii="宋体" w:hAnsi="宋体" w:eastAsia="宋体" w:cs="宋体"/>
          <w:b/>
          <w:bCs/>
          <w:color w:val="auto"/>
          <w:kern w:val="0"/>
          <w:sz w:val="24"/>
          <w:highlight w:val="none"/>
        </w:rPr>
        <w:t>频次</w:t>
      </w:r>
      <w:r>
        <w:rPr>
          <w:rFonts w:hint="eastAsia" w:ascii="宋体" w:hAnsi="宋体" w:eastAsia="宋体" w:cs="宋体"/>
          <w:b/>
          <w:bCs/>
          <w:color w:val="auto"/>
          <w:kern w:val="0"/>
          <w:sz w:val="24"/>
          <w:highlight w:val="none"/>
          <w:lang w:val="en-US" w:eastAsia="zh-CN"/>
        </w:rPr>
        <w:t>的变动产生的相关费用。</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rPr>
        <w:t>保证数据的真实性、准确性、有效性，并对设备数据负责。</w:t>
      </w:r>
      <w:r>
        <w:rPr>
          <w:rFonts w:hint="eastAsia" w:ascii="宋体" w:hAnsi="宋体" w:cs="宋体"/>
          <w:color w:val="auto"/>
          <w:spacing w:val="-3"/>
          <w:sz w:val="24"/>
          <w:highlight w:val="none"/>
          <w:lang w:val="en-US" w:eastAsia="zh-CN"/>
        </w:rPr>
        <w:t>在线设备清单表，详见附件。</w:t>
      </w:r>
    </w:p>
    <w:p w14:paraId="47791F96">
      <w:pPr>
        <w:spacing w:line="360" w:lineRule="auto"/>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在线监测系统</w:t>
      </w:r>
      <w:r>
        <w:rPr>
          <w:rFonts w:hint="eastAsia" w:ascii="宋体" w:hAnsi="宋体" w:cs="宋体"/>
          <w:color w:val="auto"/>
          <w:sz w:val="24"/>
          <w:highlight w:val="none"/>
          <w:lang w:val="en-US" w:eastAsia="zh-CN" w:bidi="ar"/>
        </w:rPr>
        <w:t>运维包含且不限于：</w:t>
      </w:r>
      <w:r>
        <w:rPr>
          <w:rFonts w:hint="eastAsia" w:ascii="宋体" w:hAnsi="宋体" w:cs="宋体"/>
          <w:color w:val="auto"/>
          <w:sz w:val="24"/>
          <w:highlight w:val="none"/>
          <w:lang w:bidi="ar"/>
        </w:rPr>
        <w:t>环境在线监测系统基本运维工作管控</w:t>
      </w:r>
      <w:r>
        <w:rPr>
          <w:rFonts w:hint="eastAsia" w:ascii="宋体" w:hAnsi="宋体" w:cs="宋体"/>
          <w:color w:val="auto"/>
          <w:sz w:val="24"/>
          <w:highlight w:val="none"/>
          <w:lang w:eastAsia="zh-CN" w:bidi="ar"/>
        </w:rPr>
        <w:t>；</w:t>
      </w:r>
      <w:r>
        <w:rPr>
          <w:rFonts w:hint="eastAsia" w:ascii="宋体" w:hAnsi="宋体" w:cs="宋体"/>
          <w:b/>
          <w:bCs/>
          <w:color w:val="auto"/>
          <w:kern w:val="0"/>
          <w:sz w:val="24"/>
          <w:highlight w:val="none"/>
          <w:lang w:val="en-US" w:eastAsia="zh-CN"/>
        </w:rPr>
        <w:t>应满足环保相关部门对在线联网监测设备的比对要求；</w:t>
      </w:r>
      <w:r>
        <w:rPr>
          <w:rFonts w:hint="eastAsia" w:ascii="宋体" w:hAnsi="宋体" w:cs="宋体"/>
          <w:color w:val="auto"/>
          <w:sz w:val="24"/>
          <w:highlight w:val="none"/>
          <w:lang w:bidi="ar"/>
        </w:rPr>
        <w:t>每周对各套系统各部件进行一次运行检查；每月对仪表进行一次质控样抽检及数据核对；每月对仪表进行一次监督性抽检比对（安排水样采集配送至实验室）；</w:t>
      </w:r>
      <w:r>
        <w:rPr>
          <w:rFonts w:hint="eastAsia" w:ascii="宋体" w:hAnsi="宋体" w:cs="宋体"/>
          <w:color w:val="auto"/>
          <w:sz w:val="24"/>
          <w:highlight w:val="none"/>
          <w:lang w:val="en-US" w:eastAsia="zh-CN" w:bidi="ar"/>
        </w:rPr>
        <w:t>按要求</w:t>
      </w:r>
      <w:r>
        <w:rPr>
          <w:rFonts w:hint="eastAsia" w:ascii="宋体" w:hAnsi="宋体" w:cs="宋体"/>
          <w:color w:val="auto"/>
          <w:sz w:val="24"/>
          <w:highlight w:val="none"/>
          <w:lang w:bidi="ar"/>
        </w:rPr>
        <w:t>对仪表进行一次检修和清理；环境在线监测系统消耗性材料的供应和管控；环境在线监测系统备品备件的更换的管控；环境在线监测系统投运率、数据联网率与上传率及有效性达到国家环保法律法规、环保部减排核查核算督查中心、省环保厅及相关考核部门的要求。对设备开停机数据及异常情况的处理管控。超标排放数据处理,当测量数据超标时，运维管控专员第一时间落实问题原因，如设备所致异常超标，协同甲方工程师启动应急检修、修复程序，找出问题原因，减少异常超标小时数；如设备正常运行，处理不达标所致超标，第一时间通知</w:t>
      </w:r>
      <w:r>
        <w:rPr>
          <w:rFonts w:hint="eastAsia" w:ascii="宋体" w:hAnsi="宋体" w:cs="宋体"/>
          <w:color w:val="auto"/>
          <w:sz w:val="24"/>
          <w:highlight w:val="none"/>
          <w:lang w:val="en-US" w:eastAsia="zh-CN" w:bidi="ar"/>
        </w:rPr>
        <w:t>招标人</w:t>
      </w:r>
      <w:r>
        <w:rPr>
          <w:rFonts w:hint="eastAsia" w:ascii="宋体" w:hAnsi="宋体" w:cs="宋体"/>
          <w:color w:val="auto"/>
          <w:sz w:val="24"/>
          <w:highlight w:val="none"/>
          <w:lang w:bidi="ar"/>
        </w:rPr>
        <w:t>项目公司,启动应急响应程序，减少超标数据。最终将情况反馈给当地环保部门，在线设备异常故障修约事宜，</w:t>
      </w:r>
      <w:r>
        <w:rPr>
          <w:rFonts w:hint="eastAsia" w:ascii="宋体" w:hAnsi="宋体" w:cs="宋体"/>
          <w:color w:val="auto"/>
          <w:kern w:val="0"/>
          <w:sz w:val="24"/>
          <w:highlight w:val="none"/>
          <w:lang w:val="en-US" w:eastAsia="zh-CN"/>
        </w:rPr>
        <w:t>中标人</w:t>
      </w:r>
      <w:r>
        <w:rPr>
          <w:rFonts w:hint="eastAsia" w:ascii="宋体" w:hAnsi="宋体" w:cs="宋体"/>
          <w:color w:val="auto"/>
          <w:sz w:val="24"/>
          <w:highlight w:val="none"/>
          <w:lang w:bidi="ar"/>
        </w:rPr>
        <w:t>管控专员跟进完成。</w:t>
      </w:r>
    </w:p>
    <w:p w14:paraId="121C8CC1">
      <w:pPr>
        <w:spacing w:line="360" w:lineRule="auto"/>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按照</w:t>
      </w:r>
      <w:r>
        <w:rPr>
          <w:rFonts w:hint="eastAsia" w:ascii="宋体" w:hAnsi="宋体" w:cs="宋体"/>
          <w:color w:val="auto"/>
          <w:sz w:val="24"/>
          <w:highlight w:val="none"/>
          <w:lang w:val="en-US" w:eastAsia="zh-CN" w:bidi="ar"/>
        </w:rPr>
        <w:t>招标人</w:t>
      </w:r>
      <w:r>
        <w:rPr>
          <w:rFonts w:hint="eastAsia" w:ascii="宋体" w:hAnsi="宋体" w:cs="宋体"/>
          <w:color w:val="auto"/>
          <w:sz w:val="24"/>
          <w:highlight w:val="none"/>
          <w:lang w:eastAsia="zh-Hans" w:bidi="ar"/>
        </w:rPr>
        <w:t>的</w:t>
      </w:r>
      <w:r>
        <w:rPr>
          <w:rFonts w:hint="eastAsia" w:ascii="宋体" w:hAnsi="宋体" w:cs="宋体"/>
          <w:color w:val="auto"/>
          <w:sz w:val="24"/>
          <w:highlight w:val="none"/>
          <w:lang w:bidi="ar"/>
        </w:rPr>
        <w:t>管理要求，</w:t>
      </w:r>
      <w:r>
        <w:rPr>
          <w:rFonts w:hint="eastAsia" w:ascii="宋体" w:hAnsi="宋体" w:cs="宋体"/>
          <w:color w:val="auto"/>
          <w:sz w:val="24"/>
          <w:highlight w:val="none"/>
          <w:lang w:eastAsia="zh-Hans" w:bidi="ar"/>
        </w:rPr>
        <w:t>配合</w:t>
      </w:r>
      <w:r>
        <w:rPr>
          <w:rFonts w:hint="eastAsia" w:ascii="宋体" w:hAnsi="宋体" w:cs="宋体"/>
          <w:color w:val="auto"/>
          <w:sz w:val="24"/>
          <w:highlight w:val="none"/>
          <w:lang w:bidi="ar"/>
        </w:rPr>
        <w:t>处理由在线监测设备产生的废液的管理事宜。</w:t>
      </w:r>
    </w:p>
    <w:p w14:paraId="34FBC5E5">
      <w:pPr>
        <w:spacing w:line="360" w:lineRule="auto"/>
        <w:ind w:firstLine="480" w:firstLineChars="200"/>
        <w:rPr>
          <w:rFonts w:hint="eastAsia" w:ascii="宋体" w:hAnsi="宋体" w:cs="宋体"/>
          <w:color w:val="auto"/>
          <w:sz w:val="24"/>
          <w:highlight w:val="none"/>
          <w:lang w:val="en-US" w:eastAsia="zh-CN" w:bidi="ar"/>
        </w:rPr>
      </w:pPr>
      <w:r>
        <w:rPr>
          <w:rFonts w:hint="eastAsia" w:ascii="宋体" w:hAnsi="宋体" w:cs="宋体"/>
          <w:color w:val="auto"/>
          <w:sz w:val="24"/>
          <w:highlight w:val="none"/>
          <w:lang w:bidi="ar"/>
        </w:rPr>
        <w:t>在线监测系统</w:t>
      </w:r>
      <w:r>
        <w:rPr>
          <w:rFonts w:hint="eastAsia" w:ascii="宋体" w:hAnsi="宋体" w:cs="宋体"/>
          <w:color w:val="auto"/>
          <w:sz w:val="24"/>
          <w:highlight w:val="none"/>
          <w:lang w:val="en-US" w:eastAsia="zh-CN" w:bidi="ar"/>
        </w:rPr>
        <w:t>运维应满足相关监管部门和法律法规的要求。</w:t>
      </w:r>
    </w:p>
    <w:p w14:paraId="42925E3F">
      <w:pPr>
        <w:spacing w:line="360" w:lineRule="auto"/>
        <w:ind w:firstLine="480" w:firstLineChars="200"/>
        <w:rPr>
          <w:rFonts w:hint="eastAsia" w:ascii="宋体" w:hAnsi="宋体" w:cs="宋体"/>
          <w:color w:val="auto"/>
          <w:sz w:val="24"/>
          <w:highlight w:val="none"/>
          <w:lang w:val="en-US" w:eastAsia="zh-CN" w:bidi="ar"/>
        </w:rPr>
      </w:pPr>
      <w:r>
        <w:rPr>
          <w:rFonts w:hint="eastAsia" w:ascii="宋体" w:hAnsi="宋体" w:cs="宋体"/>
          <w:color w:val="auto"/>
          <w:sz w:val="24"/>
          <w:highlight w:val="none"/>
          <w:lang w:val="en-US" w:eastAsia="zh-CN" w:bidi="ar"/>
        </w:rPr>
        <w:t>附件：</w:t>
      </w:r>
    </w:p>
    <w:tbl>
      <w:tblPr>
        <w:tblStyle w:val="51"/>
        <w:tblW w:w="1047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08"/>
        <w:gridCol w:w="1308"/>
        <w:gridCol w:w="900"/>
        <w:gridCol w:w="1285"/>
        <w:gridCol w:w="1524"/>
        <w:gridCol w:w="959"/>
        <w:gridCol w:w="1406"/>
        <w:gridCol w:w="1308"/>
        <w:gridCol w:w="1080"/>
      </w:tblGrid>
      <w:tr w14:paraId="6AC62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478" w:type="dxa"/>
            <w:gridSpan w:val="9"/>
            <w:tcBorders>
              <w:top w:val="single" w:color="000000" w:sz="4" w:space="0"/>
              <w:left w:val="single" w:color="000000" w:sz="4" w:space="0"/>
              <w:bottom w:val="single" w:color="000000" w:sz="4" w:space="0"/>
              <w:right w:val="single" w:color="000000" w:sz="4" w:space="0"/>
            </w:tcBorders>
            <w:shd w:val="clear" w:color="auto" w:fill="F8CBAD"/>
            <w:noWrap/>
            <w:vAlign w:val="center"/>
          </w:tcPr>
          <w:p w14:paraId="1A27772C">
            <w:pPr>
              <w:keepNext w:val="0"/>
              <w:keepLines w:val="0"/>
              <w:widowControl/>
              <w:suppressLineNumbers w:val="0"/>
              <w:jc w:val="center"/>
              <w:textAlignment w:val="center"/>
              <w:rPr>
                <w:rFonts w:hint="eastAsia" w:ascii="宋体" w:hAnsi="宋体" w:eastAsia="宋体" w:cs="宋体"/>
                <w:b/>
                <w:bCs/>
                <w:i w:val="0"/>
                <w:iCs w:val="0"/>
                <w:color w:val="auto"/>
                <w:sz w:val="28"/>
                <w:szCs w:val="28"/>
                <w:highlight w:val="none"/>
                <w:u w:val="none"/>
              </w:rPr>
            </w:pPr>
            <w:r>
              <w:rPr>
                <w:rFonts w:hint="eastAsia" w:ascii="宋体" w:hAnsi="宋体" w:eastAsia="宋体" w:cs="宋体"/>
                <w:b/>
                <w:bCs/>
                <w:i w:val="0"/>
                <w:iCs w:val="0"/>
                <w:color w:val="auto"/>
                <w:kern w:val="0"/>
                <w:sz w:val="28"/>
                <w:szCs w:val="28"/>
                <w:highlight w:val="none"/>
                <w:u w:val="none"/>
                <w:lang w:val="en-US" w:eastAsia="zh-CN" w:bidi="ar"/>
              </w:rPr>
              <w:t>海沧半导体产业基地项目废水站系统在线监测设备表</w:t>
            </w:r>
          </w:p>
        </w:tc>
      </w:tr>
      <w:tr w14:paraId="7B66C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10478" w:type="dxa"/>
            <w:gridSpan w:val="9"/>
            <w:tcBorders>
              <w:top w:val="single" w:color="000000" w:sz="4" w:space="0"/>
              <w:left w:val="single" w:color="000000" w:sz="4" w:space="0"/>
              <w:bottom w:val="single" w:color="000000" w:sz="4" w:space="0"/>
              <w:right w:val="single" w:color="000000" w:sz="4" w:space="0"/>
            </w:tcBorders>
            <w:shd w:val="clear" w:color="auto" w:fill="BDD7EE"/>
            <w:vAlign w:val="center"/>
          </w:tcPr>
          <w:p w14:paraId="375497EB">
            <w:pPr>
              <w:keepNext w:val="0"/>
              <w:keepLines w:val="0"/>
              <w:widowControl/>
              <w:suppressLineNumbers w:val="0"/>
              <w:spacing w:after="200" w:afterAutospacing="0"/>
              <w:jc w:val="left"/>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在线设备情况表：</w:t>
            </w:r>
            <w:r>
              <w:rPr>
                <w:rFonts w:hint="eastAsia" w:ascii="宋体" w:hAnsi="宋体" w:eastAsia="宋体" w:cs="宋体"/>
                <w:b/>
                <w:bCs/>
                <w:i w:val="0"/>
                <w:iCs w:val="0"/>
                <w:color w:val="auto"/>
                <w:kern w:val="0"/>
                <w:sz w:val="20"/>
                <w:szCs w:val="20"/>
                <w:highlight w:val="none"/>
                <w:u w:val="none"/>
                <w:lang w:val="en-US" w:eastAsia="zh-CN" w:bidi="ar"/>
              </w:rPr>
              <w:br w:type="textWrapping"/>
            </w:r>
            <w:r>
              <w:rPr>
                <w:rFonts w:hint="eastAsia" w:ascii="宋体" w:hAnsi="宋体" w:eastAsia="宋体" w:cs="宋体"/>
                <w:b/>
                <w:bCs/>
                <w:i w:val="0"/>
                <w:iCs w:val="0"/>
                <w:color w:val="auto"/>
                <w:kern w:val="0"/>
                <w:sz w:val="20"/>
                <w:szCs w:val="20"/>
                <w:highlight w:val="none"/>
                <w:u w:val="none"/>
                <w:lang w:val="en-US" w:eastAsia="zh-CN" w:bidi="ar"/>
              </w:rPr>
              <w:t>1.在线联网设备应满足环保相关部门对在线监测设备的比对要求（有相关监测资质）；</w:t>
            </w:r>
          </w:p>
        </w:tc>
      </w:tr>
      <w:tr w14:paraId="21FEE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708"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51AE6639">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序号</w:t>
            </w:r>
          </w:p>
        </w:tc>
        <w:tc>
          <w:tcPr>
            <w:tcW w:w="1308"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1B128F61">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设备名称</w:t>
            </w:r>
          </w:p>
        </w:tc>
        <w:tc>
          <w:tcPr>
            <w:tcW w:w="900"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2B178A1A">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设备</w:t>
            </w:r>
            <w:r>
              <w:rPr>
                <w:rFonts w:hint="eastAsia" w:ascii="宋体" w:hAnsi="宋体" w:eastAsia="宋体" w:cs="宋体"/>
                <w:b/>
                <w:bCs/>
                <w:i w:val="0"/>
                <w:iCs w:val="0"/>
                <w:color w:val="auto"/>
                <w:kern w:val="0"/>
                <w:sz w:val="20"/>
                <w:szCs w:val="20"/>
                <w:highlight w:val="none"/>
                <w:u w:val="none"/>
                <w:lang w:val="en-US" w:eastAsia="zh-CN" w:bidi="ar"/>
              </w:rPr>
              <w:br w:type="textWrapping"/>
            </w:r>
            <w:r>
              <w:rPr>
                <w:rFonts w:hint="eastAsia" w:ascii="宋体" w:hAnsi="宋体" w:eastAsia="宋体" w:cs="宋体"/>
                <w:b/>
                <w:bCs/>
                <w:i w:val="0"/>
                <w:iCs w:val="0"/>
                <w:color w:val="auto"/>
                <w:kern w:val="0"/>
                <w:sz w:val="20"/>
                <w:szCs w:val="20"/>
                <w:highlight w:val="none"/>
                <w:u w:val="none"/>
                <w:lang w:val="en-US" w:eastAsia="zh-CN" w:bidi="ar"/>
              </w:rPr>
              <w:t>品牌</w:t>
            </w:r>
          </w:p>
        </w:tc>
        <w:tc>
          <w:tcPr>
            <w:tcW w:w="1285"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14044429">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型号</w:t>
            </w:r>
          </w:p>
        </w:tc>
        <w:tc>
          <w:tcPr>
            <w:tcW w:w="1524"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3918F2A9">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设备监测</w:t>
            </w:r>
            <w:r>
              <w:rPr>
                <w:rFonts w:hint="eastAsia" w:ascii="宋体" w:hAnsi="宋体" w:eastAsia="宋体" w:cs="宋体"/>
                <w:b/>
                <w:bCs/>
                <w:i w:val="0"/>
                <w:iCs w:val="0"/>
                <w:color w:val="auto"/>
                <w:kern w:val="0"/>
                <w:sz w:val="20"/>
                <w:szCs w:val="20"/>
                <w:highlight w:val="none"/>
                <w:u w:val="none"/>
                <w:lang w:val="en-US" w:eastAsia="zh-CN" w:bidi="ar"/>
              </w:rPr>
              <w:br w:type="textWrapping"/>
            </w:r>
            <w:r>
              <w:rPr>
                <w:rFonts w:hint="eastAsia" w:ascii="宋体" w:hAnsi="宋体" w:eastAsia="宋体" w:cs="宋体"/>
                <w:b/>
                <w:bCs/>
                <w:i w:val="0"/>
                <w:iCs w:val="0"/>
                <w:color w:val="auto"/>
                <w:kern w:val="0"/>
                <w:sz w:val="20"/>
                <w:szCs w:val="20"/>
                <w:highlight w:val="none"/>
                <w:u w:val="none"/>
                <w:lang w:val="en-US" w:eastAsia="zh-CN" w:bidi="ar"/>
              </w:rPr>
              <w:t>取样位置</w:t>
            </w:r>
          </w:p>
        </w:tc>
        <w:tc>
          <w:tcPr>
            <w:tcW w:w="959"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6FA83A86">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是否联网</w:t>
            </w:r>
          </w:p>
        </w:tc>
        <w:tc>
          <w:tcPr>
            <w:tcW w:w="1406"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1DDE46BD">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使用药剂名称</w:t>
            </w:r>
          </w:p>
        </w:tc>
        <w:tc>
          <w:tcPr>
            <w:tcW w:w="1308"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140B8761">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药剂要求</w:t>
            </w:r>
          </w:p>
        </w:tc>
        <w:tc>
          <w:tcPr>
            <w:tcW w:w="1080" w:type="dxa"/>
            <w:tcBorders>
              <w:top w:val="single" w:color="000000" w:sz="4" w:space="0"/>
              <w:left w:val="single" w:color="000000" w:sz="4" w:space="0"/>
              <w:bottom w:val="single" w:color="000000" w:sz="4" w:space="0"/>
              <w:right w:val="single" w:color="000000" w:sz="4" w:space="0"/>
            </w:tcBorders>
            <w:shd w:val="clear" w:color="auto" w:fill="C6E0B4"/>
            <w:vAlign w:val="center"/>
          </w:tcPr>
          <w:p w14:paraId="5F761F94">
            <w:pPr>
              <w:keepNext w:val="0"/>
              <w:keepLines w:val="0"/>
              <w:widowControl/>
              <w:suppressLineNumbers w:val="0"/>
              <w:jc w:val="center"/>
              <w:textAlignment w:val="center"/>
              <w:rPr>
                <w:rFonts w:hint="eastAsia" w:ascii="宋体" w:hAnsi="宋体" w:eastAsia="宋体" w:cs="宋体"/>
                <w:b/>
                <w:bCs/>
                <w:i w:val="0"/>
                <w:iCs w:val="0"/>
                <w:color w:val="auto"/>
                <w:sz w:val="20"/>
                <w:szCs w:val="20"/>
                <w:highlight w:val="none"/>
                <w:u w:val="none"/>
              </w:rPr>
            </w:pPr>
            <w:r>
              <w:rPr>
                <w:rFonts w:hint="eastAsia" w:ascii="宋体" w:hAnsi="宋体" w:eastAsia="宋体" w:cs="宋体"/>
                <w:b/>
                <w:bCs/>
                <w:i w:val="0"/>
                <w:iCs w:val="0"/>
                <w:color w:val="auto"/>
                <w:kern w:val="0"/>
                <w:sz w:val="20"/>
                <w:szCs w:val="20"/>
                <w:highlight w:val="none"/>
                <w:u w:val="none"/>
                <w:lang w:val="en-US" w:eastAsia="zh-CN" w:bidi="ar"/>
              </w:rPr>
              <w:t>备注</w:t>
            </w:r>
          </w:p>
        </w:tc>
      </w:tr>
      <w:tr w14:paraId="0CB01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3233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5A84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总镍在线监测仪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95B3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D36A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AD77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含镍废水均和槽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D9AA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C4CE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卫水总镍试剂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E537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6632E">
            <w:pPr>
              <w:jc w:val="center"/>
              <w:rPr>
                <w:rFonts w:hint="eastAsia" w:ascii="宋体" w:hAnsi="宋体" w:eastAsia="宋体" w:cs="宋体"/>
                <w:i w:val="0"/>
                <w:iCs w:val="0"/>
                <w:color w:val="auto"/>
                <w:sz w:val="18"/>
                <w:szCs w:val="18"/>
                <w:highlight w:val="none"/>
                <w:u w:val="none"/>
              </w:rPr>
            </w:pPr>
          </w:p>
        </w:tc>
      </w:tr>
      <w:tr w14:paraId="70E94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4B2A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D84D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总镍在线监测仪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64F1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8282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4BF3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含镍废水阳离子交换器出水总管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D29D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D9C3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卫水总镍试剂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C293A">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F4EFD">
            <w:pPr>
              <w:jc w:val="center"/>
              <w:rPr>
                <w:rFonts w:hint="eastAsia" w:ascii="宋体" w:hAnsi="宋体" w:eastAsia="宋体" w:cs="宋体"/>
                <w:i w:val="0"/>
                <w:iCs w:val="0"/>
                <w:color w:val="auto"/>
                <w:sz w:val="18"/>
                <w:szCs w:val="18"/>
                <w:highlight w:val="none"/>
                <w:u w:val="none"/>
              </w:rPr>
            </w:pPr>
          </w:p>
        </w:tc>
      </w:tr>
      <w:tr w14:paraId="1BE79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1D53377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 </w:t>
            </w:r>
          </w:p>
        </w:tc>
        <w:tc>
          <w:tcPr>
            <w:tcW w:w="1308"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1F54927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总镍在线监测仪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382DB1F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33B6CFE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1B10B62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含镍废水阳离子交换器合格出水管</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2DED512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0FDC9A5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卫水总镍试剂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E13302">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0ADEE">
            <w:pPr>
              <w:jc w:val="center"/>
              <w:rPr>
                <w:rFonts w:hint="eastAsia" w:ascii="宋体" w:hAnsi="宋体" w:eastAsia="宋体" w:cs="宋体"/>
                <w:i w:val="0"/>
                <w:iCs w:val="0"/>
                <w:color w:val="auto"/>
                <w:sz w:val="18"/>
                <w:szCs w:val="18"/>
                <w:highlight w:val="none"/>
                <w:u w:val="none"/>
              </w:rPr>
            </w:pPr>
          </w:p>
        </w:tc>
      </w:tr>
      <w:tr w14:paraId="3C8A5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D0C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A614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总银在线监测仪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0D0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35F0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344E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含锡银废水均和槽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FA2D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719C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卫水总银试剂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E9AA0B">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E39F">
            <w:pPr>
              <w:jc w:val="center"/>
              <w:rPr>
                <w:rFonts w:hint="eastAsia" w:ascii="宋体" w:hAnsi="宋体" w:eastAsia="宋体" w:cs="宋体"/>
                <w:i w:val="0"/>
                <w:iCs w:val="0"/>
                <w:color w:val="auto"/>
                <w:sz w:val="18"/>
                <w:szCs w:val="18"/>
                <w:highlight w:val="none"/>
                <w:u w:val="none"/>
              </w:rPr>
            </w:pPr>
          </w:p>
        </w:tc>
      </w:tr>
      <w:tr w14:paraId="6E10F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57B4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5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F8AD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总银在线监测仪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D24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46A3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AC74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含锡银废水阳离子交换器出水总管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8EE9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A5F8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卫水总银试剂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17CC3">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7FBB3">
            <w:pPr>
              <w:jc w:val="center"/>
              <w:rPr>
                <w:rFonts w:hint="eastAsia" w:ascii="宋体" w:hAnsi="宋体" w:eastAsia="宋体" w:cs="宋体"/>
                <w:i w:val="0"/>
                <w:iCs w:val="0"/>
                <w:color w:val="auto"/>
                <w:sz w:val="18"/>
                <w:szCs w:val="18"/>
                <w:highlight w:val="none"/>
                <w:u w:val="none"/>
              </w:rPr>
            </w:pPr>
          </w:p>
        </w:tc>
      </w:tr>
      <w:tr w14:paraId="05355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1109069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6 </w:t>
            </w:r>
          </w:p>
        </w:tc>
        <w:tc>
          <w:tcPr>
            <w:tcW w:w="1308"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076199E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总银在线监测仪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1B3F940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4748054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14317A1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含锡银废水阳离子交换器合格出水管</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68A7CC8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5191BF5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卫水总银试剂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0C51DF">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9DD5D">
            <w:pPr>
              <w:jc w:val="center"/>
              <w:rPr>
                <w:rFonts w:hint="eastAsia" w:ascii="宋体" w:hAnsi="宋体" w:eastAsia="宋体" w:cs="宋体"/>
                <w:i w:val="0"/>
                <w:iCs w:val="0"/>
                <w:color w:val="auto"/>
                <w:sz w:val="18"/>
                <w:szCs w:val="18"/>
                <w:highlight w:val="none"/>
                <w:u w:val="none"/>
              </w:rPr>
            </w:pPr>
          </w:p>
        </w:tc>
      </w:tr>
      <w:tr w14:paraId="2F04A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D882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7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20BF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总锡在线监测仪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7A8A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4AE1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6281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含锡银废水均和槽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853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E9CB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卫水总锡试剂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B992C5">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04929">
            <w:pPr>
              <w:jc w:val="center"/>
              <w:rPr>
                <w:rFonts w:hint="eastAsia" w:ascii="宋体" w:hAnsi="宋体" w:eastAsia="宋体" w:cs="宋体"/>
                <w:i w:val="0"/>
                <w:iCs w:val="0"/>
                <w:color w:val="auto"/>
                <w:sz w:val="18"/>
                <w:szCs w:val="18"/>
                <w:highlight w:val="none"/>
                <w:u w:val="none"/>
              </w:rPr>
            </w:pPr>
          </w:p>
        </w:tc>
      </w:tr>
      <w:tr w14:paraId="5608A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8246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8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52A7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总锡在线监测仪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6AB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B50A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AA6A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含锡银废水阳离子交换器出水总管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653B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0F3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卫水总锡试剂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DEDC9A">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91CFC">
            <w:pPr>
              <w:jc w:val="center"/>
              <w:rPr>
                <w:rFonts w:hint="eastAsia" w:ascii="宋体" w:hAnsi="宋体" w:eastAsia="宋体" w:cs="宋体"/>
                <w:i w:val="0"/>
                <w:iCs w:val="0"/>
                <w:color w:val="auto"/>
                <w:sz w:val="18"/>
                <w:szCs w:val="18"/>
                <w:highlight w:val="none"/>
                <w:u w:val="none"/>
              </w:rPr>
            </w:pPr>
          </w:p>
        </w:tc>
      </w:tr>
      <w:tr w14:paraId="24CC3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2E3E4A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9 </w:t>
            </w:r>
          </w:p>
        </w:tc>
        <w:tc>
          <w:tcPr>
            <w:tcW w:w="1308"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07A83CD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总锡在线监测仪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14E986A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0E977A1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4010.00 </w:t>
            </w:r>
          </w:p>
        </w:tc>
        <w:tc>
          <w:tcPr>
            <w:tcW w:w="1524"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7F52A14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含锡银废水阳离子交换器合格出水管</w:t>
            </w:r>
          </w:p>
        </w:tc>
        <w:tc>
          <w:tcPr>
            <w:tcW w:w="0" w:type="auto"/>
            <w:tcBorders>
              <w:top w:val="single" w:color="000000" w:sz="4" w:space="0"/>
              <w:left w:val="single" w:color="000000" w:sz="4" w:space="0"/>
              <w:bottom w:val="single" w:color="000000" w:sz="4" w:space="0"/>
              <w:right w:val="single" w:color="000000" w:sz="4" w:space="0"/>
            </w:tcBorders>
            <w:shd w:val="clear" w:color="auto" w:fill="FCE4D6"/>
            <w:noWrap/>
            <w:vAlign w:val="center"/>
          </w:tcPr>
          <w:p w14:paraId="7B86B2A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CE4D6"/>
            <w:vAlign w:val="center"/>
          </w:tcPr>
          <w:p w14:paraId="0E96EF5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卫水总锡试剂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9C0AAF">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2BBE0">
            <w:pPr>
              <w:jc w:val="center"/>
              <w:rPr>
                <w:rFonts w:hint="eastAsia" w:ascii="宋体" w:hAnsi="宋体" w:eastAsia="宋体" w:cs="宋体"/>
                <w:i w:val="0"/>
                <w:iCs w:val="0"/>
                <w:color w:val="auto"/>
                <w:sz w:val="18"/>
                <w:szCs w:val="18"/>
                <w:highlight w:val="none"/>
                <w:u w:val="none"/>
              </w:rPr>
            </w:pPr>
          </w:p>
        </w:tc>
      </w:tr>
      <w:tr w14:paraId="6A503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8717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10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FC47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46BA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105F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C271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含铜有机废水进水总管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9964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B910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F3F98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024C9">
            <w:pPr>
              <w:jc w:val="center"/>
              <w:rPr>
                <w:rFonts w:hint="eastAsia" w:ascii="宋体" w:hAnsi="宋体" w:eastAsia="宋体" w:cs="宋体"/>
                <w:i w:val="0"/>
                <w:iCs w:val="0"/>
                <w:color w:val="auto"/>
                <w:sz w:val="18"/>
                <w:szCs w:val="18"/>
                <w:highlight w:val="none"/>
                <w:u w:val="none"/>
              </w:rPr>
            </w:pPr>
          </w:p>
        </w:tc>
      </w:tr>
      <w:tr w14:paraId="509A5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39D5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11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49DE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99D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61D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6138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含铜有机+络合废水二级沉淀池出水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2AF9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EB0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A144DE">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DD86A">
            <w:pPr>
              <w:jc w:val="center"/>
              <w:rPr>
                <w:rFonts w:hint="eastAsia" w:ascii="宋体" w:hAnsi="宋体" w:eastAsia="宋体" w:cs="宋体"/>
                <w:i w:val="0"/>
                <w:iCs w:val="0"/>
                <w:color w:val="auto"/>
                <w:sz w:val="18"/>
                <w:szCs w:val="18"/>
                <w:highlight w:val="none"/>
                <w:u w:val="none"/>
              </w:rPr>
            </w:pPr>
          </w:p>
        </w:tc>
      </w:tr>
      <w:tr w14:paraId="6717F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49D4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12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3574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79F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12B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8366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含铜废水均和槽进水总管道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D859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2C9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47A801">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7234C">
            <w:pPr>
              <w:jc w:val="center"/>
              <w:rPr>
                <w:rFonts w:hint="eastAsia" w:ascii="宋体" w:hAnsi="宋体" w:eastAsia="宋体" w:cs="宋体"/>
                <w:i w:val="0"/>
                <w:iCs w:val="0"/>
                <w:color w:val="auto"/>
                <w:sz w:val="18"/>
                <w:szCs w:val="18"/>
                <w:highlight w:val="none"/>
                <w:u w:val="none"/>
              </w:rPr>
            </w:pPr>
          </w:p>
        </w:tc>
      </w:tr>
      <w:tr w14:paraId="197287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F5AC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13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591B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5EF9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489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F6B2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含铜废水沉淀槽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E149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622B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CBCCBF">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6BF4E">
            <w:pPr>
              <w:jc w:val="center"/>
              <w:rPr>
                <w:rFonts w:hint="eastAsia" w:ascii="宋体" w:hAnsi="宋体" w:eastAsia="宋体" w:cs="宋体"/>
                <w:i w:val="0"/>
                <w:iCs w:val="0"/>
                <w:color w:val="auto"/>
                <w:sz w:val="18"/>
                <w:szCs w:val="18"/>
                <w:highlight w:val="none"/>
                <w:u w:val="none"/>
              </w:rPr>
            </w:pPr>
          </w:p>
        </w:tc>
      </w:tr>
      <w:tr w14:paraId="06850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F1F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14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A77B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52ED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9ED0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9A242">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放流槽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B4C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0423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5DF60E">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8354B">
            <w:pPr>
              <w:jc w:val="center"/>
              <w:rPr>
                <w:rFonts w:hint="eastAsia" w:ascii="宋体" w:hAnsi="宋体" w:eastAsia="宋体" w:cs="宋体"/>
                <w:i w:val="0"/>
                <w:iCs w:val="0"/>
                <w:color w:val="auto"/>
                <w:sz w:val="18"/>
                <w:szCs w:val="18"/>
                <w:highlight w:val="none"/>
                <w:u w:val="none"/>
              </w:rPr>
            </w:pPr>
          </w:p>
        </w:tc>
      </w:tr>
      <w:tr w14:paraId="5D87E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0E03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15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4323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总铜在线监测仪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DA31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5ACA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YF-TCu-‖</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ED45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含铜络合废水进水总管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0988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A3DB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盈峰总铜试剂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F13A90">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4FF4A">
            <w:pPr>
              <w:jc w:val="center"/>
              <w:rPr>
                <w:rFonts w:hint="eastAsia" w:ascii="宋体" w:hAnsi="宋体" w:eastAsia="宋体" w:cs="宋体"/>
                <w:i w:val="0"/>
                <w:iCs w:val="0"/>
                <w:color w:val="auto"/>
                <w:sz w:val="18"/>
                <w:szCs w:val="18"/>
                <w:highlight w:val="none"/>
                <w:u w:val="none"/>
              </w:rPr>
            </w:pPr>
          </w:p>
        </w:tc>
      </w:tr>
      <w:tr w14:paraId="3545C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A0D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16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5B88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氰化物在线监测仪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012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A4E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YF-CN-‖</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3DF6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含氰废水均和槽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38F1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77A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盈峰氰化物试剂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557B9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F6D2E">
            <w:pPr>
              <w:jc w:val="center"/>
              <w:rPr>
                <w:rFonts w:hint="eastAsia" w:ascii="宋体" w:hAnsi="宋体" w:eastAsia="宋体" w:cs="宋体"/>
                <w:i w:val="0"/>
                <w:iCs w:val="0"/>
                <w:color w:val="auto"/>
                <w:sz w:val="18"/>
                <w:szCs w:val="18"/>
                <w:highlight w:val="none"/>
                <w:u w:val="none"/>
              </w:rPr>
            </w:pPr>
          </w:p>
        </w:tc>
      </w:tr>
      <w:tr w14:paraId="1409B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E9C2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17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BAB0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氰化物在线监测仪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0163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D6D4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YF-CN-‖</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C0AB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含氰废水反应池出水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A5E5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23FB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盈峰氰化物试剂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A4A0AA">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73FA2">
            <w:pPr>
              <w:jc w:val="center"/>
              <w:rPr>
                <w:rFonts w:hint="eastAsia" w:ascii="宋体" w:hAnsi="宋体" w:eastAsia="宋体" w:cs="宋体"/>
                <w:i w:val="0"/>
                <w:iCs w:val="0"/>
                <w:color w:val="auto"/>
                <w:sz w:val="18"/>
                <w:szCs w:val="18"/>
                <w:highlight w:val="none"/>
                <w:u w:val="none"/>
              </w:rPr>
            </w:pPr>
          </w:p>
        </w:tc>
      </w:tr>
      <w:tr w14:paraId="20170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12FE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18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79E6E">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COD在线监测仪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5C4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F525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A047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冷却水反洗池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3E58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2C63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雪迪龙COD试剂</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7B1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FD8C3">
            <w:pPr>
              <w:jc w:val="center"/>
              <w:rPr>
                <w:rFonts w:hint="eastAsia" w:ascii="宋体" w:hAnsi="宋体" w:eastAsia="宋体" w:cs="宋体"/>
                <w:i w:val="0"/>
                <w:iCs w:val="0"/>
                <w:color w:val="auto"/>
                <w:sz w:val="18"/>
                <w:szCs w:val="18"/>
                <w:highlight w:val="none"/>
                <w:u w:val="none"/>
              </w:rPr>
            </w:pPr>
          </w:p>
        </w:tc>
      </w:tr>
      <w:tr w14:paraId="63E6F7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ED9499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19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FA85D6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COD在线监测仪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F58768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岛津</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1CD6C0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TOC-4200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90E251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含铜络合废水进水总管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B60CD2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246C05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盐酸、氮气</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E31F3A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常温保存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F1EBF">
            <w:pPr>
              <w:jc w:val="center"/>
              <w:rPr>
                <w:rFonts w:hint="eastAsia" w:ascii="宋体" w:hAnsi="宋体" w:eastAsia="宋体" w:cs="宋体"/>
                <w:i w:val="0"/>
                <w:iCs w:val="0"/>
                <w:color w:val="auto"/>
                <w:sz w:val="18"/>
                <w:szCs w:val="18"/>
                <w:highlight w:val="none"/>
                <w:u w:val="none"/>
              </w:rPr>
            </w:pPr>
          </w:p>
        </w:tc>
      </w:tr>
      <w:tr w14:paraId="4CF30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8A9171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20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69C5A0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COD在线监测仪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A8C0E5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岛津</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7FBF698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TOC-4200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4A21F5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含铜有机废水进水总管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8391C9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A307A8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盐酸、氮气</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6FD570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常温保存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83B59">
            <w:pPr>
              <w:jc w:val="center"/>
              <w:rPr>
                <w:rFonts w:hint="eastAsia" w:ascii="宋体" w:hAnsi="宋体" w:eastAsia="宋体" w:cs="宋体"/>
                <w:i w:val="0"/>
                <w:iCs w:val="0"/>
                <w:color w:val="auto"/>
                <w:sz w:val="18"/>
                <w:szCs w:val="18"/>
                <w:highlight w:val="none"/>
                <w:u w:val="none"/>
              </w:rPr>
            </w:pPr>
          </w:p>
        </w:tc>
      </w:tr>
      <w:tr w14:paraId="1D0A4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7FAE17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21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B804ED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C0D在线监测仪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C3C8B7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岛津</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55E8271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TOC-4200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666334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有机废水总管</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5F32862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829246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盐酸、氮气</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881A5A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常温保存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D8C61">
            <w:pPr>
              <w:jc w:val="center"/>
              <w:rPr>
                <w:rFonts w:hint="eastAsia" w:ascii="宋体" w:hAnsi="宋体" w:eastAsia="宋体" w:cs="宋体"/>
                <w:i w:val="0"/>
                <w:iCs w:val="0"/>
                <w:color w:val="auto"/>
                <w:sz w:val="18"/>
                <w:szCs w:val="18"/>
                <w:highlight w:val="none"/>
                <w:u w:val="none"/>
              </w:rPr>
            </w:pPr>
          </w:p>
        </w:tc>
      </w:tr>
      <w:tr w14:paraId="7180C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5E4EC77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22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4B7F3C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COD在线监测仪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D2D7A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671776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522444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总排口</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626F783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B09D8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雪迪龙COD试剂</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B1ABC1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85E7C">
            <w:pPr>
              <w:jc w:val="center"/>
              <w:rPr>
                <w:rFonts w:hint="eastAsia" w:ascii="宋体" w:hAnsi="宋体" w:eastAsia="宋体" w:cs="宋体"/>
                <w:i w:val="0"/>
                <w:iCs w:val="0"/>
                <w:color w:val="auto"/>
                <w:sz w:val="18"/>
                <w:szCs w:val="18"/>
                <w:highlight w:val="none"/>
                <w:u w:val="none"/>
              </w:rPr>
            </w:pPr>
          </w:p>
        </w:tc>
      </w:tr>
      <w:tr w14:paraId="4693D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E49CA0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23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952BDC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氨氮在线监测仪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98E3D8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76F67A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41991B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含铜有机废水进水总管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CA6F08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AD3403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雪迪龙氨氮试剂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FFF2CC"/>
            <w:vAlign w:val="center"/>
          </w:tcPr>
          <w:p w14:paraId="7AEE9D3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5559A">
            <w:pPr>
              <w:jc w:val="center"/>
              <w:rPr>
                <w:rFonts w:hint="eastAsia" w:ascii="宋体" w:hAnsi="宋体" w:eastAsia="宋体" w:cs="宋体"/>
                <w:i w:val="0"/>
                <w:iCs w:val="0"/>
                <w:color w:val="auto"/>
                <w:sz w:val="18"/>
                <w:szCs w:val="18"/>
                <w:highlight w:val="none"/>
                <w:u w:val="none"/>
              </w:rPr>
            </w:pPr>
          </w:p>
        </w:tc>
      </w:tr>
      <w:tr w14:paraId="698A0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686DA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24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849683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氨氮在线监测仪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58BFE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701B397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B2CA4BC">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含铜络合废水进水总管</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570E4DD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E8CDE8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雪迪龙氨氮试剂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FFF2CC"/>
            <w:vAlign w:val="center"/>
          </w:tcPr>
          <w:p w14:paraId="53C35B43">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E8BC6">
            <w:pPr>
              <w:jc w:val="center"/>
              <w:rPr>
                <w:rFonts w:hint="eastAsia" w:ascii="宋体" w:hAnsi="宋体" w:eastAsia="宋体" w:cs="宋体"/>
                <w:i w:val="0"/>
                <w:iCs w:val="0"/>
                <w:color w:val="auto"/>
                <w:sz w:val="18"/>
                <w:szCs w:val="18"/>
                <w:highlight w:val="none"/>
                <w:u w:val="none"/>
              </w:rPr>
            </w:pPr>
          </w:p>
        </w:tc>
      </w:tr>
      <w:tr w14:paraId="183DC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F8819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25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13F73A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氨氮在线监测仪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FADEFC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742BAA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DF7DE6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总排口</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75BA6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7FDA75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雪迪龙氨氮试剂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FFF2CC"/>
            <w:vAlign w:val="center"/>
          </w:tcPr>
          <w:p w14:paraId="7FE9DF44">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2A4B8">
            <w:pPr>
              <w:jc w:val="center"/>
              <w:rPr>
                <w:rFonts w:hint="eastAsia" w:ascii="宋体" w:hAnsi="宋体" w:eastAsia="宋体" w:cs="宋体"/>
                <w:i w:val="0"/>
                <w:iCs w:val="0"/>
                <w:color w:val="auto"/>
                <w:sz w:val="18"/>
                <w:szCs w:val="18"/>
                <w:highlight w:val="none"/>
                <w:u w:val="none"/>
              </w:rPr>
            </w:pPr>
          </w:p>
        </w:tc>
      </w:tr>
      <w:tr w14:paraId="5476A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1FFE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26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6C37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总磷在线监测仪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53EE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09A7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3549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含氟均和池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6CC5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1C6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雪迪龙总磷试剂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2218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DBCC0">
            <w:pPr>
              <w:jc w:val="center"/>
              <w:rPr>
                <w:rFonts w:hint="eastAsia" w:ascii="宋体" w:hAnsi="宋体" w:eastAsia="宋体" w:cs="宋体"/>
                <w:i w:val="0"/>
                <w:iCs w:val="0"/>
                <w:color w:val="auto"/>
                <w:sz w:val="18"/>
                <w:szCs w:val="18"/>
                <w:highlight w:val="none"/>
                <w:u w:val="none"/>
              </w:rPr>
            </w:pPr>
          </w:p>
        </w:tc>
      </w:tr>
      <w:tr w14:paraId="50938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FE98E2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27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5BD80A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总磷在线监测仪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D85BAC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6BFA2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3C1C88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总排口</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67B89F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180DD0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雪迪龙总磷试剂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5953F5">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336E1">
            <w:pPr>
              <w:jc w:val="center"/>
              <w:rPr>
                <w:rFonts w:hint="eastAsia" w:ascii="宋体" w:hAnsi="宋体" w:eastAsia="宋体" w:cs="宋体"/>
                <w:i w:val="0"/>
                <w:iCs w:val="0"/>
                <w:color w:val="auto"/>
                <w:sz w:val="18"/>
                <w:szCs w:val="18"/>
                <w:highlight w:val="none"/>
                <w:u w:val="none"/>
              </w:rPr>
            </w:pPr>
          </w:p>
        </w:tc>
      </w:tr>
      <w:tr w14:paraId="43092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CF3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28 </w:t>
            </w:r>
          </w:p>
        </w:tc>
        <w:tc>
          <w:tcPr>
            <w:tcW w:w="13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7AB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总氮在线监测仪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1039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9FEF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485A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有机废水总管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E87F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否</w:t>
            </w:r>
          </w:p>
        </w:tc>
        <w:tc>
          <w:tcPr>
            <w:tcW w:w="14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B9E9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雪迪龙总氮试剂</w:t>
            </w:r>
          </w:p>
        </w:tc>
        <w:tc>
          <w:tcPr>
            <w:tcW w:w="130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B9019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每套试剂配相应含标液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CA37E">
            <w:pPr>
              <w:jc w:val="center"/>
              <w:rPr>
                <w:rFonts w:hint="eastAsia" w:ascii="宋体" w:hAnsi="宋体" w:eastAsia="宋体" w:cs="宋体"/>
                <w:i w:val="0"/>
                <w:iCs w:val="0"/>
                <w:color w:val="auto"/>
                <w:sz w:val="18"/>
                <w:szCs w:val="18"/>
                <w:highlight w:val="none"/>
                <w:u w:val="none"/>
              </w:rPr>
            </w:pPr>
          </w:p>
        </w:tc>
      </w:tr>
      <w:tr w14:paraId="5B8C0C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D08B2C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29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7C15DBF">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总氮在线监测仪</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3B18BA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06C523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SDL 4010</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A6DC3A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总排口</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9A2DFE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61F710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雪迪龙总氮试剂</w:t>
            </w:r>
          </w:p>
        </w:tc>
        <w:tc>
          <w:tcPr>
            <w:tcW w:w="130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447237">
            <w:pPr>
              <w:jc w:val="center"/>
              <w:rPr>
                <w:rFonts w:hint="eastAsia" w:ascii="宋体" w:hAnsi="宋体" w:eastAsia="宋体" w:cs="宋体"/>
                <w:i w:val="0"/>
                <w:iCs w:val="0"/>
                <w:color w:val="auto"/>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BD916">
            <w:pPr>
              <w:jc w:val="center"/>
              <w:rPr>
                <w:rFonts w:hint="eastAsia" w:ascii="宋体" w:hAnsi="宋体" w:eastAsia="宋体" w:cs="宋体"/>
                <w:i w:val="0"/>
                <w:iCs w:val="0"/>
                <w:color w:val="auto"/>
                <w:sz w:val="18"/>
                <w:szCs w:val="18"/>
                <w:highlight w:val="none"/>
                <w:u w:val="none"/>
              </w:rPr>
            </w:pPr>
          </w:p>
        </w:tc>
      </w:tr>
      <w:tr w14:paraId="0A306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8284D2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30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0A4B9E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明渠流量计</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3CFF52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北京九波</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659BE9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AC4EB2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总排口</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237EF0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7C8C1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69F8A70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2317E">
            <w:pPr>
              <w:jc w:val="center"/>
              <w:rPr>
                <w:rFonts w:hint="eastAsia" w:ascii="宋体" w:hAnsi="宋体" w:eastAsia="宋体" w:cs="宋体"/>
                <w:i w:val="0"/>
                <w:iCs w:val="0"/>
                <w:color w:val="auto"/>
                <w:sz w:val="18"/>
                <w:szCs w:val="18"/>
                <w:highlight w:val="none"/>
                <w:u w:val="none"/>
              </w:rPr>
            </w:pPr>
          </w:p>
        </w:tc>
      </w:tr>
      <w:tr w14:paraId="13970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F39093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31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E879B8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电磁流量计1</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375B19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1A4618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9E48BA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进水管1</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77A9BB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0F4643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35739D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220CE">
            <w:pPr>
              <w:jc w:val="center"/>
              <w:rPr>
                <w:rFonts w:hint="eastAsia" w:ascii="宋体" w:hAnsi="宋体" w:eastAsia="宋体" w:cs="宋体"/>
                <w:i w:val="0"/>
                <w:iCs w:val="0"/>
                <w:color w:val="auto"/>
                <w:sz w:val="18"/>
                <w:szCs w:val="18"/>
                <w:highlight w:val="none"/>
                <w:u w:val="none"/>
              </w:rPr>
            </w:pPr>
          </w:p>
        </w:tc>
      </w:tr>
      <w:tr w14:paraId="6F12B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709781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32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7828ADD">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电磁流量计2</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D4AD4B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627D7B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5281D7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进水管2</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8E432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BCD57F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5E3C944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9CEC0">
            <w:pPr>
              <w:jc w:val="center"/>
              <w:rPr>
                <w:rFonts w:hint="eastAsia" w:ascii="宋体" w:hAnsi="宋体" w:eastAsia="宋体" w:cs="宋体"/>
                <w:i w:val="0"/>
                <w:iCs w:val="0"/>
                <w:color w:val="auto"/>
                <w:sz w:val="18"/>
                <w:szCs w:val="18"/>
                <w:highlight w:val="none"/>
                <w:u w:val="none"/>
              </w:rPr>
            </w:pPr>
          </w:p>
        </w:tc>
      </w:tr>
      <w:tr w14:paraId="4201E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538CE37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33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10ED88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电磁流量计3</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6AAF8E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63E870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0CE270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进水管3</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0EBE3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E603FA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225FE9C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AE4FF">
            <w:pPr>
              <w:jc w:val="center"/>
              <w:rPr>
                <w:rFonts w:hint="eastAsia" w:ascii="宋体" w:hAnsi="宋体" w:eastAsia="宋体" w:cs="宋体"/>
                <w:i w:val="0"/>
                <w:iCs w:val="0"/>
                <w:color w:val="auto"/>
                <w:sz w:val="18"/>
                <w:szCs w:val="18"/>
                <w:highlight w:val="none"/>
                <w:u w:val="none"/>
              </w:rPr>
            </w:pPr>
          </w:p>
        </w:tc>
      </w:tr>
      <w:tr w14:paraId="5DC7E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EEE34A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34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F5F6A53">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电磁流量计4</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BF2B59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01B1A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84AD641">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进水管4</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0E3302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9C8367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79F9BE0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6AF30">
            <w:pPr>
              <w:jc w:val="center"/>
              <w:rPr>
                <w:rFonts w:hint="eastAsia" w:ascii="宋体" w:hAnsi="宋体" w:eastAsia="宋体" w:cs="宋体"/>
                <w:i w:val="0"/>
                <w:iCs w:val="0"/>
                <w:color w:val="auto"/>
                <w:sz w:val="18"/>
                <w:szCs w:val="18"/>
                <w:highlight w:val="none"/>
                <w:u w:val="none"/>
              </w:rPr>
            </w:pPr>
          </w:p>
        </w:tc>
      </w:tr>
      <w:tr w14:paraId="36E8B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C855BA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35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72AEDB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电磁流量计5</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3066F6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50AC14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B36C42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进水管5</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DFDA01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57FA3E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5EB8192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3F695">
            <w:pPr>
              <w:jc w:val="center"/>
              <w:rPr>
                <w:rFonts w:hint="eastAsia" w:ascii="宋体" w:hAnsi="宋体" w:eastAsia="宋体" w:cs="宋体"/>
                <w:i w:val="0"/>
                <w:iCs w:val="0"/>
                <w:color w:val="auto"/>
                <w:sz w:val="18"/>
                <w:szCs w:val="18"/>
                <w:highlight w:val="none"/>
                <w:u w:val="none"/>
              </w:rPr>
            </w:pPr>
          </w:p>
        </w:tc>
      </w:tr>
      <w:tr w14:paraId="2BAAA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61E2F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36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6D312E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电磁流量计6</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67E0EF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FA182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168EF9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进水管6</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79BC7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2CD3C5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7B194F7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963C3">
            <w:pPr>
              <w:jc w:val="center"/>
              <w:rPr>
                <w:rFonts w:hint="eastAsia" w:ascii="宋体" w:hAnsi="宋体" w:eastAsia="宋体" w:cs="宋体"/>
                <w:i w:val="0"/>
                <w:iCs w:val="0"/>
                <w:color w:val="auto"/>
                <w:sz w:val="18"/>
                <w:szCs w:val="18"/>
                <w:highlight w:val="none"/>
                <w:u w:val="none"/>
              </w:rPr>
            </w:pPr>
          </w:p>
        </w:tc>
      </w:tr>
      <w:tr w14:paraId="3B2E3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B1E60A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37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EB124E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电磁流量计7</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612DAE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61F5EA9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AE6060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进水管7</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69C6C8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4EA5A6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3015E41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66877">
            <w:pPr>
              <w:jc w:val="center"/>
              <w:rPr>
                <w:rFonts w:hint="eastAsia" w:ascii="宋体" w:hAnsi="宋体" w:eastAsia="宋体" w:cs="宋体"/>
                <w:i w:val="0"/>
                <w:iCs w:val="0"/>
                <w:color w:val="auto"/>
                <w:sz w:val="18"/>
                <w:szCs w:val="18"/>
                <w:highlight w:val="none"/>
                <w:u w:val="none"/>
              </w:rPr>
            </w:pPr>
          </w:p>
        </w:tc>
      </w:tr>
      <w:tr w14:paraId="53671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000C52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38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DE4609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电磁流量计8</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DF617C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3200C5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972F74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进水管8</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A8CAA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D586EF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0A89A9C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6860A">
            <w:pPr>
              <w:jc w:val="center"/>
              <w:rPr>
                <w:rFonts w:hint="eastAsia" w:ascii="宋体" w:hAnsi="宋体" w:eastAsia="宋体" w:cs="宋体"/>
                <w:i w:val="0"/>
                <w:iCs w:val="0"/>
                <w:color w:val="auto"/>
                <w:sz w:val="18"/>
                <w:szCs w:val="18"/>
                <w:highlight w:val="none"/>
                <w:u w:val="none"/>
              </w:rPr>
            </w:pPr>
          </w:p>
        </w:tc>
      </w:tr>
      <w:tr w14:paraId="14F50D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1A208C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39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99E5536">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电磁流量计9</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68AB5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5F6854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1F2D58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进水管9</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0235DA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18CB7F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2E08D49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E6659">
            <w:pPr>
              <w:jc w:val="center"/>
              <w:rPr>
                <w:rFonts w:hint="eastAsia" w:ascii="宋体" w:hAnsi="宋体" w:eastAsia="宋体" w:cs="宋体"/>
                <w:i w:val="0"/>
                <w:iCs w:val="0"/>
                <w:color w:val="auto"/>
                <w:sz w:val="18"/>
                <w:szCs w:val="18"/>
                <w:highlight w:val="none"/>
                <w:u w:val="none"/>
              </w:rPr>
            </w:pPr>
          </w:p>
        </w:tc>
      </w:tr>
      <w:tr w14:paraId="4B652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0A852F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40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C4E80E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电磁流量计10</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AFD75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2D5161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19A1615">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进水管10</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19EB9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E5E1E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604FF34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7E8F9">
            <w:pPr>
              <w:jc w:val="center"/>
              <w:rPr>
                <w:rFonts w:hint="eastAsia" w:ascii="宋体" w:hAnsi="宋体" w:eastAsia="宋体" w:cs="宋体"/>
                <w:i w:val="0"/>
                <w:iCs w:val="0"/>
                <w:color w:val="auto"/>
                <w:sz w:val="18"/>
                <w:szCs w:val="18"/>
                <w:highlight w:val="none"/>
                <w:u w:val="none"/>
              </w:rPr>
            </w:pPr>
          </w:p>
        </w:tc>
      </w:tr>
      <w:tr w14:paraId="34334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466D592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41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432B267">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电磁流量计11</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FAC1C9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447AB7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72D852D0">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进水管11</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04113B4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B5732A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4A5901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20FA2">
            <w:pPr>
              <w:jc w:val="center"/>
              <w:rPr>
                <w:rFonts w:hint="eastAsia" w:ascii="宋体" w:hAnsi="宋体" w:eastAsia="宋体" w:cs="宋体"/>
                <w:i w:val="0"/>
                <w:iCs w:val="0"/>
                <w:color w:val="auto"/>
                <w:sz w:val="18"/>
                <w:szCs w:val="18"/>
                <w:highlight w:val="none"/>
                <w:u w:val="none"/>
              </w:rPr>
            </w:pPr>
          </w:p>
        </w:tc>
      </w:tr>
      <w:tr w14:paraId="3FF47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7BBDAD8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42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35080E5B">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电磁流量计12</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0020C8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758D45A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871B924">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进水管12</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CA6BC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5E50EC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61C8567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D874F">
            <w:pPr>
              <w:jc w:val="center"/>
              <w:rPr>
                <w:rFonts w:hint="eastAsia" w:ascii="宋体" w:hAnsi="宋体" w:eastAsia="宋体" w:cs="宋体"/>
                <w:i w:val="0"/>
                <w:iCs w:val="0"/>
                <w:color w:val="auto"/>
                <w:sz w:val="18"/>
                <w:szCs w:val="18"/>
                <w:highlight w:val="none"/>
                <w:u w:val="none"/>
              </w:rPr>
            </w:pPr>
          </w:p>
        </w:tc>
      </w:tr>
      <w:tr w14:paraId="08A9F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3492B5E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 xml:space="preserve">43 </w:t>
            </w:r>
          </w:p>
        </w:tc>
        <w:tc>
          <w:tcPr>
            <w:tcW w:w="1308"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4A8FE479">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电磁流量计13</w:t>
            </w:r>
          </w:p>
        </w:tc>
        <w:tc>
          <w:tcPr>
            <w:tcW w:w="900"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6764BCF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247B5C2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524"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2129D2BA">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进水管13</w:t>
            </w:r>
          </w:p>
        </w:tc>
        <w:tc>
          <w:tcPr>
            <w:tcW w:w="0" w:type="auto"/>
            <w:tcBorders>
              <w:top w:val="single" w:color="000000" w:sz="4" w:space="0"/>
              <w:left w:val="single" w:color="000000" w:sz="4" w:space="0"/>
              <w:bottom w:val="single" w:color="000000" w:sz="4" w:space="0"/>
              <w:right w:val="single" w:color="000000" w:sz="4" w:space="0"/>
            </w:tcBorders>
            <w:shd w:val="clear" w:color="auto" w:fill="FFF2CC"/>
            <w:noWrap/>
            <w:vAlign w:val="center"/>
          </w:tcPr>
          <w:p w14:paraId="17D666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是</w:t>
            </w:r>
          </w:p>
        </w:tc>
        <w:tc>
          <w:tcPr>
            <w:tcW w:w="1406" w:type="dxa"/>
            <w:tcBorders>
              <w:top w:val="single" w:color="000000" w:sz="4" w:space="0"/>
              <w:left w:val="single" w:color="000000" w:sz="4" w:space="0"/>
              <w:bottom w:val="single" w:color="000000" w:sz="4" w:space="0"/>
              <w:right w:val="single" w:color="000000" w:sz="4" w:space="0"/>
            </w:tcBorders>
            <w:shd w:val="clear" w:color="auto" w:fill="FFF2CC"/>
            <w:vAlign w:val="center"/>
          </w:tcPr>
          <w:p w14:paraId="0884244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1308" w:type="dxa"/>
            <w:tcBorders>
              <w:top w:val="nil"/>
              <w:left w:val="single" w:color="000000" w:sz="4" w:space="0"/>
              <w:bottom w:val="single" w:color="000000" w:sz="4" w:space="0"/>
              <w:right w:val="single" w:color="000000" w:sz="4" w:space="0"/>
            </w:tcBorders>
            <w:shd w:val="clear" w:color="auto" w:fill="auto"/>
            <w:vAlign w:val="center"/>
          </w:tcPr>
          <w:p w14:paraId="7457B2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90E89">
            <w:pPr>
              <w:jc w:val="center"/>
              <w:rPr>
                <w:rFonts w:hint="eastAsia" w:ascii="宋体" w:hAnsi="宋体" w:eastAsia="宋体" w:cs="宋体"/>
                <w:i w:val="0"/>
                <w:iCs w:val="0"/>
                <w:color w:val="auto"/>
                <w:sz w:val="18"/>
                <w:szCs w:val="18"/>
                <w:highlight w:val="none"/>
                <w:u w:val="none"/>
              </w:rPr>
            </w:pPr>
          </w:p>
        </w:tc>
      </w:tr>
    </w:tbl>
    <w:p w14:paraId="2BD870A8">
      <w:pPr>
        <w:spacing w:line="360" w:lineRule="auto"/>
        <w:ind w:firstLine="480" w:firstLineChars="200"/>
        <w:rPr>
          <w:rFonts w:hint="eastAsia" w:ascii="宋体" w:hAnsi="宋体" w:cs="宋体"/>
          <w:color w:val="auto"/>
          <w:sz w:val="24"/>
          <w:highlight w:val="none"/>
          <w:lang w:val="en-US" w:eastAsia="zh-CN" w:bidi="ar"/>
        </w:rPr>
      </w:pPr>
    </w:p>
    <w:p w14:paraId="4C04512F">
      <w:pPr>
        <w:widowControl/>
        <w:spacing w:line="360" w:lineRule="auto"/>
        <w:ind w:firstLine="482"/>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val="en-US" w:eastAsia="zh-CN"/>
        </w:rPr>
        <w:t>2</w:t>
      </w:r>
      <w:r>
        <w:rPr>
          <w:rFonts w:hint="eastAsia" w:ascii="宋体" w:hAnsi="宋体" w:cs="宋体"/>
          <w:b/>
          <w:bCs/>
          <w:color w:val="auto"/>
          <w:kern w:val="0"/>
          <w:sz w:val="24"/>
          <w:highlight w:val="none"/>
        </w:rPr>
        <w:t>.1</w:t>
      </w:r>
      <w:r>
        <w:rPr>
          <w:rFonts w:hint="eastAsia" w:ascii="宋体" w:hAnsi="宋体" w:cs="宋体"/>
          <w:b/>
          <w:bCs/>
          <w:color w:val="auto"/>
          <w:kern w:val="0"/>
          <w:sz w:val="24"/>
          <w:highlight w:val="none"/>
          <w:lang w:val="en-US" w:eastAsia="zh-CN"/>
        </w:rPr>
        <w:t>1危废</w:t>
      </w:r>
      <w:r>
        <w:rPr>
          <w:rFonts w:hint="eastAsia" w:ascii="宋体" w:hAnsi="宋体" w:cs="宋体"/>
          <w:b/>
          <w:bCs/>
          <w:color w:val="auto"/>
          <w:kern w:val="0"/>
          <w:sz w:val="24"/>
          <w:highlight w:val="none"/>
        </w:rPr>
        <w:t>的处置</w:t>
      </w:r>
    </w:p>
    <w:p w14:paraId="25D84E6B">
      <w:pPr>
        <w:widowControl/>
        <w:spacing w:line="360" w:lineRule="auto"/>
        <w:ind w:firstLine="480"/>
        <w:jc w:val="left"/>
        <w:rPr>
          <w:rStyle w:val="54"/>
          <w:rFonts w:hint="eastAsia" w:ascii="宋体" w:hAnsi="宋体" w:cs="宋体"/>
          <w:b w:val="0"/>
          <w:bCs w:val="0"/>
          <w:color w:val="auto"/>
          <w:kern w:val="0"/>
          <w:sz w:val="24"/>
          <w:highlight w:val="none"/>
        </w:rPr>
      </w:pPr>
      <w:r>
        <w:rPr>
          <w:rStyle w:val="54"/>
          <w:rFonts w:hint="eastAsia" w:ascii="宋体" w:hAnsi="宋体" w:cs="宋体"/>
          <w:b w:val="0"/>
          <w:bCs w:val="0"/>
          <w:color w:val="auto"/>
          <w:kern w:val="0"/>
          <w:sz w:val="24"/>
          <w:highlight w:val="none"/>
        </w:rPr>
        <w:t>本项目</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处置由</w:t>
      </w:r>
      <w:r>
        <w:rPr>
          <w:rFonts w:hint="eastAsia" w:ascii="宋体" w:hAnsi="宋体" w:cs="宋体"/>
          <w:color w:val="auto"/>
          <w:sz w:val="24"/>
          <w:highlight w:val="none"/>
          <w:lang w:val="en-US" w:eastAsia="zh-CN" w:bidi="ar"/>
        </w:rPr>
        <w:t>招标人</w:t>
      </w:r>
      <w:r>
        <w:rPr>
          <w:rStyle w:val="54"/>
          <w:rFonts w:hint="eastAsia" w:ascii="宋体" w:hAnsi="宋体" w:cs="宋体"/>
          <w:b w:val="0"/>
          <w:bCs w:val="0"/>
          <w:color w:val="auto"/>
          <w:kern w:val="0"/>
          <w:sz w:val="24"/>
          <w:highlight w:val="none"/>
        </w:rPr>
        <w:t>与</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处置持证单位签订</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处置的消纳合同</w:t>
      </w:r>
      <w:r>
        <w:rPr>
          <w:rStyle w:val="54"/>
          <w:rFonts w:hint="eastAsia" w:ascii="宋体" w:hAnsi="宋体" w:cs="宋体"/>
          <w:b w:val="0"/>
          <w:bCs w:val="0"/>
          <w:color w:val="auto"/>
          <w:kern w:val="0"/>
          <w:sz w:val="24"/>
          <w:highlight w:val="none"/>
          <w:lang w:eastAsia="zh-CN"/>
        </w:rPr>
        <w:t>，</w:t>
      </w:r>
      <w:r>
        <w:rPr>
          <w:rStyle w:val="54"/>
          <w:rFonts w:hint="eastAsia" w:ascii="宋体" w:hAnsi="宋体" w:cs="宋体"/>
          <w:b w:val="0"/>
          <w:bCs w:val="0"/>
          <w:color w:val="auto"/>
          <w:kern w:val="0"/>
          <w:sz w:val="24"/>
          <w:highlight w:val="none"/>
          <w:lang w:val="en-US" w:eastAsia="zh-CN"/>
        </w:rPr>
        <w:t>费用由招标人支付</w:t>
      </w:r>
      <w:r>
        <w:rPr>
          <w:rStyle w:val="54"/>
          <w:rFonts w:hint="eastAsia" w:ascii="宋体" w:hAnsi="宋体" w:cs="宋体"/>
          <w:b w:val="0"/>
          <w:bCs w:val="0"/>
          <w:color w:val="auto"/>
          <w:kern w:val="0"/>
          <w:sz w:val="24"/>
          <w:highlight w:val="none"/>
        </w:rPr>
        <w:t>。</w:t>
      </w:r>
    </w:p>
    <w:p w14:paraId="0EB5CC34">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应根据现场储存情况，及时通知</w:t>
      </w:r>
      <w:r>
        <w:rPr>
          <w:rFonts w:hint="eastAsia" w:ascii="宋体" w:hAnsi="宋体" w:cs="宋体"/>
          <w:color w:val="auto"/>
          <w:sz w:val="24"/>
          <w:highlight w:val="none"/>
          <w:lang w:val="en-US" w:eastAsia="zh-CN" w:bidi="ar"/>
        </w:rPr>
        <w:t>招标人</w:t>
      </w:r>
      <w:r>
        <w:rPr>
          <w:rFonts w:hint="eastAsia" w:ascii="宋体" w:hAnsi="宋体" w:cs="宋体"/>
          <w:color w:val="auto"/>
          <w:kern w:val="0"/>
          <w:sz w:val="24"/>
          <w:highlight w:val="none"/>
        </w:rPr>
        <w:t>及</w:t>
      </w:r>
      <w:r>
        <w:rPr>
          <w:rStyle w:val="54"/>
          <w:rFonts w:hint="eastAsia" w:ascii="宋体" w:hAnsi="宋体" w:cs="宋体"/>
          <w:b w:val="0"/>
          <w:bCs w:val="0"/>
          <w:color w:val="auto"/>
          <w:kern w:val="0"/>
          <w:sz w:val="24"/>
          <w:highlight w:val="none"/>
          <w:lang w:val="en-US" w:eastAsia="zh-CN"/>
        </w:rPr>
        <w:t>危废</w:t>
      </w:r>
      <w:r>
        <w:rPr>
          <w:rFonts w:hint="eastAsia" w:ascii="宋体" w:hAnsi="宋体" w:cs="宋体"/>
          <w:color w:val="auto"/>
          <w:kern w:val="0"/>
          <w:sz w:val="24"/>
          <w:highlight w:val="none"/>
        </w:rPr>
        <w:t>处置单位对</w:t>
      </w:r>
      <w:r>
        <w:rPr>
          <w:rFonts w:hint="eastAsia" w:ascii="宋体" w:hAnsi="宋体" w:cs="宋体"/>
          <w:color w:val="auto"/>
          <w:kern w:val="0"/>
          <w:sz w:val="24"/>
          <w:highlight w:val="none"/>
          <w:lang w:val="en-US" w:eastAsia="zh-CN"/>
        </w:rPr>
        <w:t>现场危废</w:t>
      </w:r>
      <w:r>
        <w:rPr>
          <w:rFonts w:hint="eastAsia" w:ascii="宋体" w:hAnsi="宋体" w:cs="宋体"/>
          <w:color w:val="auto"/>
          <w:kern w:val="0"/>
          <w:sz w:val="24"/>
          <w:highlight w:val="none"/>
        </w:rPr>
        <w:t>进行处</w:t>
      </w:r>
      <w:r>
        <w:rPr>
          <w:rFonts w:hint="eastAsia" w:ascii="宋体" w:hAnsi="宋体" w:cs="宋体"/>
          <w:color w:val="auto"/>
          <w:spacing w:val="2"/>
          <w:sz w:val="24"/>
          <w:highlight w:val="none"/>
        </w:rPr>
        <w:t>置。</w:t>
      </w:r>
    </w:p>
    <w:p w14:paraId="031979FC">
      <w:pPr>
        <w:widowControl/>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在本项目服务过程中应协助</w:t>
      </w:r>
      <w:r>
        <w:rPr>
          <w:rFonts w:hint="eastAsia" w:ascii="宋体" w:hAnsi="宋体" w:cs="宋体"/>
          <w:color w:val="auto"/>
          <w:sz w:val="24"/>
          <w:highlight w:val="none"/>
          <w:lang w:val="en-US" w:eastAsia="zh-CN" w:bidi="ar"/>
        </w:rPr>
        <w:t>招标人</w:t>
      </w:r>
      <w:r>
        <w:rPr>
          <w:rFonts w:hint="eastAsia" w:ascii="宋体" w:hAnsi="宋体" w:cs="宋体"/>
          <w:color w:val="auto"/>
          <w:kern w:val="0"/>
          <w:sz w:val="24"/>
          <w:highlight w:val="none"/>
        </w:rPr>
        <w:t>严格执行政府相关部门关于</w:t>
      </w:r>
      <w:r>
        <w:rPr>
          <w:rFonts w:hint="eastAsia" w:ascii="宋体" w:hAnsi="宋体" w:cs="宋体"/>
          <w:color w:val="auto"/>
          <w:kern w:val="0"/>
          <w:sz w:val="24"/>
          <w:highlight w:val="none"/>
          <w:lang w:val="en-US" w:eastAsia="zh-CN"/>
        </w:rPr>
        <w:t>危废</w:t>
      </w:r>
      <w:r>
        <w:rPr>
          <w:rFonts w:hint="eastAsia" w:ascii="宋体" w:hAnsi="宋体" w:cs="宋体"/>
          <w:color w:val="auto"/>
          <w:kern w:val="0"/>
          <w:sz w:val="24"/>
          <w:highlight w:val="none"/>
        </w:rPr>
        <w:t>外运处置全流程监管工作细则</w:t>
      </w:r>
      <w:r>
        <w:rPr>
          <w:rFonts w:hint="eastAsia" w:ascii="宋体" w:hAnsi="宋体" w:cs="宋体"/>
          <w:color w:val="auto"/>
          <w:kern w:val="0"/>
          <w:sz w:val="24"/>
          <w:highlight w:val="none"/>
          <w:lang w:val="en-US" w:eastAsia="zh-CN"/>
        </w:rPr>
        <w:t>及危废仓储存放管理</w:t>
      </w:r>
      <w:r>
        <w:rPr>
          <w:rFonts w:hint="eastAsia" w:ascii="宋体" w:hAnsi="宋体" w:cs="宋体"/>
          <w:color w:val="auto"/>
          <w:kern w:val="0"/>
          <w:sz w:val="24"/>
          <w:highlight w:val="none"/>
        </w:rPr>
        <w:t>等相关文件，因</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原因造成的经济损失和法律责任由</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承担。</w:t>
      </w:r>
    </w:p>
    <w:p w14:paraId="25B0ECAD">
      <w:pPr>
        <w:spacing w:line="360" w:lineRule="auto"/>
        <w:ind w:firstLine="482" w:firstLineChars="200"/>
        <w:rPr>
          <w:rFonts w:hint="default" w:ascii="宋体" w:hAnsi="宋体" w:eastAsia="宋体" w:cs="宋体"/>
          <w:b/>
          <w:bCs/>
          <w:color w:val="auto"/>
          <w:spacing w:val="-3"/>
          <w:sz w:val="24"/>
          <w:highlight w:val="none"/>
          <w:lang w:val="en-US" w:eastAsia="zh-CN"/>
        </w:rPr>
      </w:pPr>
      <w:r>
        <w:rPr>
          <w:rFonts w:hint="eastAsia" w:ascii="宋体" w:hAnsi="宋体" w:cs="宋体"/>
          <w:b/>
          <w:bCs/>
          <w:color w:val="auto"/>
          <w:kern w:val="0"/>
          <w:sz w:val="24"/>
          <w:highlight w:val="none"/>
          <w:lang w:val="en-US" w:eastAsia="zh-CN"/>
        </w:rPr>
        <w:t>2</w:t>
      </w:r>
      <w:r>
        <w:rPr>
          <w:rFonts w:hint="eastAsia" w:ascii="宋体" w:hAnsi="宋体" w:cs="宋体"/>
          <w:b/>
          <w:bCs/>
          <w:color w:val="auto"/>
          <w:kern w:val="0"/>
          <w:sz w:val="24"/>
          <w:highlight w:val="none"/>
        </w:rPr>
        <w:t>.1</w:t>
      </w:r>
      <w:r>
        <w:rPr>
          <w:rFonts w:hint="eastAsia" w:ascii="宋体" w:hAnsi="宋体" w:cs="宋体"/>
          <w:b/>
          <w:bCs/>
          <w:color w:val="auto"/>
          <w:kern w:val="0"/>
          <w:sz w:val="24"/>
          <w:highlight w:val="none"/>
          <w:lang w:val="en-US" w:eastAsia="zh-CN"/>
        </w:rPr>
        <w:t>2废气</w:t>
      </w:r>
      <w:r>
        <w:rPr>
          <w:rFonts w:hint="eastAsia" w:ascii="宋体" w:hAnsi="宋体" w:cs="宋体"/>
          <w:b/>
          <w:bCs/>
          <w:color w:val="auto"/>
          <w:spacing w:val="-3"/>
          <w:sz w:val="24"/>
          <w:highlight w:val="none"/>
          <w:lang w:val="en-US" w:eastAsia="zh-CN"/>
        </w:rPr>
        <w:t>运营要求</w:t>
      </w:r>
    </w:p>
    <w:p w14:paraId="667D44DC">
      <w:pPr>
        <w:widowControl/>
        <w:spacing w:line="360" w:lineRule="auto"/>
        <w:ind w:firstLine="482"/>
        <w:jc w:val="left"/>
        <w:rPr>
          <w:rFonts w:hint="eastAsia"/>
          <w:color w:val="auto"/>
          <w:highlight w:val="none"/>
        </w:rPr>
      </w:pP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应根据</w:t>
      </w:r>
      <w:r>
        <w:rPr>
          <w:rFonts w:hint="eastAsia" w:ascii="宋体" w:hAnsi="宋体" w:cs="宋体"/>
          <w:color w:val="auto"/>
          <w:kern w:val="0"/>
          <w:sz w:val="24"/>
          <w:highlight w:val="none"/>
          <w:lang w:val="en-US" w:eastAsia="zh-CN"/>
        </w:rPr>
        <w:t>现场实际情况进行耗材及药剂的替换补充，应保证废气处理达标排放。</w:t>
      </w:r>
    </w:p>
    <w:p w14:paraId="63220997">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2"/>
          <w:sz w:val="24"/>
          <w:highlight w:val="none"/>
          <w:lang w:val="en-US" w:eastAsia="zh-CN"/>
        </w:rPr>
        <w:t>2</w:t>
      </w:r>
      <w:r>
        <w:rPr>
          <w:rFonts w:hint="eastAsia" w:ascii="宋体" w:hAnsi="宋体" w:eastAsia="宋体" w:cs="宋体"/>
          <w:b/>
          <w:bCs/>
          <w:color w:val="auto"/>
          <w:spacing w:val="2"/>
          <w:sz w:val="24"/>
          <w:highlight w:val="none"/>
          <w:lang w:val="en-US" w:eastAsia="zh-CN"/>
        </w:rPr>
        <w:t>.13运维人员要求</w:t>
      </w:r>
    </w:p>
    <w:p w14:paraId="0900550C">
      <w:pPr>
        <w:spacing w:line="360" w:lineRule="auto"/>
        <w:ind w:firstLine="488" w:firstLineChars="200"/>
        <w:rPr>
          <w:rFonts w:hint="eastAsia" w:ascii="宋体" w:hAnsi="宋体" w:eastAsia="宋体" w:cs="宋体"/>
          <w:color w:val="auto"/>
          <w:spacing w:val="2"/>
          <w:sz w:val="24"/>
          <w:szCs w:val="24"/>
          <w:highlight w:val="none"/>
          <w:lang w:eastAsia="zh-CN"/>
        </w:rPr>
      </w:pPr>
      <w:r>
        <w:rPr>
          <w:rFonts w:hint="eastAsia" w:ascii="宋体" w:hAnsi="宋体" w:eastAsia="宋体" w:cs="宋体"/>
          <w:color w:val="auto"/>
          <w:spacing w:val="2"/>
          <w:sz w:val="24"/>
          <w:szCs w:val="24"/>
          <w:highlight w:val="none"/>
        </w:rPr>
        <w:t>运营人工服务成员包括不限于项目负责人、项目技术负责人、操作人员（含污废水处理工和自动监控污废水运行工），且均必须为专职人员，不允许身兼数职。①项目负责人</w:t>
      </w:r>
      <w:r>
        <w:rPr>
          <w:rFonts w:hint="eastAsia" w:ascii="宋体" w:hAnsi="宋体" w:eastAsia="宋体" w:cs="宋体"/>
          <w:color w:val="auto"/>
          <w:spacing w:val="2"/>
          <w:sz w:val="24"/>
          <w:szCs w:val="24"/>
          <w:highlight w:val="none"/>
          <w:lang w:val="en-US" w:eastAsia="zh-CN"/>
        </w:rPr>
        <w:t>应</w:t>
      </w:r>
      <w:r>
        <w:rPr>
          <w:rFonts w:hint="eastAsia" w:ascii="宋体" w:hAnsi="宋体" w:eastAsia="宋体" w:cs="宋体"/>
          <w:color w:val="auto"/>
          <w:spacing w:val="2"/>
          <w:sz w:val="24"/>
          <w:szCs w:val="24"/>
          <w:highlight w:val="none"/>
        </w:rPr>
        <w:t>具有本科（环境类或给排水类相关专业）及以上学历、环境或给排水类相关中级及以上职称</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污废水处理工证书</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获得市级及以上政府部门荣誉证书</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至少有三年以上同等职位管理工作经验</w:t>
      </w:r>
      <w:r>
        <w:rPr>
          <w:rFonts w:hint="eastAsia" w:ascii="宋体" w:hAnsi="宋体" w:eastAsia="宋体" w:cs="宋体"/>
          <w:color w:val="auto"/>
          <w:spacing w:val="2"/>
          <w:sz w:val="24"/>
          <w:szCs w:val="24"/>
          <w:highlight w:val="none"/>
          <w:lang w:eastAsia="zh-CN"/>
        </w:rPr>
        <w:t>；</w:t>
      </w:r>
      <w:r>
        <w:rPr>
          <w:rFonts w:hint="eastAsia" w:ascii="宋体" w:hAnsi="宋体" w:eastAsia="宋体" w:cs="宋体"/>
          <w:color w:val="auto"/>
          <w:spacing w:val="2"/>
          <w:sz w:val="24"/>
          <w:szCs w:val="24"/>
          <w:highlight w:val="none"/>
        </w:rPr>
        <w:t>②项目技术负责人</w:t>
      </w:r>
      <w:r>
        <w:rPr>
          <w:rFonts w:hint="eastAsia" w:ascii="宋体" w:hAnsi="宋体" w:eastAsia="宋体" w:cs="宋体"/>
          <w:color w:val="auto"/>
          <w:spacing w:val="2"/>
          <w:sz w:val="24"/>
          <w:szCs w:val="24"/>
          <w:highlight w:val="none"/>
          <w:lang w:val="en-US" w:eastAsia="zh-CN"/>
        </w:rPr>
        <w:t>应具有</w:t>
      </w:r>
      <w:r>
        <w:rPr>
          <w:rFonts w:hint="eastAsia" w:ascii="宋体" w:hAnsi="宋体" w:eastAsia="宋体" w:cs="宋体"/>
          <w:color w:val="auto"/>
          <w:spacing w:val="-2"/>
          <w:sz w:val="24"/>
          <w:szCs w:val="24"/>
          <w:highlight w:val="none"/>
          <w:lang w:val="en-US" w:eastAsia="zh-CN" w:bidi="ar-SA"/>
        </w:rPr>
        <w:t>环境类相关专业中级及以上职称、污废水处理工证书、国家主管部门颁发高低压电工证，</w:t>
      </w:r>
      <w:r>
        <w:rPr>
          <w:rFonts w:hint="eastAsia" w:ascii="宋体" w:hAnsi="宋体" w:eastAsia="宋体" w:cs="宋体"/>
          <w:color w:val="auto"/>
          <w:spacing w:val="2"/>
          <w:sz w:val="24"/>
          <w:szCs w:val="24"/>
          <w:highlight w:val="none"/>
        </w:rPr>
        <w:t>至少有2年以上同等职位管理工作经验</w:t>
      </w:r>
      <w:r>
        <w:rPr>
          <w:rFonts w:hint="eastAsia" w:ascii="宋体" w:hAnsi="宋体" w:eastAsia="宋体" w:cs="宋体"/>
          <w:color w:val="auto"/>
          <w:spacing w:val="2"/>
          <w:sz w:val="24"/>
          <w:szCs w:val="24"/>
          <w:highlight w:val="none"/>
          <w:lang w:eastAsia="zh-CN"/>
        </w:rPr>
        <w:t>；</w:t>
      </w:r>
    </w:p>
    <w:p w14:paraId="0008F94B">
      <w:pPr>
        <w:spacing w:line="360" w:lineRule="auto"/>
        <w:rPr>
          <w:rFonts w:hint="eastAsia" w:ascii="宋体" w:hAnsi="宋体" w:eastAsia="宋体" w:cs="宋体"/>
          <w:b/>
          <w:bCs/>
          <w:color w:val="auto"/>
          <w:spacing w:val="2"/>
          <w:sz w:val="24"/>
          <w:szCs w:val="24"/>
          <w:highlight w:val="none"/>
        </w:rPr>
      </w:pPr>
      <w:r>
        <w:rPr>
          <w:rFonts w:hint="eastAsia" w:ascii="宋体" w:hAnsi="宋体" w:eastAsia="宋体" w:cs="宋体"/>
          <w:color w:val="auto"/>
          <w:sz w:val="24"/>
          <w:szCs w:val="24"/>
          <w:highlight w:val="none"/>
          <w:lang w:val="en-US" w:eastAsia="zh-CN"/>
        </w:rPr>
        <w:t>③项目安全负责人应具有</w:t>
      </w:r>
      <w:r>
        <w:rPr>
          <w:rFonts w:hint="eastAsia" w:ascii="宋体" w:hAnsi="宋体" w:eastAsia="宋体" w:cs="宋体"/>
          <w:color w:val="auto"/>
          <w:spacing w:val="-2"/>
          <w:sz w:val="24"/>
          <w:szCs w:val="24"/>
          <w:highlight w:val="none"/>
          <w:lang w:val="en-US" w:eastAsia="zh-CN" w:bidi="ar-SA"/>
        </w:rPr>
        <w:t>安全员C证且具备政府主管部门颁发得注册安全工程师；④自动监控（污废水）运行工应具有自动监控（污废水）运行工证书及初级及以上工程师职称；污废水处理工应具有污废水处理工证书；</w:t>
      </w:r>
      <w:r>
        <w:rPr>
          <w:rFonts w:hint="eastAsia" w:ascii="宋体" w:hAnsi="宋体" w:eastAsia="宋体" w:cs="宋体"/>
          <w:color w:val="auto"/>
          <w:spacing w:val="-2"/>
          <w:sz w:val="24"/>
          <w:szCs w:val="24"/>
          <w:highlight w:val="none"/>
          <w:lang w:val="en-US" w:eastAsia="zh-CN" w:bidi="ar-SA"/>
        </w:rPr>
        <w:fldChar w:fldCharType="begin"/>
      </w:r>
      <w:r>
        <w:rPr>
          <w:rFonts w:hint="eastAsia" w:ascii="宋体" w:hAnsi="宋体" w:eastAsia="宋体" w:cs="宋体"/>
          <w:color w:val="auto"/>
          <w:spacing w:val="-2"/>
          <w:sz w:val="24"/>
          <w:szCs w:val="24"/>
          <w:highlight w:val="none"/>
          <w:lang w:val="en-US" w:eastAsia="zh-CN" w:bidi="ar-SA"/>
        </w:rPr>
        <w:instrText xml:space="preserve"> = 5 \* GB3 \* MERGEFORMAT </w:instrText>
      </w:r>
      <w:r>
        <w:rPr>
          <w:rFonts w:hint="eastAsia" w:ascii="宋体" w:hAnsi="宋体" w:eastAsia="宋体" w:cs="宋体"/>
          <w:color w:val="auto"/>
          <w:spacing w:val="-2"/>
          <w:sz w:val="24"/>
          <w:szCs w:val="24"/>
          <w:highlight w:val="none"/>
          <w:lang w:val="en-US" w:eastAsia="zh-CN" w:bidi="ar-SA"/>
        </w:rPr>
        <w:fldChar w:fldCharType="separate"/>
      </w:r>
      <w:r>
        <w:rPr>
          <w:rFonts w:hint="eastAsia" w:ascii="宋体" w:hAnsi="宋体" w:eastAsia="宋体" w:cs="宋体"/>
          <w:color w:val="auto"/>
          <w:sz w:val="24"/>
          <w:szCs w:val="24"/>
          <w:highlight w:val="none"/>
        </w:rPr>
        <w:t>⑤</w:t>
      </w:r>
      <w:r>
        <w:rPr>
          <w:rFonts w:hint="eastAsia" w:ascii="宋体" w:hAnsi="宋体" w:eastAsia="宋体" w:cs="宋体"/>
          <w:color w:val="auto"/>
          <w:spacing w:val="-2"/>
          <w:sz w:val="24"/>
          <w:szCs w:val="24"/>
          <w:highlight w:val="none"/>
          <w:lang w:val="en-US" w:eastAsia="zh-CN" w:bidi="ar-SA"/>
        </w:rPr>
        <w:fldChar w:fldCharType="end"/>
      </w:r>
      <w:r>
        <w:rPr>
          <w:rFonts w:hint="eastAsia" w:ascii="宋体" w:hAnsi="宋体" w:eastAsia="宋体" w:cs="宋体"/>
          <w:color w:val="auto"/>
          <w:spacing w:val="-2"/>
          <w:sz w:val="24"/>
          <w:szCs w:val="24"/>
          <w:highlight w:val="none"/>
          <w:lang w:val="en-US" w:eastAsia="zh-CN" w:bidi="ar-SA"/>
        </w:rPr>
        <w:t>电工、资料员、有限空间作业人员应具有相应的资格证书；</w:t>
      </w:r>
      <w:r>
        <w:rPr>
          <w:rFonts w:hint="eastAsia" w:ascii="宋体" w:hAnsi="宋体" w:eastAsia="宋体" w:cs="宋体"/>
          <w:color w:val="auto"/>
          <w:spacing w:val="-2"/>
          <w:sz w:val="24"/>
          <w:szCs w:val="24"/>
          <w:highlight w:val="none"/>
          <w:lang w:val="en-US" w:eastAsia="zh-CN" w:bidi="ar-SA"/>
        </w:rPr>
        <w:fldChar w:fldCharType="begin"/>
      </w:r>
      <w:r>
        <w:rPr>
          <w:rFonts w:hint="eastAsia" w:ascii="宋体" w:hAnsi="宋体" w:eastAsia="宋体" w:cs="宋体"/>
          <w:color w:val="auto"/>
          <w:spacing w:val="-2"/>
          <w:sz w:val="24"/>
          <w:szCs w:val="24"/>
          <w:highlight w:val="none"/>
          <w:lang w:val="en-US" w:eastAsia="zh-CN" w:bidi="ar-SA"/>
        </w:rPr>
        <w:instrText xml:space="preserve"> = 6 \* GB3 \* MERGEFORMAT </w:instrText>
      </w:r>
      <w:r>
        <w:rPr>
          <w:rFonts w:hint="eastAsia" w:ascii="宋体" w:hAnsi="宋体" w:eastAsia="宋体" w:cs="宋体"/>
          <w:color w:val="auto"/>
          <w:spacing w:val="-2"/>
          <w:sz w:val="24"/>
          <w:szCs w:val="24"/>
          <w:highlight w:val="none"/>
          <w:lang w:val="en-US" w:eastAsia="zh-CN" w:bidi="ar-SA"/>
        </w:rPr>
        <w:fldChar w:fldCharType="separate"/>
      </w:r>
      <w:r>
        <w:rPr>
          <w:rFonts w:hint="eastAsia" w:ascii="宋体" w:hAnsi="宋体" w:eastAsia="宋体" w:cs="宋体"/>
          <w:color w:val="auto"/>
          <w:sz w:val="24"/>
          <w:szCs w:val="24"/>
          <w:highlight w:val="none"/>
        </w:rPr>
        <w:t>⑥</w:t>
      </w:r>
      <w:r>
        <w:rPr>
          <w:rFonts w:hint="eastAsia" w:ascii="宋体" w:hAnsi="宋体" w:eastAsia="宋体" w:cs="宋体"/>
          <w:color w:val="auto"/>
          <w:spacing w:val="-2"/>
          <w:sz w:val="24"/>
          <w:szCs w:val="24"/>
          <w:highlight w:val="none"/>
          <w:lang w:val="en-US" w:eastAsia="zh-CN" w:bidi="ar-SA"/>
        </w:rPr>
        <w:fldChar w:fldCharType="end"/>
      </w:r>
      <w:r>
        <w:rPr>
          <w:rFonts w:hint="eastAsia" w:ascii="宋体" w:hAnsi="宋体" w:eastAsia="宋体" w:cs="宋体"/>
          <w:color w:val="auto"/>
          <w:spacing w:val="2"/>
          <w:sz w:val="24"/>
          <w:szCs w:val="24"/>
          <w:highlight w:val="none"/>
        </w:rPr>
        <w:t>操作人员至少有半年以上相关岗位管理工作经验。</w:t>
      </w:r>
      <w:r>
        <w:rPr>
          <w:rFonts w:hint="eastAsia" w:ascii="宋体" w:hAnsi="宋体" w:eastAsia="宋体" w:cs="宋体"/>
          <w:b/>
          <w:bCs/>
          <w:color w:val="auto"/>
          <w:spacing w:val="2"/>
          <w:sz w:val="24"/>
          <w:szCs w:val="24"/>
          <w:highlight w:val="none"/>
        </w:rPr>
        <w:t>应明确各岗位人员的职位职责和职位要求。</w:t>
      </w:r>
    </w:p>
    <w:p w14:paraId="2B95465D">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eastAsia="宋体" w:cs="宋体"/>
          <w:b/>
          <w:bCs/>
          <w:color w:val="auto"/>
          <w:spacing w:val="2"/>
          <w:sz w:val="24"/>
          <w:highlight w:val="none"/>
          <w:lang w:val="en-US" w:eastAsia="zh-CN"/>
        </w:rPr>
        <w:t>运维人员应为投标人员，非</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原因，每次进行人员更换和调动，项目负责人、项目技术负责人每更换和调动一次罚款2000元。更换和调动事宜必须事先向</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通报，更换和调动后人员必须满足变更前同等资质。并应落实好各项合法手续，严禁出现未经教育和考核的人员上岗。</w:t>
      </w:r>
    </w:p>
    <w:p w14:paraId="1BE97DFD">
      <w:pPr>
        <w:pStyle w:val="178"/>
        <w:spacing w:line="360" w:lineRule="auto"/>
        <w:ind w:firstLine="48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运营阶段，</w:t>
      </w:r>
      <w:r>
        <w:rPr>
          <w:rFonts w:hint="eastAsia" w:ascii="宋体" w:hAnsi="宋体" w:cs="宋体"/>
          <w:b/>
          <w:bCs/>
          <w:color w:val="auto"/>
          <w:sz w:val="24"/>
          <w:szCs w:val="24"/>
          <w:highlight w:val="none"/>
          <w:lang w:eastAsia="zh-CN"/>
        </w:rPr>
        <w:t>招标人</w:t>
      </w:r>
      <w:r>
        <w:rPr>
          <w:rFonts w:hint="eastAsia" w:ascii="宋体" w:hAnsi="宋体" w:cs="宋体"/>
          <w:b/>
          <w:bCs/>
          <w:color w:val="auto"/>
          <w:sz w:val="24"/>
          <w:szCs w:val="24"/>
          <w:highlight w:val="none"/>
        </w:rPr>
        <w:t>有权根据废水排水量调整管理团队的人数，费用根据实际岗位及人数的报价进行支付。</w:t>
      </w:r>
    </w:p>
    <w:p w14:paraId="1A28885F">
      <w:pPr>
        <w:spacing w:line="360" w:lineRule="auto"/>
        <w:ind w:right="1358"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lang w:val="en-US" w:eastAsia="zh-CN"/>
        </w:rPr>
        <w:t>2</w:t>
      </w:r>
      <w:r>
        <w:rPr>
          <w:rFonts w:hint="eastAsia" w:ascii="宋体" w:hAnsi="宋体" w:cs="宋体"/>
          <w:color w:val="auto"/>
          <w:spacing w:val="2"/>
          <w:sz w:val="24"/>
          <w:highlight w:val="none"/>
        </w:rPr>
        <w:t>.</w:t>
      </w:r>
      <w:r>
        <w:rPr>
          <w:rFonts w:hint="eastAsia" w:ascii="宋体" w:hAnsi="宋体" w:cs="宋体"/>
          <w:color w:val="auto"/>
          <w:spacing w:val="2"/>
          <w:sz w:val="24"/>
          <w:highlight w:val="none"/>
          <w:lang w:val="en-US" w:eastAsia="zh-CN"/>
        </w:rPr>
        <w:t>14</w:t>
      </w:r>
      <w:r>
        <w:rPr>
          <w:rFonts w:hint="eastAsia" w:ascii="宋体" w:hAnsi="宋体" w:cs="宋体"/>
          <w:color w:val="auto"/>
          <w:spacing w:val="2"/>
          <w:sz w:val="24"/>
          <w:highlight w:val="none"/>
        </w:rPr>
        <w:t>安全管理</w:t>
      </w:r>
    </w:p>
    <w:p w14:paraId="51C8BFBC">
      <w:pPr>
        <w:spacing w:line="360" w:lineRule="auto"/>
        <w:ind w:firstLine="488" w:firstLineChars="200"/>
        <w:rPr>
          <w:rFonts w:hint="eastAsia" w:ascii="宋体" w:hAnsi="宋体" w:cs="宋体"/>
          <w:color w:val="auto"/>
          <w:sz w:val="24"/>
          <w:highlight w:val="none"/>
        </w:rPr>
      </w:pPr>
      <w:r>
        <w:rPr>
          <w:rFonts w:hint="eastAsia" w:ascii="宋体" w:hAnsi="宋体" w:cs="宋体"/>
          <w:color w:val="auto"/>
          <w:spacing w:val="2"/>
          <w:sz w:val="24"/>
          <w:highlight w:val="none"/>
          <w:lang w:val="en-US" w:eastAsia="zh-CN"/>
        </w:rPr>
        <w:t>中标人</w:t>
      </w:r>
      <w:r>
        <w:rPr>
          <w:rFonts w:hint="eastAsia" w:ascii="宋体" w:hAnsi="宋体" w:cs="宋体"/>
          <w:color w:val="auto"/>
          <w:spacing w:val="2"/>
          <w:sz w:val="24"/>
          <w:highlight w:val="none"/>
        </w:rPr>
        <w:t>须服从招标人及相关主管部门的安全生产管理，针对本项目购买相应保险，服务期间对所投入的服务人员开展安全培训，对项目实施过程中发生的人身安全及对第三者造成的人身伤害或损失负全责。</w:t>
      </w:r>
      <w:r>
        <w:rPr>
          <w:rFonts w:hint="eastAsia" w:ascii="宋体" w:hAnsi="宋体" w:cs="宋体"/>
          <w:color w:val="auto"/>
          <w:spacing w:val="2"/>
          <w:sz w:val="24"/>
          <w:highlight w:val="none"/>
          <w:lang w:val="en-US" w:eastAsia="zh-CN"/>
        </w:rPr>
        <w:t>中标人</w:t>
      </w:r>
      <w:r>
        <w:rPr>
          <w:rFonts w:hint="eastAsia" w:ascii="宋体" w:hAnsi="宋体" w:cs="宋体"/>
          <w:color w:val="auto"/>
          <w:sz w:val="24"/>
          <w:highlight w:val="none"/>
        </w:rPr>
        <w:t>应建立安全方面的制度和措施，每月至少一次召集本项目人员召开安全例会或安全培训，并将有关情况书面上报</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。文明施工要求做到：不得扰民施工；及时清理维护施工现场，垃圾要求日产日清；爱护公共设施；设置施工警示标识及围护设施，做到规范化、标准化，达到安全文明施工要求。</w:t>
      </w:r>
    </w:p>
    <w:p w14:paraId="2D612C1B">
      <w:pPr>
        <w:pageBreakBefore w:val="0"/>
        <w:numPr>
          <w:ilvl w:val="0"/>
          <w:numId w:val="4"/>
        </w:numPr>
        <w:spacing w:line="360" w:lineRule="auto"/>
        <w:ind w:firstLine="0" w:firstLineChars="0"/>
        <w:jc w:val="left"/>
        <w:outlineLvl w:val="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6"/>
          <w:sz w:val="24"/>
          <w:highlight w:val="none"/>
          <w:lang w:val="en-US" w:eastAsia="zh-CN"/>
        </w:rPr>
        <w:t>设备维保维护</w:t>
      </w:r>
      <w:r>
        <w:rPr>
          <w:rFonts w:hint="eastAsia" w:ascii="宋体" w:hAnsi="宋体" w:cs="宋体"/>
          <w:b/>
          <w:bCs/>
          <w:color w:val="auto"/>
          <w:spacing w:val="-6"/>
          <w:sz w:val="24"/>
          <w:highlight w:val="none"/>
        </w:rPr>
        <w:t>管理要求</w:t>
      </w:r>
    </w:p>
    <w:p w14:paraId="3F3F0239">
      <w:pPr>
        <w:pageBreakBefore w:val="0"/>
        <w:numPr>
          <w:ilvl w:val="-1"/>
          <w:numId w:val="0"/>
        </w:numPr>
        <w:spacing w:line="360" w:lineRule="auto"/>
        <w:ind w:firstLine="0" w:firstLineChars="0"/>
        <w:jc w:val="left"/>
        <w:outlineLvl w:val="0"/>
        <w:rPr>
          <w:rFonts w:hint="eastAsia" w:ascii="宋体" w:hAnsi="宋体" w:eastAsia="宋体" w:cs="宋体"/>
          <w:b/>
          <w:bCs/>
          <w:color w:val="auto"/>
          <w:spacing w:val="2"/>
          <w:sz w:val="24"/>
          <w:highlight w:val="none"/>
          <w:lang w:val="en-US" w:eastAsia="zh-CN"/>
        </w:rPr>
      </w:pPr>
      <w:r>
        <w:rPr>
          <w:rFonts w:hint="eastAsia" w:ascii="宋体" w:hAnsi="宋体" w:cs="宋体"/>
          <w:color w:val="auto"/>
          <w:spacing w:val="2"/>
          <w:sz w:val="24"/>
          <w:highlight w:val="none"/>
          <w:lang w:val="en-US" w:eastAsia="zh-CN"/>
        </w:rPr>
        <w:t>3</w:t>
      </w:r>
      <w:r>
        <w:rPr>
          <w:rFonts w:hint="eastAsia" w:ascii="宋体" w:hAnsi="宋体" w:eastAsia="宋体" w:cs="宋体"/>
          <w:color w:val="auto"/>
          <w:spacing w:val="2"/>
          <w:sz w:val="24"/>
          <w:highlight w:val="none"/>
          <w:lang w:val="en-US" w:eastAsia="zh-CN"/>
        </w:rPr>
        <w:t>.1</w:t>
      </w:r>
      <w:r>
        <w:rPr>
          <w:rFonts w:hint="eastAsia" w:ascii="宋体" w:hAnsi="宋体" w:eastAsia="宋体" w:cs="宋体"/>
          <w:b/>
          <w:bCs/>
          <w:color w:val="auto"/>
          <w:spacing w:val="2"/>
          <w:sz w:val="24"/>
          <w:highlight w:val="none"/>
          <w:lang w:val="en-US" w:eastAsia="zh-CN"/>
        </w:rPr>
        <w:t>中标人须承包设备易损件</w:t>
      </w:r>
      <w:r>
        <w:rPr>
          <w:rFonts w:hint="eastAsia" w:ascii="宋体" w:hAnsi="宋体" w:cs="宋体"/>
          <w:b/>
          <w:bCs/>
          <w:color w:val="auto"/>
          <w:spacing w:val="2"/>
          <w:sz w:val="24"/>
          <w:highlight w:val="none"/>
          <w:lang w:val="en-US" w:eastAsia="zh-CN"/>
        </w:rPr>
        <w:t>或者备品备件</w:t>
      </w:r>
      <w:r>
        <w:rPr>
          <w:rFonts w:hint="eastAsia" w:ascii="宋体" w:hAnsi="宋体" w:eastAsia="宋体" w:cs="宋体"/>
          <w:b/>
          <w:bCs/>
          <w:color w:val="auto"/>
          <w:spacing w:val="2"/>
          <w:sz w:val="24"/>
          <w:highlight w:val="none"/>
          <w:lang w:val="en-US" w:eastAsia="zh-CN"/>
        </w:rPr>
        <w:t>，由中标人负责</w:t>
      </w:r>
      <w:r>
        <w:rPr>
          <w:rFonts w:hint="eastAsia" w:ascii="宋体" w:hAnsi="宋体" w:cs="宋体"/>
          <w:b/>
          <w:bCs/>
          <w:color w:val="auto"/>
          <w:spacing w:val="2"/>
          <w:sz w:val="24"/>
          <w:highlight w:val="none"/>
          <w:lang w:val="en-US" w:eastAsia="zh-CN"/>
        </w:rPr>
        <w:t>采购</w:t>
      </w:r>
      <w:r>
        <w:rPr>
          <w:rFonts w:hint="eastAsia" w:ascii="宋体" w:hAnsi="宋体" w:eastAsia="宋体" w:cs="宋体"/>
          <w:b/>
          <w:bCs/>
          <w:color w:val="auto"/>
          <w:spacing w:val="2"/>
          <w:sz w:val="24"/>
          <w:highlight w:val="none"/>
          <w:lang w:val="en-US" w:eastAsia="zh-CN"/>
        </w:rPr>
        <w:t>并更换，费用由中标人承担。易损件</w:t>
      </w:r>
      <w:r>
        <w:rPr>
          <w:rFonts w:hint="eastAsia" w:ascii="宋体" w:hAnsi="宋体" w:cs="宋体"/>
          <w:b/>
          <w:bCs/>
          <w:color w:val="auto"/>
          <w:spacing w:val="2"/>
          <w:sz w:val="24"/>
          <w:highlight w:val="none"/>
          <w:lang w:val="en-US" w:eastAsia="zh-CN"/>
        </w:rPr>
        <w:t>或者备品备件应与设备同品牌、同型号。如遇停产，应选择采购同等质量替代。</w:t>
      </w:r>
      <w:r>
        <w:rPr>
          <w:rFonts w:hint="eastAsia" w:ascii="宋体" w:hAnsi="宋体" w:eastAsia="宋体" w:cs="宋体"/>
          <w:b/>
          <w:bCs/>
          <w:color w:val="auto"/>
          <w:spacing w:val="2"/>
          <w:sz w:val="24"/>
          <w:highlight w:val="none"/>
          <w:lang w:val="en-US" w:eastAsia="zh-CN"/>
        </w:rPr>
        <w:t>未在清单内的易损件单价低于2000元/件，费用由中标人承担，高于2000元/件，由中标人呈报</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由</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采购。</w:t>
      </w:r>
    </w:p>
    <w:p w14:paraId="6B5B3495">
      <w:pPr>
        <w:numPr>
          <w:ilvl w:val="-1"/>
          <w:numId w:val="0"/>
        </w:numPr>
        <w:spacing w:line="360" w:lineRule="auto"/>
        <w:ind w:firstLine="0" w:firstLineChars="0"/>
        <w:outlineLvl w:val="0"/>
        <w:rPr>
          <w:rFonts w:hint="eastAsia" w:ascii="宋体" w:hAnsi="宋体" w:cs="宋体"/>
          <w:b/>
          <w:bCs/>
          <w:color w:val="auto"/>
          <w:spacing w:val="-6"/>
          <w:sz w:val="24"/>
          <w:highlight w:val="none"/>
        </w:rPr>
      </w:pPr>
    </w:p>
    <w:p w14:paraId="35C78496">
      <w:pPr>
        <w:pageBreakBefore/>
        <w:spacing w:line="360" w:lineRule="auto"/>
        <w:ind w:firstLine="1928" w:firstLineChars="800"/>
        <w:jc w:val="center"/>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拟投入本项目的</w:t>
      </w:r>
      <w:r>
        <w:rPr>
          <w:rFonts w:hint="eastAsia" w:hAnsi="宋体" w:cs="宋体"/>
          <w:b/>
          <w:color w:val="auto"/>
          <w:sz w:val="24"/>
          <w:szCs w:val="24"/>
          <w:highlight w:val="none"/>
          <w:lang w:val="en-US" w:eastAsia="zh-CN"/>
        </w:rPr>
        <w:t>易损件或备品备件清单</w:t>
      </w:r>
      <w:r>
        <w:rPr>
          <w:rFonts w:hint="eastAsia" w:ascii="宋体" w:hAnsi="宋体" w:eastAsia="宋体" w:cs="宋体"/>
          <w:b/>
          <w:color w:val="auto"/>
          <w:sz w:val="24"/>
          <w:szCs w:val="24"/>
          <w:highlight w:val="none"/>
        </w:rPr>
        <w:t>表</w:t>
      </w:r>
    </w:p>
    <w:tbl>
      <w:tblPr>
        <w:tblStyle w:val="51"/>
        <w:tblW w:w="310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500"/>
      </w:tblGrid>
      <w:tr w14:paraId="0CE6D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3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E459F">
            <w:pPr>
              <w:keepNext w:val="0"/>
              <w:keepLines w:val="0"/>
              <w:widowControl/>
              <w:suppressLineNumbers w:val="0"/>
              <w:spacing w:line="360" w:lineRule="auto"/>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工艺部分</w:t>
            </w:r>
          </w:p>
        </w:tc>
      </w:tr>
      <w:tr w14:paraId="326C6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24AB3">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压力表</w:t>
            </w:r>
          </w:p>
        </w:tc>
      </w:tr>
      <w:tr w14:paraId="326B95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4ED72">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取样阀</w:t>
            </w:r>
          </w:p>
        </w:tc>
      </w:tr>
      <w:tr w14:paraId="7CF25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1F93F">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阀门（手动、电动、气动）</w:t>
            </w:r>
          </w:p>
        </w:tc>
      </w:tr>
      <w:tr w14:paraId="572BB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E9B0B">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各类密封圈（含阀门）</w:t>
            </w:r>
          </w:p>
        </w:tc>
      </w:tr>
      <w:tr w14:paraId="12556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2A7E2">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各类泵机械密封</w:t>
            </w:r>
          </w:p>
        </w:tc>
      </w:tr>
      <w:tr w14:paraId="2A8DF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AC89C">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垫片（含人孔门）</w:t>
            </w:r>
          </w:p>
        </w:tc>
      </w:tr>
      <w:tr w14:paraId="1EDAC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3B096">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各类泵轴承</w:t>
            </w:r>
          </w:p>
        </w:tc>
      </w:tr>
      <w:tr w14:paraId="5C4F7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CD1B2">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各类泵叶轮</w:t>
            </w:r>
          </w:p>
        </w:tc>
      </w:tr>
      <w:tr w14:paraId="4405D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4CA1A">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各类泵轴套</w:t>
            </w:r>
          </w:p>
        </w:tc>
      </w:tr>
      <w:tr w14:paraId="0EB39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119B3">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罗茨风机备件（进口）</w:t>
            </w:r>
          </w:p>
        </w:tc>
      </w:tr>
      <w:tr w14:paraId="122AA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6296D">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阳离子交换器 T 型绕丝滤元</w:t>
            </w:r>
          </w:p>
        </w:tc>
      </w:tr>
      <w:tr w14:paraId="31246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61746">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阀门隔膜</w:t>
            </w:r>
          </w:p>
        </w:tc>
      </w:tr>
      <w:tr w14:paraId="5A170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595B0">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隔膜泵膜片</w:t>
            </w:r>
          </w:p>
        </w:tc>
      </w:tr>
      <w:tr w14:paraId="5A694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ADB5A">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计量泵泵头组件</w:t>
            </w:r>
          </w:p>
        </w:tc>
      </w:tr>
      <w:tr w14:paraId="38296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643A4">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螺栓、螺母</w:t>
            </w:r>
          </w:p>
        </w:tc>
      </w:tr>
      <w:tr w14:paraId="665B6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365B1">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树脂捕捉器滤元</w:t>
            </w:r>
          </w:p>
        </w:tc>
      </w:tr>
      <w:tr w14:paraId="55772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DE5A5">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管件</w:t>
            </w:r>
          </w:p>
        </w:tc>
      </w:tr>
      <w:tr w14:paraId="57876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0DD1F">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其余部分</w:t>
            </w:r>
          </w:p>
        </w:tc>
      </w:tr>
      <w:tr w14:paraId="5A7CA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4CF4A">
            <w:pPr>
              <w:keepNext w:val="0"/>
              <w:keepLines w:val="0"/>
              <w:widowControl/>
              <w:suppressLineNumbers w:val="0"/>
              <w:spacing w:line="360" w:lineRule="auto"/>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电气部分</w:t>
            </w:r>
          </w:p>
        </w:tc>
      </w:tr>
      <w:tr w14:paraId="30253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91167">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仪表气管接头</w:t>
            </w:r>
          </w:p>
        </w:tc>
      </w:tr>
      <w:tr w14:paraId="7CD4E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A744B">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继电器（带座），转换开关</w:t>
            </w:r>
          </w:p>
        </w:tc>
      </w:tr>
      <w:tr w14:paraId="0350B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A8415">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接触器、指示灯、旋扭开关</w:t>
            </w:r>
          </w:p>
        </w:tc>
      </w:tr>
      <w:tr w14:paraId="0E8D3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4C40D">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世达工具包</w:t>
            </w:r>
          </w:p>
        </w:tc>
      </w:tr>
      <w:tr w14:paraId="6FC40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A9C67">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未在清单内的易损件或备品备件单价低于2000元/件，费用由中标人承担，高于2000元/件，由中标人呈报</w:t>
            </w:r>
            <w:r>
              <w:rPr>
                <w:rFonts w:hint="eastAsia" w:ascii="宋体" w:hAnsi="宋体" w:cs="宋体"/>
                <w:i w:val="0"/>
                <w:iCs w:val="0"/>
                <w:color w:val="auto"/>
                <w:kern w:val="0"/>
                <w:sz w:val="24"/>
                <w:szCs w:val="24"/>
                <w:highlight w:val="none"/>
                <w:u w:val="none"/>
                <w:lang w:val="en-US" w:eastAsia="zh-CN" w:bidi="ar"/>
              </w:rPr>
              <w:t>招标人</w:t>
            </w:r>
            <w:r>
              <w:rPr>
                <w:rFonts w:hint="eastAsia" w:ascii="宋体" w:hAnsi="宋体" w:eastAsia="宋体" w:cs="宋体"/>
                <w:i w:val="0"/>
                <w:iCs w:val="0"/>
                <w:color w:val="auto"/>
                <w:kern w:val="0"/>
                <w:sz w:val="24"/>
                <w:szCs w:val="24"/>
                <w:highlight w:val="none"/>
                <w:u w:val="none"/>
                <w:lang w:val="en-US" w:eastAsia="zh-CN" w:bidi="ar"/>
              </w:rPr>
              <w:t>，由</w:t>
            </w:r>
            <w:r>
              <w:rPr>
                <w:rFonts w:hint="eastAsia" w:ascii="宋体" w:hAnsi="宋体" w:cs="宋体"/>
                <w:i w:val="0"/>
                <w:iCs w:val="0"/>
                <w:color w:val="auto"/>
                <w:kern w:val="0"/>
                <w:sz w:val="24"/>
                <w:szCs w:val="24"/>
                <w:highlight w:val="none"/>
                <w:u w:val="none"/>
                <w:lang w:val="en-US" w:eastAsia="zh-CN" w:bidi="ar"/>
              </w:rPr>
              <w:t>招标人</w:t>
            </w:r>
            <w:r>
              <w:rPr>
                <w:rFonts w:hint="eastAsia" w:ascii="宋体" w:hAnsi="宋体" w:eastAsia="宋体" w:cs="宋体"/>
                <w:i w:val="0"/>
                <w:iCs w:val="0"/>
                <w:color w:val="auto"/>
                <w:kern w:val="0"/>
                <w:sz w:val="24"/>
                <w:szCs w:val="24"/>
                <w:highlight w:val="none"/>
                <w:u w:val="none"/>
                <w:lang w:val="en-US" w:eastAsia="zh-CN" w:bidi="ar"/>
              </w:rPr>
              <w:t>采购。</w:t>
            </w:r>
          </w:p>
        </w:tc>
      </w:tr>
    </w:tbl>
    <w:p w14:paraId="64D8362F">
      <w:pPr>
        <w:spacing w:line="500" w:lineRule="exac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eastAsia="宋体" w:cs="宋体"/>
          <w:color w:val="auto"/>
          <w:spacing w:val="2"/>
          <w:sz w:val="24"/>
          <w:highlight w:val="none"/>
          <w:lang w:val="en-US" w:eastAsia="zh-CN"/>
        </w:rPr>
        <w:t>易损件</w:t>
      </w:r>
      <w:r>
        <w:rPr>
          <w:rFonts w:hint="eastAsia" w:ascii="宋体" w:hAnsi="宋体" w:cs="宋体"/>
          <w:color w:val="auto"/>
          <w:spacing w:val="2"/>
          <w:sz w:val="24"/>
          <w:highlight w:val="none"/>
          <w:lang w:val="en-US" w:eastAsia="zh-CN"/>
        </w:rPr>
        <w:t>或者备品备件应满足与设备同品牌、同型号</w:t>
      </w:r>
      <w:r>
        <w:rPr>
          <w:rFonts w:hint="eastAsia" w:ascii="宋体" w:hAnsi="宋体" w:cs="宋体"/>
          <w:color w:val="auto"/>
          <w:sz w:val="24"/>
          <w:highlight w:val="none"/>
          <w:lang w:val="en-US" w:eastAsia="zh-CN"/>
        </w:rPr>
        <w:t>。</w:t>
      </w:r>
    </w:p>
    <w:p w14:paraId="1591EAD2">
      <w:pPr>
        <w:spacing w:line="360" w:lineRule="auto"/>
        <w:ind w:firstLine="490" w:firstLineChars="200"/>
        <w:rPr>
          <w:rFonts w:hint="default" w:ascii="宋体" w:hAnsi="宋体" w:eastAsia="宋体" w:cs="宋体"/>
          <w:b/>
          <w:bCs/>
          <w:color w:val="auto"/>
          <w:spacing w:val="2"/>
          <w:sz w:val="24"/>
          <w:highlight w:val="none"/>
          <w:lang w:val="en-US" w:eastAsia="zh-CN"/>
        </w:rPr>
      </w:pPr>
    </w:p>
    <w:p w14:paraId="3B0AE547">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2"/>
          <w:sz w:val="24"/>
          <w:highlight w:val="none"/>
          <w:lang w:val="en-US" w:eastAsia="zh-CN"/>
        </w:rPr>
        <w:t>3</w:t>
      </w:r>
      <w:r>
        <w:rPr>
          <w:rFonts w:hint="eastAsia" w:ascii="宋体" w:hAnsi="宋体" w:eastAsia="宋体" w:cs="宋体"/>
          <w:b/>
          <w:bCs/>
          <w:color w:val="auto"/>
          <w:spacing w:val="2"/>
          <w:sz w:val="24"/>
          <w:highlight w:val="none"/>
          <w:lang w:val="en-US" w:eastAsia="zh-CN"/>
        </w:rPr>
        <w:t>.2非</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原因，因中标人的优化管理需求或其他原因需增加工艺产生的费用由中标人自行承担。若因</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的原因，增加工艺产生的费用不超5000元由中标人自行承担，超5000元部分由</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承担。增加工艺方案需报</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审核确认后，方可执行。</w:t>
      </w:r>
    </w:p>
    <w:p w14:paraId="704EAC2B">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2"/>
          <w:sz w:val="24"/>
          <w:highlight w:val="none"/>
          <w:lang w:val="en-US" w:eastAsia="zh-CN"/>
        </w:rPr>
        <w:t>3</w:t>
      </w:r>
      <w:r>
        <w:rPr>
          <w:rFonts w:hint="eastAsia" w:ascii="宋体" w:hAnsi="宋体" w:eastAsia="宋体" w:cs="宋体"/>
          <w:b/>
          <w:bCs/>
          <w:color w:val="auto"/>
          <w:spacing w:val="2"/>
          <w:sz w:val="24"/>
          <w:highlight w:val="none"/>
          <w:lang w:val="en-US" w:eastAsia="zh-CN"/>
        </w:rPr>
        <w:t>.3本项目服务范围内的除锈防锈工作，中标人应按2次/年制定相关的除锈防锈处理方案并报给</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审核后，进行除锈防锈维保工作，完成后并组织</w:t>
      </w:r>
      <w:r>
        <w:rPr>
          <w:rFonts w:hint="eastAsia" w:ascii="宋体" w:hAnsi="宋体" w:cs="宋体"/>
          <w:b/>
          <w:bCs/>
          <w:color w:val="auto"/>
          <w:spacing w:val="2"/>
          <w:sz w:val="24"/>
          <w:highlight w:val="none"/>
          <w:lang w:val="en-US" w:eastAsia="zh-CN"/>
        </w:rPr>
        <w:t>招标人</w:t>
      </w:r>
      <w:r>
        <w:rPr>
          <w:rFonts w:hint="eastAsia" w:ascii="宋体" w:hAnsi="宋体" w:eastAsia="宋体" w:cs="宋体"/>
          <w:b/>
          <w:bCs/>
          <w:color w:val="auto"/>
          <w:spacing w:val="2"/>
          <w:sz w:val="24"/>
          <w:highlight w:val="none"/>
          <w:lang w:val="en-US" w:eastAsia="zh-CN"/>
        </w:rPr>
        <w:t>进行验收，产生费用由中标人承担。</w:t>
      </w:r>
    </w:p>
    <w:p w14:paraId="1005A6CB">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2"/>
          <w:sz w:val="24"/>
          <w:highlight w:val="none"/>
          <w:lang w:val="en-US" w:eastAsia="zh-CN"/>
        </w:rPr>
        <w:t>3</w:t>
      </w:r>
      <w:r>
        <w:rPr>
          <w:rFonts w:hint="eastAsia" w:ascii="宋体" w:hAnsi="宋体" w:eastAsia="宋体" w:cs="宋体"/>
          <w:b/>
          <w:bCs/>
          <w:color w:val="auto"/>
          <w:spacing w:val="2"/>
          <w:sz w:val="24"/>
          <w:highlight w:val="none"/>
          <w:lang w:val="en-US" w:eastAsia="zh-CN"/>
        </w:rPr>
        <w:t>.4因中标人管理或操作不当产生的防腐、墙面损坏，中标人应按照原设计进行修复，产生费用由中标人承担。</w:t>
      </w:r>
    </w:p>
    <w:p w14:paraId="5429234B">
      <w:pPr>
        <w:spacing w:line="360" w:lineRule="auto"/>
        <w:ind w:firstLine="490" w:firstLineChars="200"/>
        <w:rPr>
          <w:rFonts w:hint="eastAsia" w:ascii="宋体" w:hAnsi="宋体" w:eastAsia="宋体" w:cs="宋体"/>
          <w:b/>
          <w:bCs/>
          <w:color w:val="auto"/>
          <w:spacing w:val="2"/>
          <w:sz w:val="24"/>
          <w:highlight w:val="none"/>
          <w:lang w:val="en-US" w:eastAsia="zh-CN"/>
        </w:rPr>
      </w:pPr>
      <w:r>
        <w:rPr>
          <w:rFonts w:hint="eastAsia" w:ascii="宋体" w:hAnsi="宋体" w:cs="宋体"/>
          <w:b/>
          <w:bCs/>
          <w:color w:val="auto"/>
          <w:spacing w:val="2"/>
          <w:sz w:val="24"/>
          <w:highlight w:val="none"/>
          <w:lang w:val="en-US" w:eastAsia="zh-CN"/>
        </w:rPr>
        <w:t>3</w:t>
      </w:r>
      <w:r>
        <w:rPr>
          <w:rFonts w:hint="eastAsia" w:ascii="宋体" w:hAnsi="宋体" w:eastAsia="宋体" w:cs="宋体"/>
          <w:b/>
          <w:bCs/>
          <w:color w:val="auto"/>
          <w:spacing w:val="2"/>
          <w:sz w:val="24"/>
          <w:highlight w:val="none"/>
          <w:lang w:val="en-US" w:eastAsia="zh-CN"/>
        </w:rPr>
        <w:t>.5</w:t>
      </w:r>
      <w:r>
        <w:rPr>
          <w:rFonts w:hint="eastAsia" w:ascii="宋体" w:hAnsi="宋体" w:eastAsia="宋体" w:cs="宋体"/>
          <w:b/>
          <w:bCs/>
          <w:color w:val="auto"/>
          <w:spacing w:val="2"/>
          <w:sz w:val="24"/>
          <w:highlight w:val="none"/>
        </w:rPr>
        <w:t>运营管理期间，</w:t>
      </w:r>
      <w:r>
        <w:rPr>
          <w:rFonts w:hint="eastAsia" w:ascii="宋体" w:hAnsi="宋体" w:eastAsia="宋体" w:cs="宋体"/>
          <w:b/>
          <w:bCs/>
          <w:color w:val="auto"/>
          <w:spacing w:val="2"/>
          <w:sz w:val="24"/>
          <w:highlight w:val="none"/>
          <w:lang w:val="en-US" w:eastAsia="zh-CN"/>
        </w:rPr>
        <w:t>中标人</w:t>
      </w:r>
      <w:r>
        <w:rPr>
          <w:rFonts w:hint="eastAsia" w:ascii="宋体" w:hAnsi="宋体" w:eastAsia="宋体" w:cs="宋体"/>
          <w:b/>
          <w:bCs/>
          <w:color w:val="auto"/>
          <w:spacing w:val="2"/>
          <w:sz w:val="24"/>
          <w:highlight w:val="none"/>
        </w:rPr>
        <w:t>按照废水处理设施、设备的规范操作，正确使用，以避免因操作不当对废水处理设施、设备的损坏。</w:t>
      </w:r>
      <w:r>
        <w:rPr>
          <w:rFonts w:hint="eastAsia" w:ascii="宋体" w:hAnsi="宋体" w:eastAsia="宋体" w:cs="宋体"/>
          <w:b/>
          <w:bCs/>
          <w:color w:val="auto"/>
          <w:spacing w:val="2"/>
          <w:sz w:val="24"/>
          <w:highlight w:val="none"/>
          <w:lang w:val="en-US" w:eastAsia="zh-CN"/>
        </w:rPr>
        <w:t>由中标人操作不当导致的设施设备损坏，由中标人自行修复或赔偿，费用由中标人承担。</w:t>
      </w:r>
    </w:p>
    <w:p w14:paraId="76FE482F">
      <w:pPr>
        <w:spacing w:line="360" w:lineRule="auto"/>
        <w:ind w:firstLine="488" w:firstLineChars="200"/>
        <w:rPr>
          <w:rFonts w:hint="default" w:ascii="宋体" w:hAnsi="宋体" w:eastAsia="宋体" w:cs="宋体"/>
          <w:color w:val="auto"/>
          <w:spacing w:val="2"/>
          <w:sz w:val="24"/>
          <w:highlight w:val="none"/>
          <w:lang w:val="en-US" w:eastAsia="zh-CN"/>
        </w:rPr>
      </w:pPr>
      <w:r>
        <w:rPr>
          <w:rFonts w:hint="eastAsia" w:ascii="宋体" w:hAnsi="宋体" w:cs="宋体"/>
          <w:color w:val="auto"/>
          <w:spacing w:val="2"/>
          <w:sz w:val="24"/>
          <w:highlight w:val="none"/>
          <w:lang w:val="en-US" w:eastAsia="zh-CN"/>
        </w:rPr>
        <w:t>3</w:t>
      </w:r>
      <w:r>
        <w:rPr>
          <w:rFonts w:hint="eastAsia" w:ascii="宋体" w:hAnsi="宋体" w:eastAsia="宋体" w:cs="宋体"/>
          <w:color w:val="auto"/>
          <w:spacing w:val="2"/>
          <w:sz w:val="24"/>
          <w:highlight w:val="none"/>
          <w:lang w:val="en-US" w:eastAsia="zh-CN"/>
        </w:rPr>
        <w:t>.6</w:t>
      </w:r>
      <w:r>
        <w:rPr>
          <w:rFonts w:hint="eastAsia" w:ascii="宋体" w:hAnsi="宋体" w:eastAsia="宋体" w:cs="宋体"/>
          <w:color w:val="auto"/>
          <w:spacing w:val="2"/>
          <w:sz w:val="24"/>
          <w:highlight w:val="none"/>
        </w:rPr>
        <w:t>运营管理期间，本项目所有设备以及建筑物、构筑物的安全及完整性由中标人负责，未经</w:t>
      </w:r>
      <w:r>
        <w:rPr>
          <w:rFonts w:hint="eastAsia" w:ascii="宋体" w:hAnsi="宋体" w:cs="宋体"/>
          <w:color w:val="auto"/>
          <w:spacing w:val="2"/>
          <w:sz w:val="24"/>
          <w:highlight w:val="none"/>
          <w:lang w:val="en-US" w:eastAsia="zh-CN"/>
        </w:rPr>
        <w:t>招标人</w:t>
      </w:r>
      <w:r>
        <w:rPr>
          <w:rFonts w:hint="eastAsia" w:ascii="宋体" w:hAnsi="宋体" w:eastAsia="宋体" w:cs="宋体"/>
          <w:color w:val="auto"/>
          <w:spacing w:val="2"/>
          <w:sz w:val="24"/>
          <w:highlight w:val="none"/>
        </w:rPr>
        <w:t>书面许可，中标人不得在管理范围内建造建筑物或构筑物，不得更改其使用性质。</w:t>
      </w:r>
    </w:p>
    <w:p w14:paraId="12F81563">
      <w:pPr>
        <w:numPr>
          <w:ilvl w:val="0"/>
          <w:numId w:val="0"/>
        </w:numPr>
        <w:spacing w:line="360" w:lineRule="auto"/>
        <w:ind w:left="0" w:leftChars="0" w:firstLine="458" w:firstLineChars="200"/>
        <w:outlineLvl w:val="0"/>
        <w:rPr>
          <w:rFonts w:hint="eastAsia" w:ascii="宋体" w:hAnsi="宋体" w:eastAsia="宋体" w:cs="宋体"/>
          <w:b/>
          <w:bCs/>
          <w:color w:val="auto"/>
          <w:spacing w:val="-6"/>
          <w:sz w:val="24"/>
          <w:highlight w:val="none"/>
          <w:lang w:val="en-US" w:eastAsia="zh-CN"/>
        </w:rPr>
      </w:pPr>
      <w:r>
        <w:rPr>
          <w:rFonts w:hint="eastAsia" w:ascii="宋体" w:hAnsi="宋体" w:cs="宋体"/>
          <w:b/>
          <w:bCs/>
          <w:color w:val="auto"/>
          <w:spacing w:val="-6"/>
          <w:kern w:val="2"/>
          <w:sz w:val="24"/>
          <w:szCs w:val="24"/>
          <w:highlight w:val="none"/>
          <w:lang w:val="en-US" w:eastAsia="zh-CN" w:bidi="ar-SA"/>
        </w:rPr>
        <w:t>4</w:t>
      </w:r>
      <w:r>
        <w:rPr>
          <w:rFonts w:hint="eastAsia" w:ascii="宋体" w:hAnsi="宋体" w:eastAsia="宋体" w:cs="宋体"/>
          <w:b/>
          <w:bCs/>
          <w:color w:val="auto"/>
          <w:spacing w:val="-6"/>
          <w:kern w:val="2"/>
          <w:sz w:val="24"/>
          <w:szCs w:val="24"/>
          <w:highlight w:val="none"/>
          <w:lang w:val="en-US" w:eastAsia="zh-CN" w:bidi="ar-SA"/>
        </w:rPr>
        <w:t>.</w:t>
      </w:r>
      <w:r>
        <w:rPr>
          <w:rFonts w:hint="eastAsia" w:ascii="宋体" w:hAnsi="宋体" w:eastAsia="宋体" w:cs="宋体"/>
          <w:b/>
          <w:bCs/>
          <w:color w:val="auto"/>
          <w:spacing w:val="-6"/>
          <w:sz w:val="24"/>
          <w:highlight w:val="none"/>
          <w:lang w:val="en-US" w:eastAsia="zh-CN"/>
        </w:rPr>
        <w:t>化验室管理要求</w:t>
      </w:r>
    </w:p>
    <w:p w14:paraId="63102FFE">
      <w:pPr>
        <w:spacing w:line="360" w:lineRule="auto"/>
        <w:ind w:firstLine="488" w:firstLineChars="200"/>
        <w:rPr>
          <w:rFonts w:hint="default" w:ascii="宋体" w:hAnsi="宋体" w:eastAsia="宋体" w:cs="宋体"/>
          <w:b/>
          <w:bCs/>
          <w:color w:val="auto"/>
          <w:spacing w:val="2"/>
          <w:sz w:val="24"/>
          <w:highlight w:val="none"/>
          <w:lang w:val="en-US" w:eastAsia="zh-CN"/>
        </w:rPr>
      </w:pPr>
      <w:r>
        <w:rPr>
          <w:rFonts w:hint="eastAsia" w:ascii="宋体" w:hAnsi="宋体" w:eastAsia="宋体" w:cs="宋体"/>
          <w:color w:val="auto"/>
          <w:spacing w:val="2"/>
          <w:sz w:val="24"/>
          <w:highlight w:val="none"/>
        </w:rPr>
        <w:t>运营管理期间，中标人</w:t>
      </w:r>
      <w:r>
        <w:rPr>
          <w:rFonts w:hint="eastAsia" w:ascii="宋体" w:hAnsi="宋体" w:eastAsia="宋体" w:cs="宋体"/>
          <w:color w:val="auto"/>
          <w:spacing w:val="2"/>
          <w:sz w:val="24"/>
          <w:highlight w:val="none"/>
          <w:lang w:val="en-US" w:eastAsia="zh-CN"/>
        </w:rPr>
        <w:t>应按规范管理化验室设备、药剂、耗材等。</w:t>
      </w:r>
      <w:r>
        <w:rPr>
          <w:rFonts w:hint="eastAsia" w:ascii="宋体" w:hAnsi="宋体" w:eastAsia="宋体" w:cs="宋体"/>
          <w:color w:val="auto"/>
          <w:spacing w:val="2"/>
          <w:sz w:val="24"/>
          <w:highlight w:val="none"/>
        </w:rPr>
        <w:t>中标人</w:t>
      </w:r>
      <w:r>
        <w:rPr>
          <w:rFonts w:hint="eastAsia" w:ascii="宋体" w:hAnsi="宋体" w:eastAsia="宋体" w:cs="宋体"/>
          <w:color w:val="auto"/>
          <w:spacing w:val="2"/>
          <w:sz w:val="24"/>
          <w:highlight w:val="none"/>
          <w:lang w:val="en-US" w:eastAsia="zh-CN"/>
        </w:rPr>
        <w:t>应做好药剂合理规划及采购申请，控制化验室药剂成本。</w:t>
      </w:r>
      <w:r>
        <w:rPr>
          <w:rFonts w:hint="eastAsia" w:ascii="宋体" w:hAnsi="宋体" w:eastAsia="宋体" w:cs="宋体"/>
          <w:b/>
          <w:bCs/>
          <w:color w:val="auto"/>
          <w:spacing w:val="2"/>
          <w:sz w:val="24"/>
          <w:highlight w:val="none"/>
          <w:lang w:val="en-US" w:eastAsia="zh-CN"/>
        </w:rPr>
        <w:t>中标人应承担化验室设备比对工作</w:t>
      </w:r>
      <w:r>
        <w:rPr>
          <w:rFonts w:hint="eastAsia" w:ascii="宋体" w:hAnsi="宋体" w:cs="宋体"/>
          <w:b/>
          <w:bCs/>
          <w:color w:val="auto"/>
          <w:spacing w:val="2"/>
          <w:sz w:val="24"/>
          <w:highlight w:val="none"/>
          <w:lang w:val="en-US" w:eastAsia="zh-CN"/>
        </w:rPr>
        <w:t>、化验室配件</w:t>
      </w:r>
      <w:r>
        <w:rPr>
          <w:rFonts w:hint="eastAsia" w:ascii="宋体" w:hAnsi="宋体" w:eastAsia="宋体" w:cs="宋体"/>
          <w:b/>
          <w:bCs/>
          <w:color w:val="auto"/>
          <w:spacing w:val="2"/>
          <w:sz w:val="24"/>
          <w:highlight w:val="none"/>
          <w:lang w:val="en-US" w:eastAsia="zh-CN"/>
        </w:rPr>
        <w:t>，费用由中标人承担。</w:t>
      </w:r>
    </w:p>
    <w:p w14:paraId="4B037296">
      <w:pPr>
        <w:spacing w:line="360" w:lineRule="auto"/>
        <w:ind w:left="484"/>
        <w:outlineLvl w:val="0"/>
        <w:rPr>
          <w:rFonts w:hint="eastAsia" w:ascii="宋体" w:hAnsi="宋体" w:cs="宋体"/>
          <w:color w:val="auto"/>
          <w:sz w:val="24"/>
          <w:highlight w:val="none"/>
        </w:rPr>
      </w:pPr>
      <w:r>
        <w:rPr>
          <w:rFonts w:hint="eastAsia" w:ascii="宋体" w:hAnsi="宋体" w:cs="宋体"/>
          <w:b/>
          <w:bCs/>
          <w:color w:val="auto"/>
          <w:spacing w:val="-6"/>
          <w:sz w:val="24"/>
          <w:highlight w:val="none"/>
          <w:lang w:val="en-US" w:eastAsia="zh-CN"/>
        </w:rPr>
        <w:t>5</w:t>
      </w:r>
      <w:r>
        <w:rPr>
          <w:rFonts w:hint="eastAsia" w:ascii="宋体" w:hAnsi="宋体" w:cs="宋体"/>
          <w:b/>
          <w:bCs/>
          <w:color w:val="auto"/>
          <w:spacing w:val="-6"/>
          <w:sz w:val="24"/>
          <w:highlight w:val="none"/>
        </w:rPr>
        <w:t>.验收</w:t>
      </w:r>
    </w:p>
    <w:p w14:paraId="143575AA">
      <w:pPr>
        <w:spacing w:line="360" w:lineRule="auto"/>
        <w:ind w:right="152" w:firstLine="488" w:firstLineChars="200"/>
        <w:rPr>
          <w:rFonts w:hint="default"/>
          <w:color w:val="auto"/>
          <w:highlight w:val="none"/>
          <w:lang w:val="en-US" w:eastAsia="zh-CN"/>
        </w:rPr>
      </w:pPr>
      <w:r>
        <w:rPr>
          <w:rFonts w:hint="eastAsia" w:ascii="宋体" w:hAnsi="宋体" w:cs="宋体"/>
          <w:color w:val="auto"/>
          <w:spacing w:val="2"/>
          <w:sz w:val="24"/>
          <w:highlight w:val="none"/>
          <w:lang w:val="en-US" w:eastAsia="zh-CN"/>
        </w:rPr>
        <w:t>5</w:t>
      </w:r>
      <w:r>
        <w:rPr>
          <w:rFonts w:hint="eastAsia" w:ascii="宋体" w:hAnsi="宋体" w:eastAsia="宋体" w:cs="宋体"/>
          <w:color w:val="auto"/>
          <w:spacing w:val="2"/>
          <w:sz w:val="24"/>
          <w:highlight w:val="none"/>
          <w:lang w:val="en-US" w:eastAsia="zh-CN"/>
        </w:rPr>
        <w:t>.1出水水质要求：</w:t>
      </w:r>
      <w:r>
        <w:rPr>
          <w:rFonts w:hint="eastAsia" w:ascii="宋体" w:hAnsi="宋体" w:cs="宋体"/>
          <w:color w:val="auto"/>
          <w:spacing w:val="-2"/>
          <w:sz w:val="24"/>
          <w:highlight w:val="none"/>
          <w:lang w:val="en-US" w:eastAsia="zh-CN"/>
        </w:rPr>
        <w:t>废水站</w:t>
      </w:r>
      <w:r>
        <w:rPr>
          <w:rFonts w:hint="eastAsia" w:ascii="宋体" w:hAnsi="宋体" w:cs="宋体"/>
          <w:color w:val="auto"/>
          <w:spacing w:val="-2"/>
          <w:sz w:val="24"/>
          <w:highlight w:val="none"/>
        </w:rPr>
        <w:t>出水水质应满足</w:t>
      </w:r>
      <w:r>
        <w:rPr>
          <w:color w:val="auto"/>
          <w:sz w:val="24"/>
          <w:highlight w:val="none"/>
        </w:rPr>
        <w:t>《电子工业水污染物排放标准》</w:t>
      </w:r>
      <w:r>
        <w:rPr>
          <w:rFonts w:hint="eastAsia"/>
          <w:color w:val="auto"/>
          <w:sz w:val="24"/>
          <w:highlight w:val="none"/>
        </w:rPr>
        <w:t>（GB39731-2020）中表1间接排放标准</w:t>
      </w:r>
      <w:r>
        <w:rPr>
          <w:rFonts w:hint="eastAsia" w:ascii="宋体" w:hAnsi="宋体" w:cs="宋体"/>
          <w:color w:val="auto"/>
          <w:spacing w:val="-8"/>
          <w:sz w:val="24"/>
          <w:highlight w:val="none"/>
        </w:rPr>
        <w:t>。</w:t>
      </w:r>
      <w:r>
        <w:rPr>
          <w:rFonts w:hint="eastAsia" w:ascii="宋体" w:hAnsi="宋体" w:cs="宋体"/>
          <w:color w:val="auto"/>
          <w:spacing w:val="-8"/>
          <w:sz w:val="24"/>
          <w:highlight w:val="none"/>
          <w:lang w:val="en-US" w:eastAsia="zh-CN"/>
        </w:rPr>
        <w:t>未详尽部分应满足</w:t>
      </w:r>
      <w:r>
        <w:rPr>
          <w:color w:val="auto"/>
          <w:sz w:val="24"/>
          <w:highlight w:val="none"/>
        </w:rPr>
        <w:t>《</w:t>
      </w:r>
      <w:r>
        <w:rPr>
          <w:rFonts w:hint="eastAsia" w:ascii="宋体" w:hAnsi="宋体" w:cs="宋体"/>
          <w:color w:val="auto"/>
          <w:spacing w:val="-8"/>
          <w:sz w:val="24"/>
          <w:highlight w:val="none"/>
          <w:lang w:val="en-US" w:eastAsia="zh-CN"/>
        </w:rPr>
        <w:t>海沧半导体产业基地项目废水站系统环境影响报告书</w:t>
      </w:r>
      <w:r>
        <w:rPr>
          <w:color w:val="auto"/>
          <w:sz w:val="24"/>
          <w:highlight w:val="none"/>
        </w:rPr>
        <w:t>》</w:t>
      </w:r>
      <w:r>
        <w:rPr>
          <w:rFonts w:hint="eastAsia"/>
          <w:color w:val="auto"/>
          <w:sz w:val="24"/>
          <w:highlight w:val="none"/>
          <w:lang w:val="en-US" w:eastAsia="zh-CN"/>
        </w:rPr>
        <w:t>相关要求</w:t>
      </w:r>
      <w:r>
        <w:rPr>
          <w:rFonts w:hint="eastAsia" w:ascii="宋体" w:hAnsi="宋体" w:cs="宋体"/>
          <w:color w:val="auto"/>
          <w:spacing w:val="-8"/>
          <w:sz w:val="24"/>
          <w:highlight w:val="none"/>
          <w:lang w:val="en-US" w:eastAsia="zh-CN"/>
        </w:rPr>
        <w:t>。</w:t>
      </w:r>
    </w:p>
    <w:p w14:paraId="25FA5CAB">
      <w:pPr>
        <w:spacing w:line="360" w:lineRule="auto"/>
        <w:ind w:right="1358" w:firstLine="488" w:firstLineChars="200"/>
        <w:rPr>
          <w:rFonts w:hint="eastAsia" w:ascii="宋体" w:hAnsi="宋体" w:eastAsia="宋体" w:cs="宋体"/>
          <w:color w:val="auto"/>
          <w:spacing w:val="2"/>
          <w:sz w:val="24"/>
          <w:highlight w:val="none"/>
          <w:lang w:val="en-US" w:eastAsia="zh-CN"/>
        </w:rPr>
      </w:pPr>
      <w:r>
        <w:rPr>
          <w:rFonts w:hint="eastAsia" w:ascii="宋体" w:hAnsi="宋体" w:cs="宋体"/>
          <w:color w:val="auto"/>
          <w:spacing w:val="2"/>
          <w:sz w:val="24"/>
          <w:highlight w:val="none"/>
          <w:lang w:val="en-US" w:eastAsia="zh-CN"/>
        </w:rPr>
        <w:t>5</w:t>
      </w:r>
      <w:r>
        <w:rPr>
          <w:rFonts w:hint="eastAsia" w:ascii="宋体" w:hAnsi="宋体" w:eastAsia="宋体" w:cs="宋体"/>
          <w:color w:val="auto"/>
          <w:spacing w:val="2"/>
          <w:sz w:val="24"/>
          <w:highlight w:val="none"/>
          <w:lang w:val="en-US" w:eastAsia="zh-CN"/>
        </w:rPr>
        <w:t>.2水质检测，包括：</w:t>
      </w:r>
    </w:p>
    <w:p w14:paraId="4A142F8B">
      <w:pPr>
        <w:spacing w:line="360" w:lineRule="auto"/>
        <w:ind w:right="140" w:rightChars="0"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自检：中标人按照国家对废水处理站运营管理相关规定(检测项目、检测频率)对进出水进行自检，并整理形成档案;</w:t>
      </w:r>
    </w:p>
    <w:p w14:paraId="202CC4B2">
      <w:pPr>
        <w:spacing w:line="360" w:lineRule="auto"/>
        <w:ind w:right="140" w:rightChars="0" w:firstLine="488" w:firstLineChars="200"/>
        <w:rPr>
          <w:rFonts w:hint="eastAsia" w:ascii="宋体" w:hAnsi="宋体" w:eastAsia="宋体" w:cs="宋体"/>
          <w:color w:val="auto"/>
          <w:spacing w:val="2"/>
          <w:sz w:val="24"/>
          <w:highlight w:val="none"/>
          <w:lang w:val="en-US" w:eastAsia="zh-CN"/>
        </w:rPr>
      </w:pPr>
      <w:r>
        <w:rPr>
          <w:rFonts w:hint="eastAsia" w:ascii="宋体" w:hAnsi="宋体" w:cs="宋体"/>
          <w:color w:val="auto"/>
          <w:spacing w:val="2"/>
          <w:sz w:val="24"/>
          <w:highlight w:val="none"/>
          <w:lang w:val="en-US" w:eastAsia="zh-CN"/>
        </w:rPr>
        <w:t>招标人</w:t>
      </w:r>
      <w:r>
        <w:rPr>
          <w:rFonts w:hint="eastAsia" w:ascii="宋体" w:hAnsi="宋体" w:eastAsia="宋体" w:cs="宋体"/>
          <w:color w:val="auto"/>
          <w:spacing w:val="2"/>
          <w:sz w:val="24"/>
          <w:highlight w:val="none"/>
          <w:lang w:val="en-US" w:eastAsia="zh-CN"/>
        </w:rPr>
        <w:t>检测：</w:t>
      </w:r>
      <w:r>
        <w:rPr>
          <w:rFonts w:hint="eastAsia" w:ascii="宋体" w:hAnsi="宋体" w:cs="宋体"/>
          <w:color w:val="auto"/>
          <w:spacing w:val="2"/>
          <w:sz w:val="24"/>
          <w:highlight w:val="none"/>
          <w:lang w:val="en-US" w:eastAsia="zh-CN"/>
        </w:rPr>
        <w:t>招标人</w:t>
      </w:r>
      <w:r>
        <w:rPr>
          <w:rFonts w:hint="eastAsia" w:ascii="宋体" w:hAnsi="宋体" w:eastAsia="宋体" w:cs="宋体"/>
          <w:color w:val="auto"/>
          <w:spacing w:val="2"/>
          <w:sz w:val="24"/>
          <w:highlight w:val="none"/>
          <w:lang w:val="en-US" w:eastAsia="zh-CN"/>
        </w:rPr>
        <w:t>根据工作需要，可以定期对废水处理站进出水水质请有资质单位进行检测</w:t>
      </w:r>
      <w:r>
        <w:rPr>
          <w:rFonts w:hint="eastAsia" w:ascii="宋体" w:hAnsi="宋体" w:cs="宋体"/>
          <w:color w:val="auto"/>
          <w:spacing w:val="2"/>
          <w:sz w:val="24"/>
          <w:highlight w:val="none"/>
          <w:lang w:val="en-US" w:eastAsia="zh-CN"/>
        </w:rPr>
        <w:t>，若检测后出水水质符合要求，则检测费用由招标人支付；如出水水质检测不合格，则检测费用由中标人支付。</w:t>
      </w:r>
    </w:p>
    <w:p w14:paraId="2F796C19">
      <w:pPr>
        <w:spacing w:line="360" w:lineRule="auto"/>
        <w:ind w:right="140"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进水检测：中标人定期或有需要时对园区企业进水水质进行抽检；</w:t>
      </w:r>
    </w:p>
    <w:p w14:paraId="0EFC2EAD">
      <w:pPr>
        <w:spacing w:line="360" w:lineRule="auto"/>
        <w:ind w:right="140" w:firstLine="488" w:firstLineChars="200"/>
        <w:rPr>
          <w:rFonts w:hint="eastAsia" w:ascii="宋体" w:hAnsi="宋体" w:cs="宋体"/>
          <w:color w:val="auto"/>
          <w:spacing w:val="2"/>
          <w:sz w:val="24"/>
          <w:highlight w:val="none"/>
        </w:rPr>
      </w:pPr>
      <w:r>
        <w:rPr>
          <w:rFonts w:hint="eastAsia" w:ascii="宋体" w:hAnsi="宋体" w:eastAsia="宋体" w:cs="宋体"/>
          <w:color w:val="auto"/>
          <w:spacing w:val="2"/>
          <w:sz w:val="24"/>
          <w:highlight w:val="none"/>
          <w:lang w:val="en-US" w:eastAsia="zh-CN"/>
        </w:rPr>
        <w:t>环保部门监测：环保部门按国家有关规定进行监测(强制监测)。</w:t>
      </w:r>
    </w:p>
    <w:p w14:paraId="556CB11B">
      <w:pPr>
        <w:spacing w:line="360" w:lineRule="auto"/>
        <w:ind w:right="140" w:firstLine="488" w:firstLineChars="200"/>
        <w:rPr>
          <w:rFonts w:hint="eastAsia" w:ascii="宋体" w:hAnsi="宋体" w:cs="宋体"/>
          <w:color w:val="auto"/>
          <w:spacing w:val="2"/>
          <w:sz w:val="24"/>
          <w:highlight w:val="none"/>
          <w:lang w:val="en-US" w:eastAsia="zh-CN"/>
        </w:rPr>
      </w:pPr>
      <w:r>
        <w:rPr>
          <w:rFonts w:hint="eastAsia" w:ascii="宋体" w:hAnsi="宋体" w:cs="宋体"/>
          <w:color w:val="auto"/>
          <w:spacing w:val="2"/>
          <w:sz w:val="24"/>
          <w:highlight w:val="none"/>
          <w:lang w:val="en-US" w:eastAsia="zh-CN"/>
        </w:rPr>
        <w:t>5.3若一个月内出现3次(及以上)出水水质检测不达标，招标人拒绝支付当月服务费用，导致招标人受到处罚的，产生的罚款由中标人承担。若连续两个月出现3次(及以上)水质检测不达标，招标人除拒付服务费外还可以进行罚款，罚款为2倍应付服务费。</w:t>
      </w:r>
    </w:p>
    <w:p w14:paraId="493AA12C">
      <w:pPr>
        <w:numPr>
          <w:ilvl w:val="0"/>
          <w:numId w:val="0"/>
        </w:numPr>
        <w:spacing w:line="360" w:lineRule="auto"/>
        <w:ind w:leftChars="200"/>
        <w:outlineLvl w:val="0"/>
        <w:rPr>
          <w:rFonts w:hint="eastAsia"/>
          <w:color w:val="auto"/>
          <w:highlight w:val="none"/>
          <w:lang w:val="en-US" w:eastAsia="zh-CN"/>
        </w:rPr>
      </w:pPr>
      <w:r>
        <w:rPr>
          <w:rFonts w:hint="eastAsia" w:ascii="宋体" w:hAnsi="宋体" w:cs="宋体"/>
          <w:b/>
          <w:bCs/>
          <w:color w:val="auto"/>
          <w:spacing w:val="-6"/>
          <w:sz w:val="24"/>
          <w:highlight w:val="none"/>
          <w:lang w:val="en-US" w:eastAsia="zh-CN"/>
        </w:rPr>
        <w:t>6.移交</w:t>
      </w:r>
    </w:p>
    <w:p w14:paraId="2EBAA843">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 xml:space="preserve">  6</w:t>
      </w:r>
      <w:r>
        <w:rPr>
          <w:rFonts w:hint="eastAsia" w:ascii="宋体" w:hAnsi="宋体" w:cs="宋体"/>
          <w:color w:val="auto"/>
          <w:kern w:val="0"/>
          <w:sz w:val="24"/>
          <w:highlight w:val="none"/>
        </w:rPr>
        <w:t>.1委托运营期开始时的移交</w:t>
      </w:r>
    </w:p>
    <w:p w14:paraId="7954C20B">
      <w:pPr>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移交前一个月起</w:t>
      </w:r>
      <w:r>
        <w:rPr>
          <w:rFonts w:hint="eastAsia" w:ascii="宋体" w:hAnsi="宋体" w:cs="宋体"/>
          <w:color w:val="auto"/>
          <w:kern w:val="0"/>
          <w:sz w:val="24"/>
          <w:highlight w:val="none"/>
        </w:rPr>
        <w:t>，由</w:t>
      </w:r>
      <w:r>
        <w:rPr>
          <w:rFonts w:hint="eastAsia" w:ascii="宋体" w:hAnsi="宋体" w:cs="宋体"/>
          <w:color w:val="auto"/>
          <w:spacing w:val="2"/>
          <w:sz w:val="24"/>
          <w:highlight w:val="none"/>
          <w:lang w:val="en-US" w:eastAsia="zh-CN"/>
        </w:rPr>
        <w:t>招标人</w:t>
      </w:r>
      <w:r>
        <w:rPr>
          <w:rFonts w:hint="eastAsia" w:ascii="宋体" w:hAnsi="宋体" w:cs="宋体"/>
          <w:color w:val="auto"/>
          <w:kern w:val="0"/>
          <w:sz w:val="24"/>
          <w:highlight w:val="none"/>
        </w:rPr>
        <w:t>和</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各自派人员员组成移交委员会具体负责和办理移交工作，组织必要的会议、会谈并商定设施移交的详尽程序，确定移交形式。</w:t>
      </w:r>
    </w:p>
    <w:p w14:paraId="42669B7E">
      <w:pPr>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.2委托运营管理期结束时的移交</w:t>
      </w:r>
    </w:p>
    <w:p w14:paraId="476014C8">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委托运营管理期结束3个月前，由</w:t>
      </w:r>
      <w:r>
        <w:rPr>
          <w:rFonts w:hint="eastAsia" w:ascii="宋体" w:hAnsi="宋体" w:cs="宋体"/>
          <w:color w:val="auto"/>
          <w:spacing w:val="2"/>
          <w:sz w:val="24"/>
          <w:highlight w:val="none"/>
          <w:lang w:val="en-US" w:eastAsia="zh-CN"/>
        </w:rPr>
        <w:t>招标人</w:t>
      </w:r>
      <w:r>
        <w:rPr>
          <w:rFonts w:hint="eastAsia" w:ascii="宋体" w:hAnsi="宋体" w:cs="宋体"/>
          <w:color w:val="auto"/>
          <w:kern w:val="0"/>
          <w:sz w:val="24"/>
          <w:highlight w:val="none"/>
        </w:rPr>
        <w:t>和</w:t>
      </w:r>
      <w:r>
        <w:rPr>
          <w:rFonts w:hint="eastAsia" w:ascii="宋体" w:hAnsi="宋体" w:cs="宋体"/>
          <w:color w:val="auto"/>
          <w:kern w:val="0"/>
          <w:sz w:val="24"/>
          <w:highlight w:val="none"/>
          <w:lang w:val="en-US" w:eastAsia="zh-CN"/>
        </w:rPr>
        <w:t>中标人</w:t>
      </w:r>
      <w:r>
        <w:rPr>
          <w:rFonts w:hint="eastAsia" w:ascii="宋体" w:hAnsi="宋体" w:cs="宋体"/>
          <w:color w:val="auto"/>
          <w:kern w:val="0"/>
          <w:sz w:val="24"/>
          <w:highlight w:val="none"/>
        </w:rPr>
        <w:t>各自派员组成移交委员会，具体负责和办理移交工作，组织必要的会议会谈并商定设施移交的详尽程序，确定移交形式。</w:t>
      </w:r>
    </w:p>
    <w:p w14:paraId="2C58EF0E">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6.3</w:t>
      </w:r>
      <w:r>
        <w:rPr>
          <w:rFonts w:hint="eastAsia" w:ascii="宋体" w:hAnsi="宋体" w:cs="宋体"/>
          <w:color w:val="auto"/>
          <w:kern w:val="0"/>
          <w:sz w:val="24"/>
          <w:highlight w:val="none"/>
        </w:rPr>
        <w:t>委托运营管理期结束时移交范围及内容</w:t>
      </w:r>
    </w:p>
    <w:p w14:paraId="63C1BF41">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在委托结束运营日移交，中标人应向</w:t>
      </w:r>
      <w:r>
        <w:rPr>
          <w:rFonts w:hint="eastAsia" w:ascii="宋体" w:hAnsi="宋体" w:cs="宋体"/>
          <w:color w:val="auto"/>
          <w:spacing w:val="2"/>
          <w:sz w:val="24"/>
          <w:highlight w:val="none"/>
          <w:lang w:val="en-US" w:eastAsia="zh-CN"/>
        </w:rPr>
        <w:t>招标人</w:t>
      </w:r>
      <w:r>
        <w:rPr>
          <w:rFonts w:hint="eastAsia" w:ascii="宋体" w:hAnsi="宋体" w:cs="宋体"/>
          <w:color w:val="auto"/>
          <w:kern w:val="0"/>
          <w:sz w:val="24"/>
          <w:highlight w:val="none"/>
        </w:rPr>
        <w:t>无偿移交以下设施及资料：</w:t>
      </w:r>
    </w:p>
    <w:p w14:paraId="202D657C">
      <w:pPr>
        <w:spacing w:line="360" w:lineRule="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a</w:t>
      </w:r>
      <w:r>
        <w:rPr>
          <w:rFonts w:hint="eastAsia" w:ascii="宋体" w:hAnsi="宋体" w:cs="宋体"/>
          <w:color w:val="auto"/>
          <w:kern w:val="0"/>
          <w:sz w:val="24"/>
          <w:highlight w:val="none"/>
        </w:rPr>
        <w:t>、中标人对废水处理项目设施的运营管理，包括：(1)废水处理项目设施的建筑物和构筑物</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(2)与废水处理项目设施使用相关的所有机械和设备</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(3)运营管理和维护项目设施所要求的所有技术和技术诀窍、知识产权等无形资产(包括以许可方式取得的)</w:t>
      </w:r>
      <w:r>
        <w:rPr>
          <w:rFonts w:hint="eastAsia" w:ascii="宋体" w:hAnsi="宋体" w:cs="宋体"/>
          <w:color w:val="auto"/>
          <w:kern w:val="0"/>
          <w:sz w:val="24"/>
          <w:highlight w:val="none"/>
          <w:lang w:eastAsia="zh-CN"/>
        </w:rPr>
        <w:t>；</w:t>
      </w:r>
    </w:p>
    <w:p w14:paraId="78188947">
      <w:pPr>
        <w:spacing w:line="360" w:lineRule="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b、在用的各类管理章程和运营管理手册包括专有技术、生产档案、技术档案、文秘档案、图书资料、设计图纸、文件和其它资料，以使废水处理项目能平稳地正常地继续运营管理</w:t>
      </w:r>
      <w:r>
        <w:rPr>
          <w:rFonts w:hint="eastAsia" w:ascii="宋体" w:hAnsi="宋体" w:cs="宋体"/>
          <w:color w:val="auto"/>
          <w:kern w:val="0"/>
          <w:sz w:val="24"/>
          <w:highlight w:val="none"/>
          <w:lang w:eastAsia="zh-CN"/>
        </w:rPr>
        <w:t>；</w:t>
      </w:r>
    </w:p>
    <w:p w14:paraId="7EDA53DD">
      <w:pPr>
        <w:spacing w:line="360" w:lineRule="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c</w:t>
      </w:r>
      <w:r>
        <w:rPr>
          <w:rFonts w:hint="eastAsia" w:ascii="宋体" w:hAnsi="宋体" w:cs="宋体"/>
          <w:color w:val="auto"/>
          <w:kern w:val="0"/>
          <w:sz w:val="24"/>
          <w:highlight w:val="none"/>
        </w:rPr>
        <w:t>、安全生产设备及设施</w:t>
      </w:r>
      <w:r>
        <w:rPr>
          <w:rFonts w:hint="eastAsia" w:ascii="宋体" w:hAnsi="宋体" w:cs="宋体"/>
          <w:color w:val="auto"/>
          <w:kern w:val="0"/>
          <w:sz w:val="24"/>
          <w:highlight w:val="none"/>
          <w:lang w:eastAsia="zh-CN"/>
        </w:rPr>
        <w:t>；</w:t>
      </w:r>
    </w:p>
    <w:p w14:paraId="28803188">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6.4</w:t>
      </w:r>
      <w:r>
        <w:rPr>
          <w:rFonts w:hint="eastAsia" w:ascii="宋体" w:hAnsi="宋体" w:cs="宋体"/>
          <w:color w:val="auto"/>
          <w:kern w:val="0"/>
          <w:sz w:val="24"/>
          <w:highlight w:val="none"/>
        </w:rPr>
        <w:t xml:space="preserve"> 上述资产在向</w:t>
      </w:r>
      <w:r>
        <w:rPr>
          <w:rFonts w:hint="eastAsia" w:ascii="宋体" w:hAnsi="宋体" w:cs="宋体"/>
          <w:color w:val="auto"/>
          <w:spacing w:val="2"/>
          <w:sz w:val="24"/>
          <w:highlight w:val="none"/>
          <w:lang w:val="en-US" w:eastAsia="zh-CN"/>
        </w:rPr>
        <w:t>招标人</w:t>
      </w:r>
      <w:r>
        <w:rPr>
          <w:rFonts w:hint="eastAsia" w:ascii="宋体" w:hAnsi="宋体" w:cs="宋体"/>
          <w:color w:val="auto"/>
          <w:kern w:val="0"/>
          <w:sz w:val="24"/>
          <w:highlight w:val="none"/>
        </w:rPr>
        <w:t>移交时应不存在任何留置权、债权、抵押、担保物权或任何种类的其它请求权。</w:t>
      </w:r>
    </w:p>
    <w:p w14:paraId="73450B19">
      <w:pPr>
        <w:spacing w:line="360" w:lineRule="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6.5</w:t>
      </w:r>
      <w:r>
        <w:rPr>
          <w:rFonts w:hint="eastAsia" w:ascii="宋体" w:hAnsi="宋体" w:cs="宋体"/>
          <w:color w:val="auto"/>
          <w:kern w:val="0"/>
          <w:sz w:val="24"/>
          <w:highlight w:val="none"/>
        </w:rPr>
        <w:t>废水处理项目移交质量要求：(1)设备设施安装符合要求，运转正常</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(2)出水水质达到该标段废水处理站设计排放标准</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(3)项目经过竣工验收和环保验收，满足运营条件;(4)项目设施及场地不存在任何环境问题和环境遗留问题</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(5)废水处理项目设施、设备、建筑物、绿化完好</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全套资料完整、按要求归档移交；（7）</w:t>
      </w:r>
      <w:r>
        <w:rPr>
          <w:rFonts w:hint="eastAsia" w:ascii="宋体" w:hAnsi="宋体" w:cs="宋体"/>
          <w:color w:val="auto"/>
          <w:kern w:val="0"/>
          <w:sz w:val="24"/>
          <w:highlight w:val="none"/>
        </w:rPr>
        <w:t>废水处理项目设施、设备</w:t>
      </w:r>
      <w:r>
        <w:rPr>
          <w:rFonts w:hint="eastAsia" w:ascii="宋体" w:hAnsi="宋体" w:cs="宋体"/>
          <w:color w:val="auto"/>
          <w:kern w:val="0"/>
          <w:sz w:val="24"/>
          <w:highlight w:val="none"/>
          <w:lang w:val="en-US" w:eastAsia="zh-CN"/>
        </w:rPr>
        <w:t>耗材、损耗品应该保证可以持续使用至少一个月以上。</w:t>
      </w:r>
    </w:p>
    <w:p w14:paraId="45770D28">
      <w:pPr>
        <w:spacing w:line="360" w:lineRule="auto"/>
        <w:ind w:firstLine="485"/>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6.6</w:t>
      </w:r>
      <w:r>
        <w:rPr>
          <w:rFonts w:hint="eastAsia" w:ascii="宋体" w:hAnsi="宋体" w:cs="宋体"/>
          <w:color w:val="auto"/>
          <w:kern w:val="0"/>
          <w:sz w:val="24"/>
          <w:highlight w:val="none"/>
        </w:rPr>
        <w:t>移交文件的签订：</w:t>
      </w:r>
      <w:r>
        <w:rPr>
          <w:rFonts w:hint="eastAsia" w:ascii="宋体" w:hAnsi="宋体" w:cs="宋体"/>
          <w:color w:val="auto"/>
          <w:kern w:val="0"/>
          <w:sz w:val="24"/>
          <w:highlight w:val="none"/>
          <w:lang w:val="en-US" w:eastAsia="zh-CN"/>
        </w:rPr>
        <w:t>移交单位</w:t>
      </w:r>
      <w:r>
        <w:rPr>
          <w:rFonts w:hint="eastAsia" w:ascii="宋体" w:hAnsi="宋体" w:cs="宋体"/>
          <w:color w:val="auto"/>
          <w:kern w:val="0"/>
          <w:sz w:val="24"/>
          <w:highlight w:val="none"/>
        </w:rPr>
        <w:t>共同检查确认满足运营条件及移交条件，双方代表在交接确认书及清单上签字确认并加盖公章，完成交接手续。</w:t>
      </w:r>
      <w:r>
        <w:rPr>
          <w:rFonts w:hint="eastAsia" w:ascii="宋体" w:hAnsi="宋体" w:eastAsia="宋体" w:cs="宋体"/>
          <w:color w:val="auto"/>
          <w:kern w:val="0"/>
          <w:sz w:val="24"/>
          <w:highlight w:val="none"/>
          <w:lang w:val="en-US" w:eastAsia="zh-CN"/>
        </w:rPr>
        <w:t>并提供1年时间的免费咨询服务。</w:t>
      </w:r>
    </w:p>
    <w:p w14:paraId="2017C0C9">
      <w:pPr>
        <w:pStyle w:val="50"/>
        <w:tabs>
          <w:tab w:val="left" w:pos="0"/>
          <w:tab w:val="left" w:pos="993"/>
          <w:tab w:val="left" w:pos="1134"/>
        </w:tabs>
        <w:ind w:left="0" w:leftChars="0" w:firstLine="0" w:firstLineChars="0"/>
        <w:rPr>
          <w:rFonts w:hint="default" w:ascii="宋体" w:hAnsi="宋体" w:eastAsia="宋体" w:cs="宋体"/>
          <w:color w:val="auto"/>
          <w:spacing w:val="2"/>
          <w:sz w:val="24"/>
          <w:highlight w:val="none"/>
          <w:lang w:val="en-US" w:eastAsia="zh-CN"/>
        </w:rPr>
      </w:pPr>
      <w:r>
        <w:rPr>
          <w:rFonts w:hint="eastAsia"/>
          <w:color w:val="auto"/>
          <w:highlight w:val="none"/>
          <w:lang w:val="en-US" w:eastAsia="zh-CN"/>
        </w:rPr>
        <w:t xml:space="preserve">  </w:t>
      </w:r>
      <w:r>
        <w:rPr>
          <w:rFonts w:hint="eastAsia" w:ascii="宋体" w:hAnsi="宋体" w:eastAsia="宋体" w:cs="宋体"/>
          <w:color w:val="auto"/>
          <w:kern w:val="0"/>
          <w:sz w:val="24"/>
          <w:szCs w:val="24"/>
          <w:highlight w:val="none"/>
          <w:lang w:val="en-US" w:eastAsia="zh-CN" w:bidi="ar-SA"/>
        </w:rPr>
        <w:t xml:space="preserve">  </w:t>
      </w:r>
      <w:r>
        <w:rPr>
          <w:rFonts w:hint="eastAsia" w:ascii="宋体" w:hAnsi="宋体" w:cs="宋体"/>
          <w:b/>
          <w:bCs/>
          <w:color w:val="auto"/>
          <w:kern w:val="0"/>
          <w:sz w:val="24"/>
          <w:highlight w:val="none"/>
          <w:lang w:val="en-US" w:eastAsia="zh-CN"/>
        </w:rPr>
        <w:t>6</w:t>
      </w:r>
      <w:r>
        <w:rPr>
          <w:rFonts w:hint="eastAsia" w:ascii="宋体" w:hAnsi="宋体" w:eastAsia="宋体" w:cs="宋体"/>
          <w:b/>
          <w:bCs/>
          <w:color w:val="auto"/>
          <w:kern w:val="0"/>
          <w:sz w:val="24"/>
          <w:szCs w:val="24"/>
          <w:highlight w:val="none"/>
          <w:lang w:val="en-US" w:eastAsia="zh-CN" w:bidi="ar-SA"/>
        </w:rPr>
        <w:t>.7移交文件的签订后，中标人应负责移交质量存在问题，费用由中标人自行承担。</w:t>
      </w:r>
    </w:p>
    <w:p w14:paraId="50FB30C1">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三、投标要求</w:t>
      </w:r>
      <w:bookmarkEnd w:id="140"/>
      <w:bookmarkEnd w:id="141"/>
      <w:bookmarkEnd w:id="142"/>
    </w:p>
    <w:p w14:paraId="44E3BD15">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bookmarkStart w:id="144" w:name="_Toc8683"/>
      <w:r>
        <w:rPr>
          <w:rFonts w:hint="eastAsia" w:ascii="宋体" w:hAnsi="宋体" w:eastAsia="宋体" w:cs="宋体"/>
          <w:color w:val="auto"/>
          <w:sz w:val="24"/>
          <w:szCs w:val="24"/>
          <w:highlight w:val="none"/>
        </w:rPr>
        <w:t>1.投标人所提供的服务必须符合国家规定的有关标准、规范要求，且必须满足招标文件的相关要求。</w:t>
      </w:r>
    </w:p>
    <w:p w14:paraId="287F694E">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2.中标人须定时向招标人提供全年</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rPr>
        <w:t>计划、</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rPr>
        <w:t>时影像</w:t>
      </w:r>
      <w:r>
        <w:rPr>
          <w:rFonts w:hint="eastAsia" w:ascii="宋体" w:hAnsi="宋体" w:cs="宋体"/>
          <w:color w:val="auto"/>
          <w:sz w:val="24"/>
          <w:szCs w:val="24"/>
          <w:highlight w:val="none"/>
          <w:lang w:val="en-US" w:eastAsia="zh-CN"/>
        </w:rPr>
        <w:t>或照片</w:t>
      </w:r>
      <w:r>
        <w:rPr>
          <w:rFonts w:hint="eastAsia" w:ascii="宋体" w:hAnsi="宋体" w:eastAsia="宋体" w:cs="宋体"/>
          <w:color w:val="auto"/>
          <w:sz w:val="24"/>
          <w:szCs w:val="24"/>
          <w:highlight w:val="none"/>
        </w:rPr>
        <w:t>资料、</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rPr>
        <w:t>记录、</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rPr>
        <w:t>汇总资料，建立档案资料存储。</w:t>
      </w:r>
    </w:p>
    <w:p w14:paraId="4BD80A0E">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应针对本项目的内容要求在投标文件中提供详细的海沧半导体产业基地项目废水站处理设施维护服务方案及保证项目有序执行的进度计划，质量保障及安全保障的主要措施。针对应急抢修方案，投标人应提供完整、可行且符合招标人现场工况的专项维修方案。</w:t>
      </w:r>
    </w:p>
    <w:p w14:paraId="41F7525F">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4.设备维保</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易损件等</w:t>
      </w:r>
      <w:r>
        <w:rPr>
          <w:rFonts w:hint="eastAsia" w:ascii="宋体" w:hAnsi="宋体" w:eastAsia="宋体" w:cs="宋体"/>
          <w:color w:val="auto"/>
          <w:sz w:val="24"/>
          <w:szCs w:val="24"/>
          <w:highlight w:val="none"/>
        </w:rPr>
        <w:t>所需的物资由中标人承担，如机油、油脂</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轴承</w:t>
      </w:r>
      <w:r>
        <w:rPr>
          <w:rFonts w:hint="eastAsia" w:ascii="宋体" w:hAnsi="宋体" w:eastAsia="宋体" w:cs="宋体"/>
          <w:color w:val="auto"/>
          <w:sz w:val="24"/>
          <w:szCs w:val="24"/>
          <w:highlight w:val="none"/>
        </w:rPr>
        <w:t>等。所需物资均要求按设备厂家要求规范执行，由于维保作业所使用物资不符合设备要求规范造成设备损坏及所产生后果由中标人承担。</w:t>
      </w:r>
    </w:p>
    <w:p w14:paraId="29814128">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人应针对项目的特点，提供合理完善的维护保养班组、机具、劳保用品及安全防护用品等，并对相关工种、机具及用品等进行详细的配备及描述，每个班组必须保证配备一名安全员，所有安全员及特殊工种人员需持证上岗，投标文件中需提供相应的证明文件。</w:t>
      </w:r>
    </w:p>
    <w:p w14:paraId="44ADE528">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rPr>
        <w:t>6</w:t>
      </w:r>
      <w:r>
        <w:rPr>
          <w:rFonts w:hint="eastAsia" w:ascii="宋体" w:hAnsi="宋体" w:eastAsia="宋体" w:cs="宋体"/>
          <w:color w:val="auto"/>
          <w:sz w:val="24"/>
          <w:szCs w:val="24"/>
          <w:highlight w:val="none"/>
        </w:rPr>
        <w:t>.投标人在项目所在地需有独立的办公场所及小件设备维修保管车间，作为维护保养小组人员的固定值守场所，需便于招标人随时调配维保人员。</w:t>
      </w:r>
    </w:p>
    <w:p w14:paraId="4C84B6F4">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7.维修服务过程中，保证派出的</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人员必须是设备维保专业技工，有丰富的设备维修保养实践经验，责任心强，对用户负责，具备相关专业技能水平,持证上岗并将小组人员名单及信息资料送招标人备查。</w:t>
      </w:r>
    </w:p>
    <w:p w14:paraId="2E57DBAE">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8.中标人在现场</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过程中应当遵守国家有关安全法律、法规及相关的安全规章制度和操作规程，遵守招标人的安全管理规定，正确佩戴和使用劳动防护用品，采取必要的安全防护措施。中标人在项目履约过程中若有出现安全事故，其责任及相应的赔偿均由中标人自行承担，招标人不承担任何责任，中标人的服务人员的工伤风险，由中标人自行承担，投标人对现场</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安全负全部责任。</w:t>
      </w:r>
    </w:p>
    <w:p w14:paraId="375E31A0">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9.中标人及时掌握所有维修保养设备的准确信息并建档，如出现合同维修保养内不能满足设备正常运行的条件时，应及时书面告知招标人的义务，并提出整改建议。</w:t>
      </w:r>
    </w:p>
    <w:p w14:paraId="2B832D58">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在维修过程中，如发现新的机件损坏或失效需要更换时，中标人应及时书面告知招标人，在征得招标人同意后实施更换，被更换零部件的材料费由中标人承担。现场维保过程中所提供的零部件应为设备原制造厂出厂的原厂合格配件。特殊原因无法采购到原厂配件的，经招标人同意，中标人可以采购品牌的同型号配件，但应保证该配件的质量、性能、技术参数等不低于原厂配件。</w:t>
      </w:r>
    </w:p>
    <w:p w14:paraId="7260F6B3">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维护保养过程中严格执行技术规范要求，保证设备的性能符合相关技术标准要求。在维保期间，对设备可能存在的故障隐患做出评估，并进行恰当的预防，以保证设备的安全运行。若故障隐患超出维护保养范围的，应及书面通知招标人，并提出消除隐患建议。</w:t>
      </w:r>
    </w:p>
    <w:p w14:paraId="6E910231">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12.投标人在投标文件中应提供针对本项目的人员配置情况表，管理制度，安全保障制度等。</w:t>
      </w:r>
      <w:r>
        <w:rPr>
          <w:rFonts w:hint="eastAsia" w:ascii="宋体" w:hAnsi="宋体" w:eastAsia="宋体" w:cs="宋体"/>
          <w:color w:val="auto"/>
          <w:sz w:val="24"/>
          <w:szCs w:val="24"/>
          <w:highlight w:val="none"/>
          <w:lang w:val="en-US" w:eastAsia="zh-CN"/>
        </w:rPr>
        <w:t>在项目运维过程中能够接受招标人提出的合理意见并接受招标人监督</w:t>
      </w:r>
      <w:r>
        <w:rPr>
          <w:rFonts w:hint="eastAsia" w:ascii="宋体" w:hAnsi="宋体" w:cs="宋体"/>
          <w:color w:val="auto"/>
          <w:sz w:val="24"/>
          <w:szCs w:val="24"/>
          <w:highlight w:val="none"/>
          <w:lang w:val="en-US" w:eastAsia="zh-CN"/>
        </w:rPr>
        <w:t>。</w:t>
      </w:r>
    </w:p>
    <w:p w14:paraId="48092FFB">
      <w:pPr>
        <w:pStyle w:val="20"/>
        <w:rPr>
          <w:rFonts w:hint="default" w:eastAsia="宋体"/>
          <w:color w:val="auto"/>
          <w:highlight w:val="none"/>
          <w:lang w:val="en-US" w:eastAsia="zh-CN"/>
        </w:rPr>
      </w:pPr>
      <w:r>
        <w:rPr>
          <w:rFonts w:hint="eastAsia" w:ascii="宋体" w:hAnsi="宋体" w:eastAsia="宋体" w:cs="宋体"/>
          <w:color w:val="auto"/>
          <w:sz w:val="24"/>
          <w:szCs w:val="24"/>
          <w:highlight w:val="none"/>
          <w:lang w:val="en-US" w:eastAsia="zh-CN"/>
        </w:rPr>
        <w:t xml:space="preserve">    13.</w:t>
      </w: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val="en-US" w:eastAsia="zh-CN"/>
        </w:rPr>
        <w:t>应尽可能提供勘探报告、实施方案、突发应急事件处理预案、安全管理方案、确保服务人员的劳动保障制度、工资待遇、福利保障措施等。</w:t>
      </w:r>
    </w:p>
    <w:p w14:paraId="4AED4834">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cs="宋体"/>
          <w:bCs/>
          <w:color w:val="auto"/>
          <w:sz w:val="24"/>
          <w:szCs w:val="24"/>
          <w:highlight w:val="none"/>
          <w:lang w:val="en-US" w:eastAsia="zh-CN"/>
        </w:rPr>
      </w:pPr>
      <w:bookmarkStart w:id="145" w:name="_Toc13360"/>
      <w:r>
        <w:rPr>
          <w:rFonts w:hint="eastAsia" w:ascii="宋体" w:hAnsi="宋体" w:cs="宋体"/>
          <w:bCs/>
          <w:color w:val="auto"/>
          <w:sz w:val="24"/>
          <w:szCs w:val="24"/>
          <w:highlight w:val="none"/>
          <w:lang w:val="en-US" w:eastAsia="zh-CN"/>
        </w:rPr>
        <w:t>四、现场踏勘</w:t>
      </w:r>
      <w:bookmarkEnd w:id="144"/>
      <w:bookmarkEnd w:id="145"/>
    </w:p>
    <w:p w14:paraId="60782A30">
      <w:pPr>
        <w:pStyle w:val="2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1.针对本项目的现场情况及</w:t>
      </w:r>
      <w:r>
        <w:rPr>
          <w:rFonts w:hint="eastAsia" w:ascii="宋体" w:hAnsi="宋体" w:cs="宋体"/>
          <w:color w:val="auto"/>
          <w:sz w:val="24"/>
          <w:szCs w:val="24"/>
          <w:highlight w:val="none"/>
          <w:lang w:val="en-US" w:eastAsia="zh-CN"/>
        </w:rPr>
        <w:t>运维</w:t>
      </w:r>
      <w:r>
        <w:rPr>
          <w:rFonts w:hint="eastAsia" w:ascii="宋体" w:hAnsi="宋体" w:cs="宋体"/>
          <w:color w:val="auto"/>
          <w:sz w:val="24"/>
          <w:szCs w:val="24"/>
          <w:highlight w:val="none"/>
        </w:rPr>
        <w:t>需要，本项目</w:t>
      </w:r>
      <w:r>
        <w:rPr>
          <w:rFonts w:hint="eastAsia" w:ascii="宋体" w:hAnsi="宋体" w:cs="宋体"/>
          <w:color w:val="auto"/>
          <w:sz w:val="24"/>
          <w:szCs w:val="24"/>
          <w:highlight w:val="none"/>
          <w:lang w:val="en-US" w:eastAsia="zh-CN"/>
        </w:rPr>
        <w:t>不集中踏勘现场，投标人可于2025年1月17日前自行联系招标人对现场进行踏勘（未在这时间内进行踏勘的，招标人不再接受踏勘）</w:t>
      </w:r>
      <w:r>
        <w:rPr>
          <w:rFonts w:hint="eastAsia" w:ascii="宋体" w:hAnsi="宋体" w:cs="宋体"/>
          <w:color w:val="auto"/>
          <w:sz w:val="24"/>
          <w:szCs w:val="24"/>
          <w:highlight w:val="none"/>
        </w:rPr>
        <w:t>。请</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提前联系并准时参与，</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自行承担踏勘现场所发生的费用。（联系人：</w:t>
      </w:r>
      <w:r>
        <w:rPr>
          <w:rFonts w:hint="eastAsia" w:ascii="宋体" w:hAnsi="宋体" w:cs="宋体"/>
          <w:color w:val="auto"/>
          <w:sz w:val="24"/>
          <w:szCs w:val="24"/>
          <w:highlight w:val="none"/>
          <w:lang w:val="en-US" w:eastAsia="zh-CN"/>
        </w:rPr>
        <w:t>陈工</w:t>
      </w:r>
      <w:r>
        <w:rPr>
          <w:rFonts w:hint="eastAsia" w:ascii="宋体" w:hAnsi="宋体" w:cs="宋体"/>
          <w:color w:val="auto"/>
          <w:sz w:val="24"/>
          <w:szCs w:val="24"/>
          <w:highlight w:val="none"/>
        </w:rPr>
        <w:t>、联系电话：</w:t>
      </w:r>
      <w:r>
        <w:rPr>
          <w:rFonts w:hint="eastAsia" w:ascii="宋体" w:hAnsi="宋体" w:cs="宋体"/>
          <w:color w:val="auto"/>
          <w:sz w:val="24"/>
          <w:szCs w:val="24"/>
          <w:highlight w:val="none"/>
          <w:lang w:val="en-US" w:eastAsia="zh-CN"/>
        </w:rPr>
        <w:t>17350021224</w:t>
      </w:r>
      <w:r>
        <w:rPr>
          <w:rFonts w:hint="eastAsia" w:ascii="宋体" w:hAnsi="宋体" w:cs="宋体"/>
          <w:color w:val="auto"/>
          <w:sz w:val="24"/>
          <w:szCs w:val="24"/>
          <w:highlight w:val="none"/>
        </w:rPr>
        <w:t>）。</w:t>
      </w:r>
    </w:p>
    <w:p w14:paraId="2D509A81">
      <w:pPr>
        <w:pStyle w:val="20"/>
        <w:spacing w:line="360" w:lineRule="auto"/>
        <w:ind w:firstLine="480" w:firstLineChars="200"/>
        <w:rPr>
          <w:color w:val="auto"/>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eastAsia="zh-CN"/>
        </w:rPr>
        <w:t>招标人</w:t>
      </w:r>
      <w:r>
        <w:rPr>
          <w:rFonts w:hint="eastAsia" w:ascii="宋体" w:hAnsi="宋体" w:cs="宋体"/>
          <w:color w:val="auto"/>
          <w:sz w:val="24"/>
          <w:szCs w:val="24"/>
          <w:highlight w:val="none"/>
        </w:rPr>
        <w:t>向</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提供的有关现场的资料和数据，是</w:t>
      </w:r>
      <w:r>
        <w:rPr>
          <w:rFonts w:hint="eastAsia" w:ascii="宋体" w:hAnsi="宋体" w:cs="宋体"/>
          <w:color w:val="auto"/>
          <w:sz w:val="24"/>
          <w:szCs w:val="24"/>
          <w:highlight w:val="none"/>
          <w:lang w:eastAsia="zh-CN"/>
        </w:rPr>
        <w:t>招标人</w:t>
      </w:r>
      <w:r>
        <w:rPr>
          <w:rFonts w:hint="eastAsia" w:ascii="宋体" w:hAnsi="宋体" w:cs="宋体"/>
          <w:color w:val="auto"/>
          <w:sz w:val="24"/>
          <w:szCs w:val="24"/>
          <w:highlight w:val="none"/>
        </w:rPr>
        <w:t>现有的能被</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利用的资料。</w:t>
      </w:r>
      <w:r>
        <w:rPr>
          <w:rFonts w:hint="eastAsia" w:ascii="宋体" w:hAnsi="宋体" w:cs="宋体"/>
          <w:color w:val="auto"/>
          <w:sz w:val="24"/>
          <w:szCs w:val="24"/>
          <w:highlight w:val="none"/>
          <w:lang w:eastAsia="zh-CN"/>
        </w:rPr>
        <w:t>招标人</w:t>
      </w:r>
      <w:r>
        <w:rPr>
          <w:rFonts w:hint="eastAsia" w:ascii="宋体" w:hAnsi="宋体" w:cs="宋体"/>
          <w:color w:val="auto"/>
          <w:sz w:val="24"/>
          <w:szCs w:val="24"/>
          <w:highlight w:val="none"/>
        </w:rPr>
        <w:t>对</w:t>
      </w: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做出的理解、推论和结论均不负责任。</w:t>
      </w:r>
    </w:p>
    <w:p w14:paraId="17233ADB">
      <w:pPr>
        <w:pStyle w:val="20"/>
        <w:spacing w:line="360" w:lineRule="auto"/>
        <w:ind w:firstLine="480" w:firstLineChars="200"/>
        <w:rPr>
          <w:rFonts w:hint="default" w:eastAsiaTheme="minorEastAsia"/>
          <w:color w:val="auto"/>
          <w:highlight w:val="none"/>
          <w:lang w:val="en-US" w:eastAsia="zh-CN"/>
        </w:rPr>
      </w:pPr>
      <w:r>
        <w:rPr>
          <w:rFonts w:hint="eastAsia"/>
          <w:color w:val="auto"/>
          <w:highlight w:val="none"/>
          <w:lang w:val="en-US" w:eastAsia="zh-CN"/>
        </w:rPr>
        <w:t>3.投标人对现场的踏勘安全负责。</w:t>
      </w:r>
    </w:p>
    <w:bookmarkEnd w:id="122"/>
    <w:bookmarkEnd w:id="123"/>
    <w:bookmarkEnd w:id="124"/>
    <w:bookmarkEnd w:id="125"/>
    <w:bookmarkEnd w:id="132"/>
    <w:bookmarkEnd w:id="133"/>
    <w:p w14:paraId="242F6C01">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eastAsia="宋体" w:cs="宋体"/>
          <w:bCs/>
          <w:color w:val="auto"/>
          <w:sz w:val="24"/>
          <w:szCs w:val="24"/>
          <w:highlight w:val="none"/>
        </w:rPr>
      </w:pPr>
      <w:bookmarkStart w:id="146" w:name="_Toc5152"/>
      <w:bookmarkStart w:id="147" w:name="_Toc9641"/>
      <w:bookmarkStart w:id="148" w:name="_Toc44167747"/>
      <w:bookmarkStart w:id="149" w:name="_Toc138251555"/>
      <w:bookmarkStart w:id="150" w:name="_Toc17497"/>
      <w:r>
        <w:rPr>
          <w:rFonts w:hint="eastAsia" w:ascii="宋体" w:hAnsi="宋体" w:cs="宋体"/>
          <w:bCs/>
          <w:color w:val="auto"/>
          <w:sz w:val="24"/>
          <w:szCs w:val="24"/>
          <w:highlight w:val="none"/>
          <w:lang w:val="en-US" w:eastAsia="zh-CN"/>
        </w:rPr>
        <w:t>五</w:t>
      </w:r>
      <w:r>
        <w:rPr>
          <w:rFonts w:hint="eastAsia" w:ascii="宋体" w:hAnsi="宋体" w:eastAsia="宋体" w:cs="宋体"/>
          <w:bCs/>
          <w:color w:val="auto"/>
          <w:sz w:val="24"/>
          <w:szCs w:val="24"/>
          <w:highlight w:val="none"/>
        </w:rPr>
        <w:t>、商务条件</w:t>
      </w:r>
      <w:bookmarkEnd w:id="146"/>
      <w:bookmarkEnd w:id="147"/>
      <w:bookmarkEnd w:id="148"/>
      <w:bookmarkEnd w:id="149"/>
    </w:p>
    <w:p w14:paraId="7C3139F1">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eastAsia="宋体" w:cs="宋体"/>
          <w:color w:val="auto"/>
          <w:sz w:val="24"/>
          <w:szCs w:val="24"/>
          <w:highlight w:val="none"/>
        </w:rPr>
      </w:pPr>
      <w:bookmarkStart w:id="151" w:name="_Toc44167748"/>
      <w:bookmarkStart w:id="152" w:name="_Toc31724"/>
      <w:bookmarkStart w:id="153" w:name="_Toc138251556"/>
      <w:bookmarkStart w:id="154" w:name="_Toc27573"/>
      <w:bookmarkStart w:id="155" w:name="_Toc13697"/>
      <w:bookmarkStart w:id="156" w:name="_Toc4620"/>
      <w:r>
        <w:rPr>
          <w:rFonts w:hint="eastAsia" w:ascii="宋体" w:hAnsi="宋体" w:eastAsia="宋体" w:cs="宋体"/>
          <w:color w:val="auto"/>
          <w:kern w:val="0"/>
          <w:sz w:val="24"/>
          <w:szCs w:val="24"/>
          <w:highlight w:val="none"/>
        </w:rPr>
        <w:t>1.交付地点</w:t>
      </w:r>
      <w:bookmarkEnd w:id="151"/>
      <w:bookmarkEnd w:id="152"/>
      <w:bookmarkEnd w:id="153"/>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福建省厦门市</w:t>
      </w:r>
      <w:r>
        <w:rPr>
          <w:rFonts w:hint="eastAsia" w:ascii="宋体" w:hAnsi="宋体" w:cs="宋体"/>
          <w:color w:val="auto"/>
          <w:sz w:val="24"/>
          <w:szCs w:val="24"/>
          <w:highlight w:val="none"/>
          <w:lang w:val="en-US" w:eastAsia="zh-CN"/>
        </w:rPr>
        <w:t>海沧区</w:t>
      </w:r>
      <w:r>
        <w:rPr>
          <w:rFonts w:hint="eastAsia" w:ascii="宋体" w:hAnsi="宋体" w:eastAsia="宋体" w:cs="宋体"/>
          <w:color w:val="auto"/>
          <w:sz w:val="24"/>
          <w:szCs w:val="24"/>
          <w:highlight w:val="none"/>
        </w:rPr>
        <w:t>招标人指定地点。</w:t>
      </w:r>
      <w:bookmarkEnd w:id="154"/>
      <w:bookmarkEnd w:id="155"/>
      <w:bookmarkEnd w:id="156"/>
    </w:p>
    <w:p w14:paraId="15F5D049">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eastAsia="宋体" w:cs="宋体"/>
          <w:color w:val="auto"/>
          <w:sz w:val="24"/>
          <w:szCs w:val="24"/>
          <w:highlight w:val="none"/>
          <w:lang w:val="en-US" w:eastAsia="zh-CN"/>
        </w:rPr>
      </w:pPr>
      <w:bookmarkStart w:id="157" w:name="_Toc44167749"/>
      <w:bookmarkStart w:id="158" w:name="_Toc138251557"/>
      <w:bookmarkStart w:id="159" w:name="_Toc29546"/>
      <w:bookmarkStart w:id="160" w:name="_Toc31865"/>
      <w:bookmarkStart w:id="161" w:name="_Toc12080"/>
      <w:bookmarkStart w:id="162" w:name="_Toc1999"/>
      <w:r>
        <w:rPr>
          <w:rFonts w:hint="eastAsia" w:ascii="宋体" w:hAnsi="宋体" w:eastAsia="宋体" w:cs="宋体"/>
          <w:color w:val="auto"/>
          <w:kern w:val="0"/>
          <w:sz w:val="24"/>
          <w:szCs w:val="24"/>
          <w:highlight w:val="none"/>
        </w:rPr>
        <w:t>2.服务</w:t>
      </w:r>
      <w:bookmarkEnd w:id="157"/>
      <w:r>
        <w:rPr>
          <w:rFonts w:hint="eastAsia" w:ascii="宋体" w:hAnsi="宋体" w:eastAsia="宋体" w:cs="宋体"/>
          <w:color w:val="auto"/>
          <w:kern w:val="0"/>
          <w:sz w:val="24"/>
          <w:szCs w:val="24"/>
          <w:highlight w:val="none"/>
        </w:rPr>
        <w:t>期限</w:t>
      </w:r>
      <w:bookmarkEnd w:id="158"/>
      <w:bookmarkEnd w:id="159"/>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合同签订之日起</w:t>
      </w:r>
      <w:r>
        <w:rPr>
          <w:rFonts w:hint="eastAsia" w:ascii="宋体" w:hAnsi="宋体" w:eastAsia="宋体" w:cs="宋体"/>
          <w:color w:val="auto"/>
          <w:kern w:val="0"/>
          <w:sz w:val="24"/>
          <w:szCs w:val="24"/>
          <w:highlight w:val="none"/>
          <w:u w:val="single"/>
          <w:lang w:val="en-US" w:eastAsia="zh-CN"/>
        </w:rPr>
        <w:t xml:space="preserve"> 3 </w:t>
      </w:r>
      <w:r>
        <w:rPr>
          <w:rFonts w:hint="eastAsia" w:ascii="宋体" w:hAnsi="宋体" w:eastAsia="宋体" w:cs="宋体"/>
          <w:color w:val="auto"/>
          <w:kern w:val="0"/>
          <w:sz w:val="24"/>
          <w:szCs w:val="24"/>
          <w:highlight w:val="none"/>
          <w:lang w:val="en-US" w:eastAsia="zh-CN"/>
        </w:rPr>
        <w:t>年</w:t>
      </w:r>
      <w:r>
        <w:rPr>
          <w:rFonts w:hint="eastAsia" w:ascii="宋体" w:hAnsi="宋体" w:eastAsia="宋体" w:cs="宋体"/>
          <w:color w:val="auto"/>
          <w:sz w:val="24"/>
          <w:szCs w:val="24"/>
          <w:highlight w:val="none"/>
        </w:rPr>
        <w:t>。</w:t>
      </w:r>
      <w:bookmarkEnd w:id="160"/>
      <w:bookmarkEnd w:id="161"/>
      <w:bookmarkEnd w:id="162"/>
      <w:r>
        <w:rPr>
          <w:rFonts w:hint="eastAsia" w:ascii="宋体" w:hAnsi="宋体" w:eastAsia="宋体" w:cs="宋体"/>
          <w:color w:val="auto"/>
          <w:sz w:val="24"/>
          <w:szCs w:val="24"/>
          <w:highlight w:val="none"/>
          <w:lang w:val="en-US" w:eastAsia="zh-CN"/>
        </w:rPr>
        <w:t>合同采用一年一签形式，满一年经</w:t>
      </w:r>
      <w:r>
        <w:rPr>
          <w:rFonts w:hint="eastAsia" w:ascii="宋体" w:hAnsi="宋体" w:cs="宋体"/>
          <w:color w:val="auto"/>
          <w:sz w:val="24"/>
          <w:szCs w:val="24"/>
          <w:highlight w:val="none"/>
          <w:lang w:val="en-US" w:eastAsia="zh-CN"/>
        </w:rPr>
        <w:t>招标人</w:t>
      </w:r>
      <w:r>
        <w:rPr>
          <w:rFonts w:hint="eastAsia" w:ascii="宋体" w:hAnsi="宋体" w:eastAsia="宋体" w:cs="宋体"/>
          <w:color w:val="auto"/>
          <w:sz w:val="24"/>
          <w:szCs w:val="24"/>
          <w:highlight w:val="none"/>
          <w:lang w:val="en-US" w:eastAsia="zh-CN"/>
        </w:rPr>
        <w:t>考核通过后，方可续签下一年度合同。</w:t>
      </w:r>
    </w:p>
    <w:p w14:paraId="25D9AAD0">
      <w:pPr>
        <w:widowControl/>
        <w:spacing w:line="360" w:lineRule="auto"/>
        <w:ind w:firstLine="798" w:firstLineChars="300"/>
        <w:jc w:val="left"/>
        <w:rPr>
          <w:rFonts w:hint="eastAsia" w:ascii="宋体" w:hAnsi="宋体" w:eastAsia="宋体" w:cs="宋体"/>
          <w:color w:val="auto"/>
          <w:spacing w:val="13"/>
          <w:sz w:val="24"/>
          <w:szCs w:val="24"/>
          <w:highlight w:val="none"/>
          <w:lang w:val="en-US" w:eastAsia="zh-CN"/>
        </w:rPr>
      </w:pPr>
      <w:r>
        <w:rPr>
          <w:rFonts w:hint="eastAsia" w:ascii="宋体" w:hAnsi="宋体" w:eastAsia="宋体" w:cs="宋体"/>
          <w:color w:val="auto"/>
          <w:spacing w:val="13"/>
          <w:sz w:val="24"/>
          <w:szCs w:val="24"/>
          <w:highlight w:val="none"/>
          <w:lang w:val="en-US" w:eastAsia="zh-CN"/>
        </w:rPr>
        <w:t>第一期服务时间：</w:t>
      </w:r>
    </w:p>
    <w:p w14:paraId="1538BA22">
      <w:pPr>
        <w:widowControl/>
        <w:spacing w:line="360" w:lineRule="auto"/>
        <w:ind w:firstLine="798" w:firstLineChars="3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pacing w:val="13"/>
          <w:sz w:val="24"/>
          <w:szCs w:val="24"/>
          <w:highlight w:val="none"/>
          <w:lang w:val="en-US" w:eastAsia="zh-CN"/>
        </w:rPr>
        <w:t>废水站</w:t>
      </w:r>
      <w:r>
        <w:rPr>
          <w:rFonts w:hint="eastAsia" w:ascii="宋体" w:hAnsi="宋体" w:eastAsia="宋体" w:cs="宋体"/>
          <w:color w:val="auto"/>
          <w:spacing w:val="13"/>
          <w:sz w:val="24"/>
          <w:szCs w:val="24"/>
          <w:highlight w:val="none"/>
        </w:rPr>
        <w:t>处理设施</w:t>
      </w:r>
      <w:r>
        <w:rPr>
          <w:rFonts w:hint="eastAsia" w:ascii="宋体" w:hAnsi="宋体" w:eastAsia="宋体" w:cs="宋体"/>
          <w:color w:val="auto"/>
          <w:spacing w:val="16"/>
          <w:sz w:val="24"/>
          <w:szCs w:val="24"/>
          <w:highlight w:val="none"/>
        </w:rPr>
        <w:t>及配套设施(含</w:t>
      </w:r>
      <w:r>
        <w:rPr>
          <w:rFonts w:hint="eastAsia" w:ascii="宋体" w:hAnsi="宋体" w:eastAsia="宋体" w:cs="宋体"/>
          <w:color w:val="auto"/>
          <w:spacing w:val="16"/>
          <w:sz w:val="24"/>
          <w:szCs w:val="24"/>
          <w:highlight w:val="none"/>
          <w:lang w:val="en-US" w:eastAsia="zh-CN"/>
        </w:rPr>
        <w:t>室外桥架上收集管道、化验室</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2025</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2</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2026</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1</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6EC7082C">
      <w:pPr>
        <w:widowControl/>
        <w:spacing w:line="360" w:lineRule="auto"/>
        <w:ind w:firstLine="816" w:firstLineChars="3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pacing w:val="16"/>
          <w:sz w:val="24"/>
          <w:szCs w:val="24"/>
          <w:highlight w:val="none"/>
          <w:lang w:val="en-US" w:eastAsia="zh-CN"/>
        </w:rPr>
        <w:t>全部在线监测设备</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2025</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8</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2026</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7</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0D95EC5E">
      <w:pPr>
        <w:widowControl/>
        <w:spacing w:line="360" w:lineRule="auto"/>
        <w:ind w:firstLine="798" w:firstLineChars="300"/>
        <w:jc w:val="left"/>
        <w:rPr>
          <w:rFonts w:hint="eastAsia" w:ascii="宋体" w:hAnsi="宋体" w:eastAsia="宋体" w:cs="宋体"/>
          <w:color w:val="auto"/>
          <w:spacing w:val="13"/>
          <w:sz w:val="24"/>
          <w:szCs w:val="24"/>
          <w:highlight w:val="none"/>
          <w:lang w:val="en-US" w:eastAsia="zh-CN"/>
        </w:rPr>
      </w:pPr>
      <w:r>
        <w:rPr>
          <w:rFonts w:hint="eastAsia" w:ascii="宋体" w:hAnsi="宋体" w:eastAsia="宋体" w:cs="宋体"/>
          <w:color w:val="auto"/>
          <w:spacing w:val="13"/>
          <w:sz w:val="24"/>
          <w:szCs w:val="24"/>
          <w:highlight w:val="none"/>
          <w:lang w:val="en-US" w:eastAsia="zh-CN"/>
        </w:rPr>
        <w:t>第二期服务时间：</w:t>
      </w:r>
    </w:p>
    <w:p w14:paraId="2E5B0E46">
      <w:pPr>
        <w:widowControl/>
        <w:spacing w:line="360" w:lineRule="auto"/>
        <w:ind w:firstLine="798" w:firstLineChars="3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pacing w:val="13"/>
          <w:sz w:val="24"/>
          <w:szCs w:val="24"/>
          <w:highlight w:val="none"/>
          <w:lang w:val="en-US" w:eastAsia="zh-CN"/>
        </w:rPr>
        <w:t>废水站</w:t>
      </w:r>
      <w:r>
        <w:rPr>
          <w:rFonts w:hint="eastAsia" w:ascii="宋体" w:hAnsi="宋体" w:eastAsia="宋体" w:cs="宋体"/>
          <w:color w:val="auto"/>
          <w:spacing w:val="13"/>
          <w:sz w:val="24"/>
          <w:szCs w:val="24"/>
          <w:highlight w:val="none"/>
        </w:rPr>
        <w:t>处理设施</w:t>
      </w:r>
      <w:r>
        <w:rPr>
          <w:rFonts w:hint="eastAsia" w:ascii="宋体" w:hAnsi="宋体" w:eastAsia="宋体" w:cs="宋体"/>
          <w:color w:val="auto"/>
          <w:spacing w:val="16"/>
          <w:sz w:val="24"/>
          <w:szCs w:val="24"/>
          <w:highlight w:val="none"/>
        </w:rPr>
        <w:t>及配套设施(含</w:t>
      </w:r>
      <w:r>
        <w:rPr>
          <w:rFonts w:hint="eastAsia" w:ascii="宋体" w:hAnsi="宋体" w:eastAsia="宋体" w:cs="宋体"/>
          <w:color w:val="auto"/>
          <w:spacing w:val="16"/>
          <w:sz w:val="24"/>
          <w:szCs w:val="24"/>
          <w:highlight w:val="none"/>
          <w:lang w:val="en-US" w:eastAsia="zh-CN"/>
        </w:rPr>
        <w:t>室外桥架上收集管道、化验室</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2026</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2</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2027</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1</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0638529F">
      <w:pPr>
        <w:widowControl/>
        <w:spacing w:line="360" w:lineRule="auto"/>
        <w:ind w:firstLine="816" w:firstLineChars="3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pacing w:val="16"/>
          <w:sz w:val="24"/>
          <w:szCs w:val="24"/>
          <w:highlight w:val="none"/>
          <w:lang w:val="en-US" w:eastAsia="zh-CN"/>
        </w:rPr>
        <w:t>全部在线监测设备</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2026</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8</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2027</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7</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451C2A47">
      <w:pPr>
        <w:widowControl/>
        <w:spacing w:line="360" w:lineRule="auto"/>
        <w:ind w:firstLine="798" w:firstLineChars="300"/>
        <w:jc w:val="left"/>
        <w:rPr>
          <w:rFonts w:hint="eastAsia" w:ascii="宋体" w:hAnsi="宋体" w:eastAsia="宋体" w:cs="宋体"/>
          <w:color w:val="auto"/>
          <w:spacing w:val="13"/>
          <w:sz w:val="24"/>
          <w:szCs w:val="24"/>
          <w:highlight w:val="none"/>
          <w:lang w:val="en-US" w:eastAsia="zh-CN"/>
        </w:rPr>
      </w:pPr>
      <w:r>
        <w:rPr>
          <w:rFonts w:hint="eastAsia" w:ascii="宋体" w:hAnsi="宋体" w:eastAsia="宋体" w:cs="宋体"/>
          <w:color w:val="auto"/>
          <w:spacing w:val="13"/>
          <w:sz w:val="24"/>
          <w:szCs w:val="24"/>
          <w:highlight w:val="none"/>
          <w:lang w:val="en-US" w:eastAsia="zh-CN"/>
        </w:rPr>
        <w:t>第三期服务时间：</w:t>
      </w:r>
    </w:p>
    <w:p w14:paraId="4BEDD3CB">
      <w:pPr>
        <w:widowControl/>
        <w:spacing w:line="360" w:lineRule="auto"/>
        <w:ind w:firstLine="798" w:firstLineChars="30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pacing w:val="13"/>
          <w:sz w:val="24"/>
          <w:szCs w:val="24"/>
          <w:highlight w:val="none"/>
          <w:lang w:val="en-US" w:eastAsia="zh-CN"/>
        </w:rPr>
        <w:t>废水站</w:t>
      </w:r>
      <w:r>
        <w:rPr>
          <w:rFonts w:hint="eastAsia" w:ascii="宋体" w:hAnsi="宋体" w:eastAsia="宋体" w:cs="宋体"/>
          <w:color w:val="auto"/>
          <w:spacing w:val="13"/>
          <w:sz w:val="24"/>
          <w:szCs w:val="24"/>
          <w:highlight w:val="none"/>
        </w:rPr>
        <w:t>处理设施</w:t>
      </w:r>
      <w:r>
        <w:rPr>
          <w:rFonts w:hint="eastAsia" w:ascii="宋体" w:hAnsi="宋体" w:eastAsia="宋体" w:cs="宋体"/>
          <w:color w:val="auto"/>
          <w:spacing w:val="16"/>
          <w:sz w:val="24"/>
          <w:szCs w:val="24"/>
          <w:highlight w:val="none"/>
        </w:rPr>
        <w:t>及配套设施(含</w:t>
      </w:r>
      <w:r>
        <w:rPr>
          <w:rFonts w:hint="eastAsia" w:ascii="宋体" w:hAnsi="宋体" w:eastAsia="宋体" w:cs="宋体"/>
          <w:color w:val="auto"/>
          <w:spacing w:val="16"/>
          <w:sz w:val="24"/>
          <w:szCs w:val="24"/>
          <w:highlight w:val="none"/>
          <w:lang w:val="en-US" w:eastAsia="zh-CN"/>
        </w:rPr>
        <w:t>室外桥架上收集管道、化验室</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2027</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2</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2028</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3</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1</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09249518">
      <w:pPr>
        <w:widowControl/>
        <w:spacing w:line="360" w:lineRule="auto"/>
        <w:ind w:firstLine="816" w:firstLineChars="3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16"/>
          <w:sz w:val="24"/>
          <w:szCs w:val="24"/>
          <w:highlight w:val="none"/>
          <w:lang w:val="en-US" w:eastAsia="zh-CN"/>
        </w:rPr>
        <w:t>全部在线监测设备</w:t>
      </w:r>
      <w:r>
        <w:rPr>
          <w:rFonts w:hint="eastAsia" w:ascii="宋体" w:hAnsi="宋体" w:eastAsia="宋体" w:cs="宋体"/>
          <w:color w:val="auto"/>
          <w:spacing w:val="15"/>
          <w:sz w:val="24"/>
          <w:szCs w:val="24"/>
          <w:highlight w:val="none"/>
        </w:rPr>
        <w:t>运营</w:t>
      </w:r>
      <w:r>
        <w:rPr>
          <w:rFonts w:hint="eastAsia" w:ascii="宋体" w:hAnsi="宋体" w:eastAsia="宋体" w:cs="宋体"/>
          <w:color w:val="auto"/>
          <w:spacing w:val="15"/>
          <w:sz w:val="24"/>
          <w:szCs w:val="24"/>
          <w:highlight w:val="none"/>
          <w:lang w:val="en-US" w:eastAsia="zh-CN"/>
        </w:rPr>
        <w:t>服务期：从</w:t>
      </w:r>
      <w:r>
        <w:rPr>
          <w:rFonts w:hint="eastAsia" w:ascii="宋体" w:hAnsi="宋体" w:eastAsia="宋体" w:cs="宋体"/>
          <w:color w:val="auto"/>
          <w:spacing w:val="15"/>
          <w:sz w:val="24"/>
          <w:szCs w:val="24"/>
          <w:highlight w:val="none"/>
          <w:u w:val="single"/>
          <w:lang w:val="en-US" w:eastAsia="zh-CN"/>
        </w:rPr>
        <w:t>2027</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8</w:t>
      </w:r>
      <w:r>
        <w:rPr>
          <w:rFonts w:hint="eastAsia" w:ascii="宋体" w:hAnsi="宋体" w:eastAsia="宋体" w:cs="宋体"/>
          <w:color w:val="auto"/>
          <w:spacing w:val="15"/>
          <w:sz w:val="24"/>
          <w:szCs w:val="24"/>
          <w:highlight w:val="none"/>
          <w:u w:val="none"/>
          <w:lang w:val="en-US" w:eastAsia="zh-CN"/>
        </w:rPr>
        <w:t>日至</w:t>
      </w:r>
      <w:r>
        <w:rPr>
          <w:rFonts w:hint="eastAsia" w:ascii="宋体" w:hAnsi="宋体" w:eastAsia="宋体" w:cs="宋体"/>
          <w:color w:val="auto"/>
          <w:spacing w:val="15"/>
          <w:sz w:val="24"/>
          <w:szCs w:val="24"/>
          <w:highlight w:val="none"/>
          <w:u w:val="single"/>
          <w:lang w:val="en-US" w:eastAsia="zh-CN"/>
        </w:rPr>
        <w:t>2028</w:t>
      </w:r>
      <w:r>
        <w:rPr>
          <w:rFonts w:hint="eastAsia" w:ascii="宋体" w:hAnsi="宋体" w:eastAsia="宋体" w:cs="宋体"/>
          <w:color w:val="auto"/>
          <w:spacing w:val="15"/>
          <w:sz w:val="24"/>
          <w:szCs w:val="24"/>
          <w:highlight w:val="none"/>
          <w:u w:val="none"/>
          <w:lang w:val="en-US" w:eastAsia="zh-CN"/>
        </w:rPr>
        <w:t>年</w:t>
      </w:r>
      <w:r>
        <w:rPr>
          <w:rFonts w:hint="eastAsia" w:ascii="宋体" w:hAnsi="宋体" w:eastAsia="宋体" w:cs="宋体"/>
          <w:color w:val="auto"/>
          <w:spacing w:val="15"/>
          <w:sz w:val="24"/>
          <w:szCs w:val="24"/>
          <w:highlight w:val="none"/>
          <w:u w:val="single"/>
          <w:lang w:val="en-US" w:eastAsia="zh-CN"/>
        </w:rPr>
        <w:t>5</w:t>
      </w:r>
      <w:r>
        <w:rPr>
          <w:rFonts w:hint="eastAsia" w:ascii="宋体" w:hAnsi="宋体" w:eastAsia="宋体" w:cs="宋体"/>
          <w:color w:val="auto"/>
          <w:spacing w:val="15"/>
          <w:sz w:val="24"/>
          <w:szCs w:val="24"/>
          <w:highlight w:val="none"/>
          <w:u w:val="none"/>
          <w:lang w:val="en-US" w:eastAsia="zh-CN"/>
        </w:rPr>
        <w:t>月</w:t>
      </w:r>
      <w:r>
        <w:rPr>
          <w:rFonts w:hint="eastAsia" w:ascii="宋体" w:hAnsi="宋体" w:eastAsia="宋体" w:cs="宋体"/>
          <w:color w:val="auto"/>
          <w:spacing w:val="15"/>
          <w:sz w:val="24"/>
          <w:szCs w:val="24"/>
          <w:highlight w:val="none"/>
          <w:u w:val="single"/>
          <w:lang w:val="en-US" w:eastAsia="zh-CN"/>
        </w:rPr>
        <w:t>7</w:t>
      </w:r>
      <w:r>
        <w:rPr>
          <w:rFonts w:hint="eastAsia" w:ascii="宋体" w:hAnsi="宋体" w:eastAsia="宋体" w:cs="宋体"/>
          <w:color w:val="auto"/>
          <w:spacing w:val="15"/>
          <w:sz w:val="24"/>
          <w:szCs w:val="24"/>
          <w:highlight w:val="none"/>
          <w:u w:val="none"/>
          <w:lang w:val="en-US" w:eastAsia="zh-CN"/>
        </w:rPr>
        <w:t>日</w:t>
      </w:r>
      <w:r>
        <w:rPr>
          <w:rFonts w:hint="eastAsia" w:ascii="宋体" w:hAnsi="宋体" w:eastAsia="宋体" w:cs="宋体"/>
          <w:color w:val="auto"/>
          <w:kern w:val="0"/>
          <w:sz w:val="24"/>
          <w:szCs w:val="24"/>
          <w:highlight w:val="none"/>
          <w:lang w:eastAsia="zh-CN"/>
        </w:rPr>
        <w:t>。</w:t>
      </w:r>
    </w:p>
    <w:p w14:paraId="03250A36">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eastAsia="宋体" w:cs="宋体"/>
          <w:color w:val="auto"/>
          <w:kern w:val="0"/>
          <w:sz w:val="24"/>
          <w:szCs w:val="24"/>
          <w:highlight w:val="none"/>
          <w:lang w:eastAsia="zh-CN"/>
        </w:rPr>
      </w:pPr>
      <w:bookmarkStart w:id="163" w:name="_Toc665"/>
      <w:bookmarkStart w:id="164" w:name="_Toc138251558"/>
      <w:bookmarkStart w:id="165" w:name="_Toc44167750"/>
      <w:bookmarkStart w:id="166" w:name="_Toc24589"/>
      <w:bookmarkStart w:id="167" w:name="_Toc24804"/>
      <w:bookmarkStart w:id="168" w:name="_Toc19087"/>
      <w:r>
        <w:rPr>
          <w:rFonts w:hint="eastAsia" w:ascii="宋体" w:hAnsi="宋体" w:eastAsia="宋体" w:cs="宋体"/>
          <w:color w:val="auto"/>
          <w:kern w:val="0"/>
          <w:sz w:val="24"/>
          <w:szCs w:val="24"/>
          <w:highlight w:val="none"/>
        </w:rPr>
        <w:t>3.履约保证金</w:t>
      </w:r>
      <w:bookmarkEnd w:id="163"/>
      <w:bookmarkEnd w:id="164"/>
      <w:bookmarkEnd w:id="165"/>
      <w:bookmarkEnd w:id="166"/>
      <w:bookmarkEnd w:id="167"/>
      <w:r>
        <w:rPr>
          <w:rFonts w:hint="eastAsia" w:ascii="宋体" w:hAnsi="宋体" w:cs="宋体"/>
          <w:color w:val="auto"/>
          <w:kern w:val="0"/>
          <w:sz w:val="24"/>
          <w:szCs w:val="24"/>
          <w:highlight w:val="none"/>
          <w:lang w:eastAsia="zh-CN"/>
        </w:rPr>
        <w:t>：</w:t>
      </w:r>
      <w:bookmarkEnd w:id="168"/>
    </w:p>
    <w:p w14:paraId="194EBA4D">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w:t>
      </w:r>
      <w:r>
        <w:rPr>
          <w:rFonts w:hint="eastAsia" w:ascii="宋体" w:hAnsi="宋体" w:eastAsia="宋体" w:cs="宋体"/>
          <w:color w:val="auto"/>
          <w:kern w:val="0"/>
          <w:sz w:val="24"/>
          <w:szCs w:val="24"/>
          <w:highlight w:val="none"/>
        </w:rPr>
        <w:t>须在接到</w:t>
      </w:r>
      <w:r>
        <w:rPr>
          <w:rFonts w:hint="eastAsia" w:ascii="宋体" w:hAnsi="宋体" w:eastAsia="宋体" w:cs="宋体"/>
          <w:color w:val="auto"/>
          <w:sz w:val="24"/>
          <w:szCs w:val="24"/>
          <w:highlight w:val="none"/>
        </w:rPr>
        <w:t>中标</w:t>
      </w:r>
      <w:r>
        <w:rPr>
          <w:rFonts w:hint="eastAsia" w:ascii="宋体" w:hAnsi="宋体" w:eastAsia="宋体" w:cs="宋体"/>
          <w:color w:val="auto"/>
          <w:kern w:val="0"/>
          <w:sz w:val="24"/>
          <w:szCs w:val="24"/>
          <w:highlight w:val="none"/>
        </w:rPr>
        <w:t>通知之日起（以</w:t>
      </w:r>
      <w:r>
        <w:rPr>
          <w:rFonts w:hint="eastAsia" w:ascii="宋体" w:hAnsi="宋体" w:eastAsia="宋体" w:cs="宋体"/>
          <w:color w:val="auto"/>
          <w:sz w:val="24"/>
          <w:szCs w:val="24"/>
          <w:highlight w:val="none"/>
        </w:rPr>
        <w:t>中标</w:t>
      </w:r>
      <w:r>
        <w:rPr>
          <w:rFonts w:hint="eastAsia" w:ascii="宋体" w:hAnsi="宋体" w:eastAsia="宋体" w:cs="宋体"/>
          <w:color w:val="auto"/>
          <w:kern w:val="0"/>
          <w:sz w:val="24"/>
          <w:szCs w:val="24"/>
          <w:highlight w:val="none"/>
        </w:rPr>
        <w:t>通知书日期为准）</w:t>
      </w:r>
      <w:r>
        <w:rPr>
          <w:rFonts w:hint="eastAsia" w:ascii="宋体" w:hAnsi="宋体" w:cs="宋体"/>
          <w:color w:val="auto"/>
          <w:kern w:val="0"/>
          <w:sz w:val="24"/>
          <w:szCs w:val="24"/>
          <w:highlight w:val="none"/>
          <w:lang w:val="en-US" w:eastAsia="zh-CN"/>
        </w:rPr>
        <w:t>五</w:t>
      </w:r>
      <w:r>
        <w:rPr>
          <w:rFonts w:hint="eastAsia" w:ascii="宋体" w:hAnsi="宋体" w:eastAsia="宋体" w:cs="宋体"/>
          <w:color w:val="auto"/>
          <w:kern w:val="0"/>
          <w:sz w:val="24"/>
          <w:szCs w:val="24"/>
          <w:highlight w:val="none"/>
        </w:rPr>
        <w:t>个</w:t>
      </w:r>
      <w:r>
        <w:rPr>
          <w:rFonts w:hint="eastAsia" w:ascii="宋体" w:hAnsi="宋体" w:eastAsia="宋体" w:cs="宋体"/>
          <w:color w:val="auto"/>
          <w:kern w:val="0"/>
          <w:sz w:val="24"/>
          <w:szCs w:val="24"/>
          <w:highlight w:val="none"/>
          <w:lang w:val="en-US" w:eastAsia="zh-CN"/>
        </w:rPr>
        <w:t>工作日</w:t>
      </w:r>
      <w:r>
        <w:rPr>
          <w:rFonts w:hint="eastAsia" w:ascii="宋体" w:hAnsi="宋体" w:eastAsia="宋体" w:cs="宋体"/>
          <w:color w:val="auto"/>
          <w:kern w:val="0"/>
          <w:sz w:val="24"/>
          <w:szCs w:val="24"/>
          <w:highlight w:val="none"/>
        </w:rPr>
        <w:t>内缴纳履约保证金至招标人指定账户，履约保证金为</w:t>
      </w:r>
      <w:r>
        <w:rPr>
          <w:rFonts w:hint="eastAsia" w:ascii="宋体" w:hAnsi="宋体" w:cs="宋体"/>
          <w:color w:val="auto"/>
          <w:kern w:val="0"/>
          <w:sz w:val="24"/>
          <w:szCs w:val="24"/>
          <w:highlight w:val="none"/>
          <w:lang w:val="en-US" w:eastAsia="zh-CN"/>
        </w:rPr>
        <w:t>每年度费用5</w:t>
      </w:r>
      <w:r>
        <w:rPr>
          <w:rFonts w:hint="eastAsia" w:ascii="宋体" w:hAnsi="宋体" w:eastAsia="宋体" w:cs="宋体"/>
          <w:color w:val="auto"/>
          <w:kern w:val="0"/>
          <w:sz w:val="24"/>
          <w:szCs w:val="24"/>
          <w:highlight w:val="none"/>
        </w:rPr>
        <w:t>%，在服务期满后无息归还，若出现中标人不按照招标要求提供服务或未能按照招标人的要求提供服务的，则招标人可认定中标人无能力履行本合同，有权取消合同并</w:t>
      </w:r>
      <w:r>
        <w:rPr>
          <w:rFonts w:hint="eastAsia" w:ascii="宋体" w:hAnsi="宋体" w:eastAsia="宋体" w:cs="宋体"/>
          <w:color w:val="auto"/>
          <w:kern w:val="0"/>
          <w:sz w:val="24"/>
          <w:szCs w:val="24"/>
          <w:highlight w:val="none"/>
          <w:lang w:val="en-US" w:eastAsia="zh-CN"/>
        </w:rPr>
        <w:t>不予退还</w:t>
      </w:r>
      <w:r>
        <w:rPr>
          <w:rFonts w:hint="eastAsia" w:ascii="宋体" w:hAnsi="宋体" w:eastAsia="宋体" w:cs="宋体"/>
          <w:color w:val="auto"/>
          <w:kern w:val="0"/>
          <w:sz w:val="24"/>
          <w:szCs w:val="24"/>
          <w:highlight w:val="none"/>
        </w:rPr>
        <w:t>履约保证金。</w:t>
      </w:r>
      <w:r>
        <w:rPr>
          <w:rFonts w:hint="eastAsia" w:ascii="宋体" w:hAnsi="宋体" w:eastAsia="宋体" w:cs="宋体"/>
          <w:color w:val="auto"/>
          <w:sz w:val="24"/>
          <w:szCs w:val="24"/>
          <w:highlight w:val="none"/>
        </w:rPr>
        <w:t xml:space="preserve"> </w:t>
      </w:r>
    </w:p>
    <w:p w14:paraId="59AF47BC">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eastAsia="宋体" w:cs="宋体"/>
          <w:color w:val="auto"/>
          <w:kern w:val="0"/>
          <w:sz w:val="24"/>
          <w:szCs w:val="24"/>
          <w:highlight w:val="none"/>
        </w:rPr>
      </w:pPr>
      <w:bookmarkStart w:id="169" w:name="_Toc16454"/>
      <w:bookmarkStart w:id="170" w:name="_Toc138251559"/>
      <w:bookmarkStart w:id="171" w:name="_Toc19034"/>
      <w:bookmarkStart w:id="172" w:name="_Toc44167752"/>
      <w:bookmarkStart w:id="173" w:name="_Toc6030"/>
      <w:bookmarkStart w:id="174" w:name="_Toc25733"/>
      <w:r>
        <w:rPr>
          <w:rFonts w:hint="eastAsia" w:ascii="宋体" w:hAnsi="宋体" w:eastAsia="宋体" w:cs="宋体"/>
          <w:color w:val="auto"/>
          <w:kern w:val="0"/>
          <w:sz w:val="24"/>
          <w:szCs w:val="24"/>
          <w:highlight w:val="none"/>
        </w:rPr>
        <w:t>4.支付方式数据表格</w:t>
      </w:r>
      <w:bookmarkEnd w:id="169"/>
      <w:bookmarkEnd w:id="170"/>
      <w:bookmarkEnd w:id="171"/>
      <w:bookmarkEnd w:id="172"/>
      <w:bookmarkEnd w:id="173"/>
      <w:bookmarkEnd w:id="174"/>
    </w:p>
    <w:p w14:paraId="58F47761">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bookmarkStart w:id="175" w:name="_Toc16932"/>
      <w:bookmarkStart w:id="176" w:name="_Toc31074"/>
      <w:bookmarkStart w:id="177" w:name="_Toc44167753"/>
      <w:bookmarkStart w:id="178" w:name="_Toc2883"/>
      <w:bookmarkStart w:id="179" w:name="_Toc138251560"/>
      <w:bookmarkStart w:id="180" w:name="_Toc32672"/>
      <w:r>
        <w:rPr>
          <w:rFonts w:hint="eastAsia" w:ascii="宋体" w:hAnsi="宋体" w:eastAsia="宋体" w:cs="宋体"/>
          <w:color w:val="auto"/>
          <w:kern w:val="0"/>
          <w:sz w:val="24"/>
          <w:highlight w:val="none"/>
          <w:lang w:val="en-US" w:eastAsia="zh-CN"/>
        </w:rPr>
        <w:t>4.</w:t>
      </w:r>
      <w:r>
        <w:rPr>
          <w:rFonts w:hint="eastAsia" w:ascii="宋体" w:hAnsi="宋体" w:cs="宋体"/>
          <w:color w:val="auto"/>
          <w:kern w:val="0"/>
          <w:sz w:val="24"/>
          <w:highlight w:val="none"/>
          <w:lang w:val="en-US" w:eastAsia="zh-CN"/>
        </w:rPr>
        <w:t>1每年度</w:t>
      </w:r>
      <w:r>
        <w:rPr>
          <w:rFonts w:hint="eastAsia" w:ascii="宋体" w:hAnsi="宋体" w:eastAsia="宋体" w:cs="宋体"/>
          <w:color w:val="auto"/>
          <w:kern w:val="0"/>
          <w:sz w:val="24"/>
          <w:highlight w:val="none"/>
          <w:lang w:val="en-US" w:eastAsia="zh-CN"/>
        </w:rPr>
        <w:t>支付方式</w:t>
      </w:r>
    </w:p>
    <w:tbl>
      <w:tblPr>
        <w:tblStyle w:val="5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14"/>
        <w:gridCol w:w="2892"/>
        <w:gridCol w:w="2739"/>
        <w:gridCol w:w="2247"/>
      </w:tblGrid>
      <w:tr w14:paraId="586AD9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4"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C2D9C4">
            <w:pPr>
              <w:spacing w:line="360" w:lineRule="auto"/>
              <w:jc w:val="center"/>
              <w:rPr>
                <w:rFonts w:hint="default"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sz w:val="24"/>
                <w:szCs w:val="24"/>
                <w:highlight w:val="none"/>
                <w:u w:val="none"/>
                <w:lang w:val="en-US" w:eastAsia="zh-CN"/>
              </w:rPr>
              <w:t>付款期次</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D44C6">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申请用款时间</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9B2BA">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支付时间</w:t>
            </w:r>
          </w:p>
        </w:tc>
        <w:tc>
          <w:tcPr>
            <w:tcW w:w="1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2A381">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申请年度费用的比例（%）</w:t>
            </w:r>
          </w:p>
        </w:tc>
      </w:tr>
      <w:tr w14:paraId="581FB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1495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预付款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EAEB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2月20日后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E1C0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3月9日之前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047C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r>
      <w:tr w14:paraId="68387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EC5C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第二次付款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52B05">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5月20日后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2D7C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6月9日之前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3E59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19B8FF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171A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第三次付款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60B0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8月20日后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8E82A">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9月9日之前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AF3B8">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35D7B5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32CF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第四次付款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D4B49">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11月20日后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74DB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当年</w:t>
            </w:r>
            <w:r>
              <w:rPr>
                <w:rFonts w:hint="eastAsia" w:ascii="宋体" w:hAnsi="宋体" w:eastAsia="宋体" w:cs="宋体"/>
                <w:i w:val="0"/>
                <w:iCs w:val="0"/>
                <w:color w:val="auto"/>
                <w:kern w:val="0"/>
                <w:sz w:val="24"/>
                <w:szCs w:val="24"/>
                <w:highlight w:val="none"/>
                <w:u w:val="none"/>
                <w:lang w:val="en-US" w:eastAsia="zh-CN" w:bidi="ar"/>
              </w:rPr>
              <w:t>12月9日之前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D56C9">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3C6E02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817F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第五次付款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730316">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年2月20日后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E50A6">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年3月9日之前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2AC24">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3440A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7954">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尾款</w:t>
            </w:r>
          </w:p>
        </w:tc>
        <w:tc>
          <w:tcPr>
            <w:tcW w:w="15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7C78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年5月9日后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11706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年5月30日之前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BEFA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r>
    </w:tbl>
    <w:p w14:paraId="65AB53E6">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(1)预付款</w:t>
      </w:r>
      <w:r>
        <w:rPr>
          <w:rFonts w:hint="eastAsia" w:ascii="宋体" w:hAnsi="宋体" w:cs="宋体"/>
          <w:color w:val="auto"/>
          <w:kern w:val="0"/>
          <w:sz w:val="24"/>
          <w:highlight w:val="none"/>
          <w:lang w:val="en-US" w:eastAsia="zh-CN"/>
        </w:rPr>
        <w:t>支付要求：</w:t>
      </w:r>
      <w:r>
        <w:rPr>
          <w:rFonts w:hint="eastAsia" w:ascii="宋体" w:hAnsi="宋体" w:eastAsia="宋体" w:cs="宋体"/>
          <w:color w:val="auto"/>
          <w:kern w:val="0"/>
          <w:sz w:val="24"/>
          <w:highlight w:val="none"/>
          <w:lang w:val="en-US" w:eastAsia="zh-CN"/>
        </w:rPr>
        <w:t>运营服务进场前1个月（具体进场时间以</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书面通知为主）向</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提交第一个季度人员配置表及相应费用的申请表。</w:t>
      </w:r>
    </w:p>
    <w:p w14:paraId="22C51BED">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用款申请支付要求：中标人应</w:t>
      </w:r>
      <w:r>
        <w:rPr>
          <w:rFonts w:hint="eastAsia" w:ascii="宋体" w:hAnsi="宋体" w:eastAsia="宋体" w:cs="宋体"/>
          <w:color w:val="auto"/>
          <w:kern w:val="0"/>
          <w:sz w:val="24"/>
          <w:highlight w:val="none"/>
          <w:lang w:val="en-US" w:eastAsia="zh-CN"/>
        </w:rPr>
        <w:t>向</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提交本季度人员考勤表及下个季度人员配置及相应费用申请表，</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根据考勤和考核情况及下个季度人员配置</w:t>
      </w:r>
      <w:r>
        <w:rPr>
          <w:rFonts w:hint="eastAsia" w:ascii="宋体" w:hAnsi="宋体" w:cs="宋体"/>
          <w:color w:val="auto"/>
          <w:kern w:val="0"/>
          <w:sz w:val="24"/>
          <w:highlight w:val="none"/>
          <w:lang w:val="en-US" w:eastAsia="zh-CN"/>
        </w:rPr>
        <w:t>，按相关比例支付</w:t>
      </w:r>
      <w:r>
        <w:rPr>
          <w:rFonts w:hint="eastAsia" w:ascii="宋体" w:hAnsi="宋体" w:eastAsia="宋体" w:cs="宋体"/>
          <w:color w:val="auto"/>
          <w:kern w:val="0"/>
          <w:sz w:val="24"/>
          <w:highlight w:val="none"/>
          <w:lang w:val="en-US" w:eastAsia="zh-CN"/>
        </w:rPr>
        <w:t>。人员考勤按规章制度进行相应扣费，本季度考勤扣款由本季度</w:t>
      </w:r>
      <w:r>
        <w:rPr>
          <w:rFonts w:hint="eastAsia" w:ascii="宋体" w:hAnsi="宋体" w:cs="宋体"/>
          <w:color w:val="auto"/>
          <w:kern w:val="0"/>
          <w:sz w:val="24"/>
          <w:highlight w:val="none"/>
          <w:lang w:val="en-US" w:eastAsia="zh-CN"/>
        </w:rPr>
        <w:t>申请用款</w:t>
      </w:r>
      <w:r>
        <w:rPr>
          <w:rFonts w:hint="eastAsia" w:ascii="宋体" w:hAnsi="宋体" w:eastAsia="宋体" w:cs="宋体"/>
          <w:color w:val="auto"/>
          <w:kern w:val="0"/>
          <w:sz w:val="24"/>
          <w:highlight w:val="none"/>
          <w:lang w:val="en-US" w:eastAsia="zh-CN"/>
        </w:rPr>
        <w:t>内扣除。</w:t>
      </w:r>
    </w:p>
    <w:p w14:paraId="0C94A285">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w:t>
      </w:r>
      <w:r>
        <w:rPr>
          <w:rFonts w:hint="eastAsia" w:ascii="宋体" w:hAnsi="宋体" w:cs="宋体"/>
          <w:color w:val="auto"/>
          <w:kern w:val="0"/>
          <w:sz w:val="24"/>
          <w:highlight w:val="none"/>
          <w:lang w:val="en-US" w:eastAsia="zh-CN"/>
        </w:rPr>
        <w:t>尾款支付要求：本合同服务时间的最后一个月</w:t>
      </w:r>
      <w:r>
        <w:rPr>
          <w:rFonts w:hint="eastAsia" w:ascii="宋体" w:hAnsi="宋体" w:eastAsia="宋体" w:cs="宋体"/>
          <w:color w:val="auto"/>
          <w:kern w:val="0"/>
          <w:sz w:val="24"/>
          <w:highlight w:val="none"/>
          <w:lang w:val="en-US" w:eastAsia="zh-CN"/>
        </w:rPr>
        <w:t>20号前向</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提交</w:t>
      </w:r>
      <w:r>
        <w:rPr>
          <w:rFonts w:hint="eastAsia" w:ascii="宋体" w:hAnsi="宋体" w:cs="宋体"/>
          <w:color w:val="auto"/>
          <w:kern w:val="0"/>
          <w:sz w:val="24"/>
          <w:highlight w:val="none"/>
          <w:lang w:val="en-US" w:eastAsia="zh-CN"/>
        </w:rPr>
        <w:t>年度的</w:t>
      </w:r>
      <w:r>
        <w:rPr>
          <w:rFonts w:hint="eastAsia" w:ascii="宋体" w:hAnsi="宋体" w:eastAsia="宋体" w:cs="宋体"/>
          <w:color w:val="auto"/>
          <w:kern w:val="0"/>
          <w:sz w:val="24"/>
          <w:highlight w:val="none"/>
          <w:lang w:val="en-US" w:eastAsia="zh-CN"/>
        </w:rPr>
        <w:t>尾款</w:t>
      </w:r>
      <w:r>
        <w:rPr>
          <w:rFonts w:hint="eastAsia" w:ascii="宋体" w:hAnsi="宋体" w:cs="宋体"/>
          <w:color w:val="auto"/>
          <w:kern w:val="0"/>
          <w:sz w:val="24"/>
          <w:highlight w:val="none"/>
          <w:lang w:val="en-US" w:eastAsia="zh-CN"/>
        </w:rPr>
        <w:t>用款申请表</w:t>
      </w:r>
      <w:r>
        <w:rPr>
          <w:rFonts w:hint="eastAsia" w:ascii="宋体" w:hAnsi="宋体" w:eastAsia="宋体" w:cs="宋体"/>
          <w:color w:val="auto"/>
          <w:kern w:val="0"/>
          <w:sz w:val="24"/>
          <w:highlight w:val="none"/>
          <w:lang w:val="en-US" w:eastAsia="zh-CN"/>
        </w:rPr>
        <w:t>并经考勤和考核合格后</w:t>
      </w:r>
      <w:r>
        <w:rPr>
          <w:rFonts w:hint="eastAsia" w:ascii="宋体" w:hAnsi="宋体" w:cs="宋体"/>
          <w:color w:val="auto"/>
          <w:kern w:val="0"/>
          <w:sz w:val="24"/>
          <w:highlight w:val="none"/>
          <w:lang w:val="en-US" w:eastAsia="zh-CN"/>
        </w:rPr>
        <w:t>，合同结算完成后，支付</w:t>
      </w:r>
      <w:r>
        <w:rPr>
          <w:rFonts w:hint="eastAsia" w:ascii="宋体" w:hAnsi="宋体" w:eastAsia="宋体" w:cs="宋体"/>
          <w:color w:val="auto"/>
          <w:kern w:val="0"/>
          <w:sz w:val="24"/>
          <w:highlight w:val="none"/>
          <w:lang w:val="en-US" w:eastAsia="zh-CN"/>
        </w:rPr>
        <w:t>剩余</w:t>
      </w:r>
      <w:r>
        <w:rPr>
          <w:rFonts w:hint="eastAsia" w:ascii="宋体" w:hAnsi="宋体" w:cs="宋体"/>
          <w:color w:val="auto"/>
          <w:kern w:val="0"/>
          <w:sz w:val="24"/>
          <w:highlight w:val="none"/>
          <w:lang w:val="en-US" w:eastAsia="zh-CN"/>
        </w:rPr>
        <w:t>年度</w:t>
      </w:r>
      <w:r>
        <w:rPr>
          <w:rFonts w:hint="eastAsia" w:ascii="宋体" w:hAnsi="宋体" w:eastAsia="宋体" w:cs="宋体"/>
          <w:color w:val="auto"/>
          <w:kern w:val="0"/>
          <w:sz w:val="24"/>
          <w:highlight w:val="none"/>
          <w:lang w:val="en-US" w:eastAsia="zh-CN"/>
        </w:rPr>
        <w:t>尾款的100%。</w:t>
      </w:r>
    </w:p>
    <w:p w14:paraId="5A6BD168">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(4)以上</w:t>
      </w:r>
      <w:r>
        <w:rPr>
          <w:rFonts w:hint="eastAsia" w:ascii="宋体" w:hAnsi="宋体" w:cs="宋体"/>
          <w:color w:val="auto"/>
          <w:kern w:val="0"/>
          <w:sz w:val="24"/>
          <w:highlight w:val="none"/>
          <w:lang w:val="en-US" w:eastAsia="zh-CN"/>
        </w:rPr>
        <w:t>年度费用</w:t>
      </w:r>
      <w:r>
        <w:rPr>
          <w:rFonts w:hint="eastAsia" w:ascii="宋体" w:hAnsi="宋体" w:eastAsia="宋体" w:cs="宋体"/>
          <w:color w:val="auto"/>
          <w:kern w:val="0"/>
          <w:sz w:val="24"/>
          <w:highlight w:val="none"/>
          <w:lang w:val="en-US" w:eastAsia="zh-CN"/>
        </w:rPr>
        <w:t>含</w:t>
      </w:r>
      <w:r>
        <w:rPr>
          <w:rFonts w:hint="eastAsia" w:ascii="宋体" w:hAnsi="宋体" w:cs="宋体"/>
          <w:color w:val="auto"/>
          <w:kern w:val="0"/>
          <w:sz w:val="24"/>
          <w:highlight w:val="none"/>
          <w:lang w:val="en-US" w:eastAsia="zh-CN"/>
        </w:rPr>
        <w:t>20</w:t>
      </w:r>
      <w:r>
        <w:rPr>
          <w:rFonts w:hint="eastAsia" w:ascii="宋体" w:hAnsi="宋体" w:eastAsia="宋体" w:cs="宋体"/>
          <w:color w:val="auto"/>
          <w:kern w:val="0"/>
          <w:sz w:val="24"/>
          <w:highlight w:val="none"/>
          <w:lang w:val="en-US" w:eastAsia="zh-CN"/>
        </w:rPr>
        <w:t>%绩效，运营管理未达到本合同及运营管理服务方案要求，</w:t>
      </w:r>
      <w:r>
        <w:rPr>
          <w:rFonts w:hint="eastAsia" w:ascii="宋体" w:hAnsi="宋体" w:cs="宋体"/>
          <w:color w:val="auto"/>
          <w:kern w:val="0"/>
          <w:sz w:val="24"/>
          <w:highlight w:val="none"/>
          <w:lang w:val="en-US" w:eastAsia="zh-CN"/>
        </w:rPr>
        <w:t>招标人</w:t>
      </w:r>
      <w:r>
        <w:rPr>
          <w:rFonts w:hint="eastAsia" w:ascii="宋体" w:hAnsi="宋体" w:eastAsia="宋体" w:cs="宋体"/>
          <w:color w:val="auto"/>
          <w:kern w:val="0"/>
          <w:sz w:val="24"/>
          <w:highlight w:val="none"/>
          <w:lang w:val="en-US" w:eastAsia="zh-CN"/>
        </w:rPr>
        <w:t>有权对绩效进行相应扣除。</w:t>
      </w:r>
    </w:p>
    <w:p w14:paraId="42DE9284">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5.报价要求</w:t>
      </w:r>
      <w:bookmarkEnd w:id="175"/>
      <w:bookmarkEnd w:id="176"/>
      <w:bookmarkEnd w:id="177"/>
      <w:bookmarkEnd w:id="178"/>
      <w:bookmarkEnd w:id="179"/>
      <w:bookmarkEnd w:id="180"/>
    </w:p>
    <w:p w14:paraId="0F1D2E9A">
      <w:pPr>
        <w:numPr>
          <w:ilvl w:val="0"/>
          <w:numId w:val="0"/>
        </w:numPr>
        <w:spacing w:line="360" w:lineRule="auto"/>
        <w:ind w:firstLine="480" w:firstLineChars="200"/>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5.1.本项目为整体招标，投标人应充分考虑服务期间人员价格等上涨的风险，且该项风险费在报价中充分考虑。</w:t>
      </w:r>
    </w:p>
    <w:p w14:paraId="36C8811D">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w:t>
      </w:r>
      <w:r>
        <w:rPr>
          <w:rFonts w:hint="eastAsia" w:ascii="宋体" w:hAnsi="宋体" w:eastAsia="宋体" w:cs="宋体"/>
          <w:color w:val="auto"/>
          <w:sz w:val="24"/>
          <w:highlight w:val="none"/>
        </w:rPr>
        <w:t>本次招标为国内招标，报价以人民币为货币单位，应分单价，小计和总价</w:t>
      </w:r>
      <w:r>
        <w:rPr>
          <w:rFonts w:hint="eastAsia" w:ascii="宋体" w:hAnsi="宋体" w:eastAsia="宋体" w:cs="宋体"/>
          <w:color w:val="auto"/>
          <w:sz w:val="24"/>
          <w:szCs w:val="24"/>
          <w:highlight w:val="none"/>
        </w:rPr>
        <w:t>。</w:t>
      </w:r>
    </w:p>
    <w:p w14:paraId="76A42BBE">
      <w:pPr>
        <w:numPr>
          <w:ilvl w:val="0"/>
          <w:numId w:val="0"/>
        </w:numPr>
        <w:spacing w:line="360" w:lineRule="auto"/>
        <w:ind w:firstLine="480" w:firstLineChars="200"/>
        <w:outlineLvl w:val="0"/>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5.3</w:t>
      </w:r>
      <w:r>
        <w:rPr>
          <w:rFonts w:hint="eastAsia" w:ascii="宋体" w:hAnsi="宋体" w:cs="宋体"/>
          <w:b/>
          <w:bCs/>
          <w:color w:val="auto"/>
          <w:sz w:val="24"/>
          <w:szCs w:val="24"/>
          <w:highlight w:val="none"/>
          <w:lang w:val="en-US" w:eastAsia="zh-CN"/>
        </w:rPr>
        <w:t>投标人需根据费用明细表进行报价。</w:t>
      </w:r>
    </w:p>
    <w:p w14:paraId="43A3EC0B">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highlight w:val="none"/>
          <w:lang w:val="en-US" w:eastAsia="zh-CN"/>
        </w:rPr>
        <w:t>合同价包括但不限于以下费用：人工费（员工工资、按规定提取的福利费、社会保险、公积金、交通和</w:t>
      </w:r>
      <w:r>
        <w:rPr>
          <w:rFonts w:hint="eastAsia" w:ascii="宋体" w:hAnsi="宋体" w:cs="宋体"/>
          <w:color w:val="auto"/>
          <w:sz w:val="24"/>
          <w:szCs w:val="24"/>
          <w:highlight w:val="none"/>
          <w:lang w:val="en-US" w:eastAsia="zh-CN"/>
        </w:rPr>
        <w:t>通讯补助、岗位补助等）、备品备件费、在线设备运维产生的全部费用、化验室设备规范化运营管理、</w:t>
      </w:r>
      <w:r>
        <w:rPr>
          <w:rFonts w:hint="eastAsia" w:ascii="宋体" w:hAnsi="宋体" w:cs="宋体"/>
          <w:color w:val="auto"/>
          <w:kern w:val="0"/>
          <w:sz w:val="24"/>
          <w:highlight w:val="none"/>
          <w:lang w:val="en-US" w:eastAsia="zh-CN"/>
        </w:rPr>
        <w:t>有机系统菌种更换费用、池子清理费、</w:t>
      </w:r>
      <w:r>
        <w:rPr>
          <w:rFonts w:hint="eastAsia" w:ascii="宋体" w:hAnsi="宋体" w:eastAsia="宋体" w:cs="宋体"/>
          <w:color w:val="auto"/>
          <w:kern w:val="0"/>
          <w:sz w:val="24"/>
          <w:highlight w:val="none"/>
          <w:lang w:val="en-US" w:eastAsia="zh-CN"/>
        </w:rPr>
        <w:t>车辆费用、</w:t>
      </w:r>
      <w:r>
        <w:rPr>
          <w:rFonts w:hint="eastAsia" w:ascii="宋体" w:hAnsi="宋体" w:cs="宋体"/>
          <w:color w:val="auto"/>
          <w:sz w:val="24"/>
          <w:szCs w:val="24"/>
          <w:highlight w:val="none"/>
          <w:lang w:val="en-US" w:eastAsia="zh-CN"/>
        </w:rPr>
        <w:t>污泥检测费、全区防锈工程维护费、</w:t>
      </w:r>
      <w:r>
        <w:rPr>
          <w:rFonts w:hint="eastAsia" w:ascii="宋体" w:hAnsi="宋体" w:eastAsia="宋体" w:cs="宋体"/>
          <w:color w:val="auto"/>
          <w:kern w:val="0"/>
          <w:sz w:val="24"/>
          <w:highlight w:val="none"/>
          <w:lang w:val="en-US" w:eastAsia="zh-CN"/>
        </w:rPr>
        <w:t>行政办公费、设备基础维修保养费、劳保费、管理材料费、资料收集费、专用工具费、风险费、技术服务费、培训费、行政规费、税费</w:t>
      </w:r>
      <w:r>
        <w:rPr>
          <w:rFonts w:hint="eastAsia" w:ascii="宋体" w:hAnsi="宋体" w:cs="宋体"/>
          <w:color w:val="auto"/>
          <w:kern w:val="0"/>
          <w:sz w:val="24"/>
          <w:highlight w:val="none"/>
          <w:lang w:val="en-US" w:eastAsia="zh-CN"/>
        </w:rPr>
        <w:t>、招标代理服务费</w:t>
      </w:r>
      <w:r>
        <w:rPr>
          <w:rFonts w:hint="eastAsia" w:ascii="宋体" w:hAnsi="宋体" w:eastAsia="宋体" w:cs="宋体"/>
          <w:color w:val="auto"/>
          <w:kern w:val="0"/>
          <w:sz w:val="24"/>
          <w:highlight w:val="none"/>
          <w:lang w:val="en-US" w:eastAsia="zh-CN"/>
        </w:rPr>
        <w:t>等一切费用。</w:t>
      </w:r>
    </w:p>
    <w:p w14:paraId="0BDD73D3">
      <w:pPr>
        <w:numPr>
          <w:ilvl w:val="0"/>
          <w:numId w:val="0"/>
        </w:numPr>
        <w:spacing w:line="360" w:lineRule="auto"/>
        <w:ind w:firstLine="480" w:firstLineChars="200"/>
        <w:outlineLvl w:val="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5.4.1实际付款时，遇政策变动税率调整，按调整后的税率乘以合同约定的不含税价格计算合同结算金额。</w:t>
      </w:r>
    </w:p>
    <w:p w14:paraId="5DE9018C">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5.4.2</w:t>
      </w:r>
      <w:r>
        <w:rPr>
          <w:rFonts w:hint="eastAsia" w:ascii="宋体" w:hAnsi="宋体" w:eastAsia="宋体" w:cs="宋体"/>
          <w:color w:val="auto"/>
          <w:sz w:val="24"/>
          <w:szCs w:val="24"/>
          <w:highlight w:val="none"/>
        </w:rPr>
        <w:t>投标人漏报的单价或每单价报价中漏报、少报的费用，视为此项费用已隐含在投标报价中，定标后不得再向招标人收取任何费用。</w:t>
      </w:r>
    </w:p>
    <w:p w14:paraId="5E65095B">
      <w:pPr>
        <w:pageBreakBefore w:val="0"/>
        <w:kinsoku/>
        <w:wordWrap/>
        <w:overflowPunct/>
        <w:topLinePunct w:val="0"/>
        <w:autoSpaceDE/>
        <w:autoSpaceDN/>
        <w:bidi w:val="0"/>
        <w:adjustRightInd/>
        <w:spacing w:line="360" w:lineRule="auto"/>
        <w:ind w:firstLine="480" w:firstLineChars="200"/>
        <w:rPr>
          <w:rFonts w:hint="eastAsia" w:ascii="宋体" w:hAnsi="宋体" w:cs="宋体"/>
          <w:b/>
          <w:bCs/>
          <w:color w:val="auto"/>
          <w:sz w:val="24"/>
          <w:szCs w:val="24"/>
          <w:highlight w:val="none"/>
          <w:lang w:val="en-US" w:eastAsia="zh-CN"/>
        </w:rPr>
      </w:pPr>
      <w:r>
        <w:rPr>
          <w:rFonts w:hint="eastAsia" w:asciiTheme="majorEastAsia" w:hAnsiTheme="majorEastAsia" w:eastAsiaTheme="majorEastAsia"/>
          <w:color w:val="auto"/>
          <w:sz w:val="24"/>
          <w:highlight w:val="none"/>
        </w:rPr>
        <w:t>★</w:t>
      </w:r>
      <w:r>
        <w:rPr>
          <w:rFonts w:hint="eastAsia" w:ascii="宋体" w:hAnsi="宋体" w:cs="宋体"/>
          <w:color w:val="auto"/>
          <w:sz w:val="24"/>
          <w:szCs w:val="24"/>
          <w:highlight w:val="none"/>
          <w:lang w:val="en-US" w:eastAsia="zh-CN"/>
        </w:rPr>
        <w:t>5.5</w:t>
      </w:r>
      <w:r>
        <w:rPr>
          <w:rFonts w:hint="eastAsia" w:ascii="宋体" w:hAnsi="宋体" w:cs="宋体"/>
          <w:b/>
          <w:bCs/>
          <w:color w:val="auto"/>
          <w:sz w:val="24"/>
          <w:szCs w:val="24"/>
          <w:highlight w:val="none"/>
          <w:lang w:val="en-US" w:eastAsia="zh-CN"/>
        </w:rPr>
        <w:t>投标人拟投入本项目服务的服务团队人数不得少于13人，可按管理方案自行配置人员；人员配置应自行考虑晚班、节假日人员配置。</w:t>
      </w:r>
      <w:r>
        <w:rPr>
          <w:rFonts w:hint="eastAsia" w:ascii="宋体" w:hAnsi="宋体" w:cs="宋体"/>
          <w:b/>
          <w:bCs/>
          <w:color w:val="auto"/>
          <w:sz w:val="24"/>
          <w:szCs w:val="24"/>
          <w:highlight w:val="none"/>
        </w:rPr>
        <w:t>运营阶段，</w:t>
      </w:r>
      <w:r>
        <w:rPr>
          <w:rFonts w:hint="eastAsia" w:ascii="宋体" w:hAnsi="宋体" w:cs="宋体"/>
          <w:b/>
          <w:bCs/>
          <w:color w:val="auto"/>
          <w:sz w:val="24"/>
          <w:szCs w:val="24"/>
          <w:highlight w:val="none"/>
          <w:lang w:eastAsia="zh-CN"/>
        </w:rPr>
        <w:t>招标人</w:t>
      </w:r>
      <w:r>
        <w:rPr>
          <w:rFonts w:hint="eastAsia" w:ascii="宋体" w:hAnsi="宋体" w:cs="宋体"/>
          <w:b/>
          <w:bCs/>
          <w:color w:val="auto"/>
          <w:sz w:val="24"/>
          <w:szCs w:val="24"/>
          <w:highlight w:val="none"/>
        </w:rPr>
        <w:t>有权根据废水排水量调整管理团队的人数，费用根据实际岗位及人数的报价进行支付。</w:t>
      </w:r>
      <w:r>
        <w:rPr>
          <w:rFonts w:hint="eastAsia" w:ascii="宋体" w:hAnsi="宋体" w:cs="宋体"/>
          <w:b/>
          <w:bCs/>
          <w:color w:val="auto"/>
          <w:sz w:val="24"/>
          <w:szCs w:val="24"/>
          <w:highlight w:val="none"/>
          <w:lang w:val="en-US" w:eastAsia="zh-CN"/>
        </w:rPr>
        <w:t>费用明细表中人工服务费部分报价占总价比例不得低于50%。</w:t>
      </w:r>
      <w:r>
        <w:rPr>
          <w:rFonts w:hint="eastAsia" w:ascii="宋体" w:hAnsi="宋体" w:eastAsia="宋体" w:cs="宋体"/>
          <w:b/>
          <w:bCs/>
          <w:color w:val="auto"/>
          <w:spacing w:val="16"/>
          <w:sz w:val="24"/>
          <w:highlight w:val="none"/>
          <w:lang w:val="en-US" w:eastAsia="zh-CN"/>
        </w:rPr>
        <w:t>投标人须对此作出</w:t>
      </w:r>
      <w:r>
        <w:rPr>
          <w:rFonts w:hint="eastAsia" w:ascii="宋体" w:hAnsi="宋体" w:cs="宋体"/>
          <w:b/>
          <w:bCs/>
          <w:color w:val="auto"/>
          <w:spacing w:val="16"/>
          <w:sz w:val="24"/>
          <w:highlight w:val="none"/>
          <w:lang w:val="en-US" w:eastAsia="zh-CN"/>
        </w:rPr>
        <w:t>书面承诺。</w:t>
      </w:r>
    </w:p>
    <w:p w14:paraId="1EE132F0">
      <w:pPr>
        <w:pageBreakBefore w:val="0"/>
        <w:kinsoku/>
        <w:wordWrap/>
        <w:overflowPunct/>
        <w:topLinePunct w:val="0"/>
        <w:autoSpaceDE/>
        <w:autoSpaceDN/>
        <w:bidi w:val="0"/>
        <w:adjustRightInd/>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5.6除人工运营费用外，其余产生的费用均纳入其他费用中。</w:t>
      </w:r>
    </w:p>
    <w:p w14:paraId="03910B46">
      <w:pPr>
        <w:pageBreakBefore w:val="0"/>
        <w:kinsoku/>
        <w:wordWrap/>
        <w:overflowPunct/>
        <w:topLinePunct w:val="0"/>
        <w:autoSpaceDE/>
        <w:autoSpaceDN/>
        <w:bidi w:val="0"/>
        <w:adjustRightInd/>
        <w:spacing w:line="360" w:lineRule="auto"/>
        <w:ind w:firstLine="480" w:firstLineChars="200"/>
        <w:rPr>
          <w:rFonts w:hint="default" w:ascii="宋体" w:hAnsi="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5.7</w:t>
      </w:r>
      <w:r>
        <w:rPr>
          <w:rFonts w:hint="eastAsia" w:ascii="宋体" w:hAnsi="宋体" w:cs="宋体"/>
          <w:b/>
          <w:bCs/>
          <w:color w:val="auto"/>
          <w:sz w:val="24"/>
          <w:szCs w:val="24"/>
          <w:highlight w:val="none"/>
          <w:lang w:val="en-US" w:eastAsia="zh-CN"/>
        </w:rPr>
        <w:t>此报价单含</w:t>
      </w:r>
      <w:r>
        <w:rPr>
          <w:rFonts w:hint="eastAsia" w:ascii="宋体" w:hAnsi="宋体" w:eastAsia="宋体" w:cs="宋体"/>
          <w:b/>
          <w:bCs/>
          <w:color w:val="auto"/>
          <w:kern w:val="0"/>
          <w:sz w:val="24"/>
          <w:highlight w:val="none"/>
          <w:lang w:val="en-US" w:eastAsia="zh-CN"/>
        </w:rPr>
        <w:t>环保</w:t>
      </w:r>
      <w:r>
        <w:rPr>
          <w:rFonts w:hint="eastAsia" w:ascii="宋体" w:hAnsi="宋体" w:eastAsia="宋体" w:cs="宋体"/>
          <w:b/>
          <w:bCs/>
          <w:color w:val="auto"/>
          <w:kern w:val="0"/>
          <w:sz w:val="24"/>
          <w:highlight w:val="none"/>
        </w:rPr>
        <w:t>监测</w:t>
      </w:r>
      <w:r>
        <w:rPr>
          <w:rFonts w:hint="eastAsia" w:ascii="宋体" w:hAnsi="宋体" w:eastAsia="宋体" w:cs="宋体"/>
          <w:b/>
          <w:bCs/>
          <w:color w:val="auto"/>
          <w:kern w:val="0"/>
          <w:sz w:val="24"/>
          <w:highlight w:val="none"/>
          <w:lang w:val="en-US" w:eastAsia="zh-CN"/>
        </w:rPr>
        <w:t>监管</w:t>
      </w:r>
      <w:r>
        <w:rPr>
          <w:rFonts w:hint="eastAsia" w:ascii="宋体" w:hAnsi="宋体" w:eastAsia="宋体" w:cs="宋体"/>
          <w:b/>
          <w:bCs/>
          <w:color w:val="auto"/>
          <w:kern w:val="0"/>
          <w:sz w:val="24"/>
          <w:highlight w:val="none"/>
        </w:rPr>
        <w:t>频次</w:t>
      </w:r>
      <w:r>
        <w:rPr>
          <w:rFonts w:hint="eastAsia" w:ascii="宋体" w:hAnsi="宋体" w:eastAsia="宋体" w:cs="宋体"/>
          <w:b/>
          <w:bCs/>
          <w:color w:val="auto"/>
          <w:kern w:val="0"/>
          <w:sz w:val="24"/>
          <w:highlight w:val="none"/>
          <w:lang w:val="en-US" w:eastAsia="zh-CN"/>
        </w:rPr>
        <w:t>的变动产生的相关费用</w:t>
      </w:r>
      <w:r>
        <w:rPr>
          <w:rFonts w:hint="eastAsia" w:ascii="宋体" w:hAnsi="宋体" w:cs="宋体"/>
          <w:b/>
          <w:bCs/>
          <w:color w:val="auto"/>
          <w:kern w:val="0"/>
          <w:sz w:val="24"/>
          <w:highlight w:val="none"/>
          <w:lang w:val="en-US" w:eastAsia="zh-CN"/>
        </w:rPr>
        <w:t>，不做另计。在线设备清单表详见附件。</w:t>
      </w:r>
    </w:p>
    <w:p w14:paraId="0688209C">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投标人对本项目只能有一个报价，招标人不接受有选择的报价。</w:t>
      </w:r>
    </w:p>
    <w:p w14:paraId="515B1B8A">
      <w:pPr>
        <w:pStyle w:val="4"/>
        <w:pageBreakBefore w:val="0"/>
        <w:kinsoku/>
        <w:wordWrap/>
        <w:overflowPunct/>
        <w:topLinePunct w:val="0"/>
        <w:autoSpaceDE/>
        <w:autoSpaceDN/>
        <w:bidi w:val="0"/>
        <w:adjustRightInd/>
        <w:spacing w:before="0" w:line="360" w:lineRule="auto"/>
        <w:rPr>
          <w:rFonts w:hint="eastAsia" w:ascii="宋体" w:hAnsi="宋体" w:eastAsia="宋体" w:cs="宋体"/>
          <w:color w:val="auto"/>
          <w:kern w:val="0"/>
          <w:sz w:val="24"/>
          <w:szCs w:val="24"/>
          <w:highlight w:val="none"/>
        </w:rPr>
      </w:pPr>
      <w:bookmarkStart w:id="181" w:name="_Toc44167755"/>
      <w:bookmarkStart w:id="182" w:name="_Toc27205"/>
      <w:bookmarkStart w:id="183" w:name="_Toc19548"/>
      <w:bookmarkStart w:id="184" w:name="_Toc8124"/>
      <w:bookmarkStart w:id="185" w:name="_Toc138251561"/>
      <w:bookmarkStart w:id="186" w:name="_Toc6056"/>
      <w:r>
        <w:rPr>
          <w:rFonts w:hint="eastAsia" w:ascii="宋体" w:hAnsi="宋体" w:eastAsia="宋体" w:cs="宋体"/>
          <w:color w:val="auto"/>
          <w:kern w:val="0"/>
          <w:sz w:val="24"/>
          <w:szCs w:val="24"/>
          <w:highlight w:val="none"/>
        </w:rPr>
        <w:t>6.</w:t>
      </w:r>
      <w:bookmarkEnd w:id="181"/>
      <w:r>
        <w:rPr>
          <w:rFonts w:hint="eastAsia" w:ascii="宋体" w:hAnsi="宋体" w:eastAsia="宋体" w:cs="宋体"/>
          <w:color w:val="auto"/>
          <w:kern w:val="0"/>
          <w:sz w:val="24"/>
          <w:szCs w:val="24"/>
          <w:highlight w:val="none"/>
        </w:rPr>
        <w:t>合同签订</w:t>
      </w:r>
      <w:bookmarkEnd w:id="182"/>
      <w:bookmarkEnd w:id="183"/>
      <w:bookmarkEnd w:id="184"/>
      <w:bookmarkEnd w:id="185"/>
      <w:bookmarkEnd w:id="186"/>
    </w:p>
    <w:p w14:paraId="25C89DC1">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中标人接到《中标通知书》后两个工作日内，持《中标通知书》与招标人联系合同签订等相关事宜，招标文件、中标人的投标文件均作为合同订立的基础。签订合同后一个工作日内中标人应将合同副本（一份）送招标代理机构备案。</w:t>
      </w:r>
    </w:p>
    <w:p w14:paraId="7B56F17C">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6.2.中标人如未在规定时间内签订合同的，视为自动放弃中标资格，投标保证金将不予退还，且应承担因违约造成的招标人的损失。</w:t>
      </w:r>
    </w:p>
    <w:p w14:paraId="16066336">
      <w:pPr>
        <w:pStyle w:val="4"/>
        <w:pageBreakBefore w:val="0"/>
        <w:kinsoku/>
        <w:wordWrap/>
        <w:overflowPunct/>
        <w:topLinePunct w:val="0"/>
        <w:autoSpaceDE/>
        <w:autoSpaceDN/>
        <w:bidi w:val="0"/>
        <w:adjustRightInd/>
        <w:spacing w:before="0" w:line="360" w:lineRule="auto"/>
        <w:rPr>
          <w:rFonts w:hint="eastAsia" w:ascii="宋体" w:hAnsi="宋体" w:eastAsia="宋体" w:cs="宋体"/>
          <w:color w:val="auto"/>
          <w:kern w:val="0"/>
          <w:sz w:val="24"/>
          <w:szCs w:val="24"/>
          <w:highlight w:val="none"/>
        </w:rPr>
      </w:pPr>
      <w:bookmarkStart w:id="187" w:name="_Toc11434"/>
      <w:bookmarkStart w:id="188" w:name="_Toc28551"/>
      <w:bookmarkStart w:id="189" w:name="_Toc32170"/>
      <w:bookmarkStart w:id="190" w:name="_Toc138251562"/>
      <w:bookmarkStart w:id="191" w:name="_Toc32599"/>
      <w:r>
        <w:rPr>
          <w:rFonts w:hint="eastAsia" w:ascii="宋体" w:hAnsi="宋体" w:eastAsia="宋体" w:cs="宋体"/>
          <w:color w:val="auto"/>
          <w:kern w:val="0"/>
          <w:sz w:val="24"/>
          <w:szCs w:val="24"/>
          <w:highlight w:val="none"/>
        </w:rPr>
        <w:t>7.违约责任处罚办法</w:t>
      </w:r>
      <w:bookmarkEnd w:id="187"/>
      <w:bookmarkEnd w:id="188"/>
      <w:bookmarkEnd w:id="189"/>
      <w:bookmarkEnd w:id="190"/>
      <w:bookmarkEnd w:id="191"/>
    </w:p>
    <w:p w14:paraId="1F37E87C">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7.1中标人应按照合同要求进行</w:t>
      </w:r>
      <w:r>
        <w:rPr>
          <w:rFonts w:hint="eastAsia" w:ascii="宋体" w:hAnsi="宋体" w:cs="宋体"/>
          <w:color w:val="auto"/>
          <w:sz w:val="24"/>
          <w:szCs w:val="24"/>
          <w:highlight w:val="none"/>
          <w:lang w:val="en-US" w:eastAsia="zh-CN"/>
        </w:rPr>
        <w:t>运营及</w:t>
      </w:r>
      <w:r>
        <w:rPr>
          <w:rFonts w:hint="eastAsia" w:ascii="宋体" w:hAnsi="宋体" w:eastAsia="宋体" w:cs="宋体"/>
          <w:color w:val="auto"/>
          <w:sz w:val="24"/>
          <w:szCs w:val="24"/>
          <w:highlight w:val="none"/>
        </w:rPr>
        <w:t>日常养护，招标人将定期对项目的</w:t>
      </w:r>
      <w:r>
        <w:rPr>
          <w:rFonts w:hint="eastAsia" w:ascii="宋体" w:hAnsi="宋体" w:cs="宋体"/>
          <w:color w:val="auto"/>
          <w:sz w:val="24"/>
          <w:szCs w:val="24"/>
          <w:highlight w:val="none"/>
          <w:lang w:val="en-US" w:eastAsia="zh-CN"/>
        </w:rPr>
        <w:t>运营、</w:t>
      </w:r>
      <w:r>
        <w:rPr>
          <w:rFonts w:hint="eastAsia" w:ascii="宋体" w:hAnsi="宋体" w:eastAsia="宋体" w:cs="宋体"/>
          <w:color w:val="auto"/>
          <w:sz w:val="24"/>
          <w:szCs w:val="24"/>
          <w:highlight w:val="none"/>
        </w:rPr>
        <w:t>维保情况进行考核、抽查，并将结果告知中标人；如发现某站点运维达不到要求，中标人必须在3个日历日内（气候条件满足维修作业的前提下）整改合格。</w:t>
      </w:r>
    </w:p>
    <w:p w14:paraId="0D064AF1">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7.2中标人应严格按投标文件、及相关承诺</w:t>
      </w:r>
      <w:r>
        <w:rPr>
          <w:rFonts w:hint="eastAsia" w:ascii="宋体" w:hAnsi="宋体" w:cs="宋体"/>
          <w:color w:val="auto"/>
          <w:sz w:val="24"/>
          <w:szCs w:val="24"/>
          <w:highlight w:val="none"/>
          <w:lang w:val="en-US" w:eastAsia="zh-CN"/>
        </w:rPr>
        <w:t>开展服务</w:t>
      </w:r>
      <w:r>
        <w:rPr>
          <w:rFonts w:hint="eastAsia" w:ascii="宋体" w:hAnsi="宋体" w:eastAsia="宋体" w:cs="宋体"/>
          <w:color w:val="auto"/>
          <w:sz w:val="24"/>
          <w:szCs w:val="24"/>
          <w:highlight w:val="none"/>
        </w:rPr>
        <w:t>，如有以下情况中的任何一种情况发生，将视为中标人违约，招标人有权终止合同，并没收履约保证金，另行委托相关单位进行维保服务：</w:t>
      </w:r>
    </w:p>
    <w:p w14:paraId="1182115E">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①合同期内出现三次不按时整改的情况（如出水水质经招标人检测不合格）。</w:t>
      </w:r>
    </w:p>
    <w:p w14:paraId="50041FE2">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②中标人未经招标人同意擅自更换投标文件承诺配备的项目班子成员的。</w:t>
      </w:r>
    </w:p>
    <w:p w14:paraId="5F4BC18E">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③中标人擅自将项目转包、分包的。</w:t>
      </w:r>
    </w:p>
    <w:p w14:paraId="74C48D75">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④中标人在</w:t>
      </w: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rPr>
        <w:t>过程中维</w:t>
      </w:r>
      <w:r>
        <w:rPr>
          <w:rFonts w:hint="eastAsia" w:ascii="宋体" w:hAnsi="宋体" w:cs="宋体"/>
          <w:color w:val="auto"/>
          <w:sz w:val="24"/>
          <w:szCs w:val="24"/>
          <w:highlight w:val="none"/>
          <w:lang w:val="en-US" w:eastAsia="zh-CN"/>
        </w:rPr>
        <w:t>保</w:t>
      </w:r>
      <w:r>
        <w:rPr>
          <w:rFonts w:hint="eastAsia" w:ascii="宋体" w:hAnsi="宋体" w:eastAsia="宋体" w:cs="宋体"/>
          <w:color w:val="auto"/>
          <w:sz w:val="24"/>
          <w:szCs w:val="24"/>
          <w:highlight w:val="none"/>
        </w:rPr>
        <w:t>质量明显无法达到合格标准，无正当理由而又拒绝整改的，或中标人在</w:t>
      </w:r>
      <w:r>
        <w:rPr>
          <w:rFonts w:hint="eastAsia" w:ascii="宋体" w:hAnsi="宋体" w:cs="宋体"/>
          <w:color w:val="auto"/>
          <w:sz w:val="24"/>
          <w:szCs w:val="24"/>
          <w:highlight w:val="none"/>
          <w:lang w:val="en-US" w:eastAsia="zh-CN"/>
        </w:rPr>
        <w:t>运营服务</w:t>
      </w:r>
      <w:r>
        <w:rPr>
          <w:rFonts w:hint="eastAsia" w:ascii="宋体" w:hAnsi="宋体" w:eastAsia="宋体" w:cs="宋体"/>
          <w:color w:val="auto"/>
          <w:sz w:val="24"/>
          <w:szCs w:val="24"/>
          <w:highlight w:val="none"/>
        </w:rPr>
        <w:t>过程中，发生重大质量、安全事故</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环保事故</w:t>
      </w:r>
      <w:r>
        <w:rPr>
          <w:rFonts w:hint="eastAsia" w:ascii="宋体" w:hAnsi="宋体" w:eastAsia="宋体" w:cs="宋体"/>
          <w:color w:val="auto"/>
          <w:sz w:val="24"/>
          <w:szCs w:val="24"/>
          <w:highlight w:val="none"/>
        </w:rPr>
        <w:t>，造成不良影响的。</w:t>
      </w:r>
    </w:p>
    <w:p w14:paraId="5E1657FC">
      <w:pPr>
        <w:pageBreakBefore w:val="0"/>
        <w:kinsoku/>
        <w:wordWrap/>
        <w:overflowPunct/>
        <w:topLinePunct w:val="0"/>
        <w:autoSpaceDE/>
        <w:autoSpaceDN/>
        <w:bidi w:val="0"/>
        <w:adjustRightInd/>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⑤由于中标人违约导致合同无法履行或合同终止的。</w:t>
      </w:r>
    </w:p>
    <w:p w14:paraId="049E45AC">
      <w:pPr>
        <w:pStyle w:val="20"/>
        <w:numPr>
          <w:ilvl w:val="0"/>
          <w:numId w:val="0"/>
        </w:numPr>
        <w:spacing w:line="360" w:lineRule="auto"/>
        <w:ind w:firstLine="482" w:firstLineChars="200"/>
        <w:rPr>
          <w:rFonts w:hint="eastAsia" w:ascii="宋体" w:hAnsi="宋体" w:eastAsia="宋体" w:cs="宋体"/>
          <w:color w:val="auto"/>
          <w:sz w:val="24"/>
          <w:szCs w:val="24"/>
          <w:highlight w:val="none"/>
        </w:rPr>
      </w:pPr>
      <w:r>
        <w:rPr>
          <w:rFonts w:hint="eastAsia" w:asciiTheme="minorEastAsia" w:hAnsiTheme="minorEastAsia" w:eastAsiaTheme="minorEastAsia"/>
          <w:b/>
          <w:bCs/>
          <w:color w:val="auto"/>
          <w:sz w:val="24"/>
          <w:highlight w:val="none"/>
        </w:rPr>
        <w:t>★</w:t>
      </w:r>
      <w:r>
        <w:rPr>
          <w:rFonts w:hint="eastAsia" w:ascii="宋体" w:hAnsi="宋体" w:cstheme="minorBidi"/>
          <w:b/>
          <w:bCs/>
          <w:color w:val="auto"/>
          <w:kern w:val="2"/>
          <w:sz w:val="24"/>
          <w:szCs w:val="24"/>
          <w:highlight w:val="none"/>
          <w:lang w:val="en-US" w:eastAsia="zh-CN" w:bidi="ar-SA"/>
        </w:rPr>
        <w:t>7.3</w:t>
      </w:r>
      <w:r>
        <w:rPr>
          <w:rFonts w:hint="eastAsia" w:ascii="宋体" w:hAnsi="宋体"/>
          <w:b/>
          <w:bCs/>
          <w:color w:val="auto"/>
          <w:sz w:val="24"/>
          <w:highlight w:val="none"/>
        </w:rPr>
        <w:t>投标人所投</w:t>
      </w:r>
      <w:r>
        <w:rPr>
          <w:rFonts w:hint="eastAsia" w:ascii="宋体" w:hAnsi="宋体"/>
          <w:b/>
          <w:bCs/>
          <w:color w:val="auto"/>
          <w:sz w:val="24"/>
          <w:highlight w:val="none"/>
          <w:lang w:val="en-US" w:eastAsia="zh-CN"/>
        </w:rPr>
        <w:t>废水站系统运营</w:t>
      </w:r>
      <w:r>
        <w:rPr>
          <w:rFonts w:hint="eastAsia" w:ascii="宋体" w:hAnsi="宋体"/>
          <w:b/>
          <w:bCs/>
          <w:color w:val="auto"/>
          <w:sz w:val="24"/>
          <w:highlight w:val="none"/>
        </w:rPr>
        <w:t>必须由投标人负责运营,禁止投标人中标后将系统</w:t>
      </w:r>
      <w:r>
        <w:rPr>
          <w:rFonts w:hint="eastAsia"/>
          <w:b/>
          <w:bCs/>
          <w:color w:val="auto"/>
          <w:highlight w:val="none"/>
        </w:rPr>
        <w:t>运营</w:t>
      </w:r>
      <w:r>
        <w:rPr>
          <w:rFonts w:hint="eastAsia" w:ascii="宋体" w:hAnsi="宋体"/>
          <w:b/>
          <w:bCs/>
          <w:color w:val="auto"/>
          <w:sz w:val="24"/>
          <w:highlight w:val="none"/>
        </w:rPr>
        <w:t>转包给第三人或者将其承包的全部</w:t>
      </w:r>
      <w:r>
        <w:rPr>
          <w:rFonts w:hint="eastAsia" w:ascii="宋体" w:hAnsi="宋体"/>
          <w:b/>
          <w:bCs/>
          <w:color w:val="auto"/>
          <w:sz w:val="24"/>
          <w:highlight w:val="none"/>
          <w:lang w:val="en-US" w:eastAsia="zh-CN"/>
        </w:rPr>
        <w:t>服务</w:t>
      </w:r>
      <w:r>
        <w:rPr>
          <w:rFonts w:hint="eastAsia" w:ascii="宋体" w:hAnsi="宋体"/>
          <w:b/>
          <w:bCs/>
          <w:color w:val="auto"/>
          <w:sz w:val="24"/>
          <w:highlight w:val="none"/>
        </w:rPr>
        <w:t>肢解后以分包的名义分别转包给第三人，否则，该转包无效，</w:t>
      </w:r>
      <w:r>
        <w:rPr>
          <w:rFonts w:hint="eastAsia" w:ascii="宋体" w:hAnsi="宋体"/>
          <w:b/>
          <w:bCs/>
          <w:color w:val="auto"/>
          <w:sz w:val="24"/>
          <w:highlight w:val="none"/>
          <w:lang w:eastAsia="zh-CN"/>
        </w:rPr>
        <w:t>招标人</w:t>
      </w:r>
      <w:r>
        <w:rPr>
          <w:rFonts w:hint="eastAsia" w:ascii="宋体" w:hAnsi="宋体"/>
          <w:b/>
          <w:bCs/>
          <w:color w:val="auto"/>
          <w:sz w:val="24"/>
          <w:highlight w:val="none"/>
        </w:rPr>
        <w:t>有权立即解除合同，中标单位应同时向</w:t>
      </w:r>
      <w:r>
        <w:rPr>
          <w:rFonts w:hint="eastAsia" w:ascii="宋体" w:hAnsi="宋体"/>
          <w:b/>
          <w:bCs/>
          <w:color w:val="auto"/>
          <w:sz w:val="24"/>
          <w:highlight w:val="none"/>
          <w:lang w:eastAsia="zh-CN"/>
        </w:rPr>
        <w:t>招标人</w:t>
      </w:r>
      <w:r>
        <w:rPr>
          <w:rFonts w:hint="eastAsia" w:ascii="宋体" w:hAnsi="宋体"/>
          <w:b/>
          <w:bCs/>
          <w:color w:val="auto"/>
          <w:sz w:val="24"/>
          <w:highlight w:val="none"/>
        </w:rPr>
        <w:t>支付违约金，违约金金额为本项目合同金额；</w:t>
      </w:r>
      <w:r>
        <w:rPr>
          <w:rFonts w:hint="eastAsia" w:ascii="宋体" w:hAnsi="宋体"/>
          <w:b/>
          <w:bCs/>
          <w:color w:val="auto"/>
          <w:sz w:val="24"/>
          <w:highlight w:val="none"/>
          <w:lang w:val="en-US" w:eastAsia="zh-CN"/>
        </w:rPr>
        <w:t>中标人中标后</w:t>
      </w:r>
      <w:r>
        <w:rPr>
          <w:rFonts w:hint="eastAsia" w:ascii="宋体" w:hAnsi="宋体"/>
          <w:b/>
          <w:bCs/>
          <w:color w:val="auto"/>
          <w:sz w:val="24"/>
          <w:highlight w:val="none"/>
        </w:rPr>
        <w:t>未经招标</w:t>
      </w:r>
      <w:r>
        <w:rPr>
          <w:rFonts w:hint="eastAsia" w:ascii="宋体" w:hAnsi="宋体"/>
          <w:b/>
          <w:bCs/>
          <w:color w:val="auto"/>
          <w:sz w:val="24"/>
          <w:highlight w:val="none"/>
          <w:lang w:val="en-US" w:eastAsia="zh-CN"/>
        </w:rPr>
        <w:t>人</w:t>
      </w:r>
      <w:r>
        <w:rPr>
          <w:rFonts w:hint="eastAsia" w:ascii="宋体" w:hAnsi="宋体"/>
          <w:b/>
          <w:bCs/>
          <w:color w:val="auto"/>
          <w:sz w:val="24"/>
          <w:highlight w:val="none"/>
        </w:rPr>
        <w:t>事先书面同意，中标</w:t>
      </w:r>
      <w:r>
        <w:rPr>
          <w:rFonts w:hint="eastAsia" w:ascii="宋体" w:hAnsi="宋体"/>
          <w:b/>
          <w:bCs/>
          <w:color w:val="auto"/>
          <w:sz w:val="24"/>
          <w:highlight w:val="none"/>
          <w:lang w:val="en-US" w:eastAsia="zh-CN"/>
        </w:rPr>
        <w:t>人</w:t>
      </w:r>
      <w:r>
        <w:rPr>
          <w:rFonts w:hint="eastAsia" w:ascii="宋体" w:hAnsi="宋体"/>
          <w:b/>
          <w:bCs/>
          <w:color w:val="auto"/>
          <w:sz w:val="24"/>
          <w:highlight w:val="none"/>
        </w:rPr>
        <w:t>不得分包，如有违反，该分包行为无效，中标单位应向招标单位支付违约金，违约金金额为分包部分的总金额，或本项目合同总金额的20%（以较高者为准）。投标人须对此作出</w:t>
      </w:r>
      <w:r>
        <w:rPr>
          <w:rFonts w:hint="eastAsia" w:ascii="宋体" w:hAnsi="宋体" w:cs="宋体"/>
          <w:b/>
          <w:bCs w:val="0"/>
          <w:color w:val="auto"/>
          <w:spacing w:val="16"/>
          <w:sz w:val="24"/>
          <w:highlight w:val="none"/>
          <w:lang w:val="en-US" w:eastAsia="zh-CN"/>
        </w:rPr>
        <w:t>书面承诺</w:t>
      </w:r>
      <w:r>
        <w:rPr>
          <w:rFonts w:hint="eastAsia" w:ascii="宋体" w:hAnsi="宋体"/>
          <w:b/>
          <w:bCs/>
          <w:color w:val="auto"/>
          <w:sz w:val="24"/>
          <w:highlight w:val="none"/>
        </w:rPr>
        <w:t>。</w:t>
      </w:r>
    </w:p>
    <w:p w14:paraId="0F36C7DC">
      <w:pPr>
        <w:pStyle w:val="3"/>
        <w:pageBreakBefore w:val="0"/>
        <w:kinsoku/>
        <w:wordWrap/>
        <w:overflowPunct/>
        <w:topLinePunct w:val="0"/>
        <w:autoSpaceDE/>
        <w:autoSpaceDN/>
        <w:bidi w:val="0"/>
        <w:adjustRightInd/>
        <w:spacing w:before="0" w:after="0" w:line="360" w:lineRule="auto"/>
        <w:ind w:left="0" w:leftChars="0" w:firstLine="0" w:firstLineChars="0"/>
        <w:jc w:val="both"/>
        <w:rPr>
          <w:rFonts w:hint="eastAsia" w:ascii="宋体" w:hAnsi="宋体" w:eastAsia="宋体" w:cs="宋体"/>
          <w:bCs/>
          <w:color w:val="auto"/>
          <w:sz w:val="24"/>
          <w:szCs w:val="24"/>
          <w:highlight w:val="none"/>
        </w:rPr>
      </w:pPr>
      <w:bookmarkStart w:id="192" w:name="_Toc138251563"/>
      <w:bookmarkStart w:id="193" w:name="_Toc44167757"/>
      <w:bookmarkStart w:id="194" w:name="_Toc1533"/>
      <w:bookmarkStart w:id="195" w:name="_Toc15575"/>
      <w:r>
        <w:rPr>
          <w:rFonts w:hint="eastAsia" w:ascii="宋体" w:hAnsi="宋体" w:cs="宋体"/>
          <w:bCs/>
          <w:color w:val="auto"/>
          <w:sz w:val="24"/>
          <w:szCs w:val="24"/>
          <w:highlight w:val="none"/>
          <w:lang w:val="en-US" w:eastAsia="zh-CN"/>
        </w:rPr>
        <w:t>六</w:t>
      </w:r>
      <w:r>
        <w:rPr>
          <w:rFonts w:hint="eastAsia" w:ascii="宋体" w:hAnsi="宋体" w:eastAsia="宋体" w:cs="宋体"/>
          <w:bCs/>
          <w:color w:val="auto"/>
          <w:sz w:val="24"/>
          <w:szCs w:val="24"/>
          <w:highlight w:val="none"/>
        </w:rPr>
        <w:t>、其他事项</w:t>
      </w:r>
      <w:bookmarkEnd w:id="192"/>
      <w:bookmarkEnd w:id="193"/>
      <w:bookmarkEnd w:id="194"/>
      <w:bookmarkEnd w:id="195"/>
    </w:p>
    <w:p w14:paraId="5ECE7B8E">
      <w:pPr>
        <w:pStyle w:val="50"/>
        <w:spacing w:after="0" w:line="360" w:lineRule="auto"/>
        <w:ind w:left="0" w:leftChars="0" w:firstLine="480"/>
        <w:rPr>
          <w:rFonts w:ascii="宋体" w:hAnsi="宋体" w:eastAsia="宋体" w:cs="宋体"/>
          <w:color w:val="auto"/>
          <w:sz w:val="24"/>
          <w:szCs w:val="24"/>
          <w:highlight w:val="none"/>
        </w:rPr>
      </w:pPr>
      <w:bookmarkStart w:id="196" w:name="_Toc12768"/>
      <w:r>
        <w:rPr>
          <w:rFonts w:hint="eastAsia" w:ascii="宋体" w:hAnsi="宋体" w:cs="宋体"/>
          <w:color w:val="auto"/>
          <w:sz w:val="24"/>
          <w:szCs w:val="24"/>
          <w:highlight w:val="none"/>
          <w:lang w:val="en-US" w:eastAsia="zh-CN"/>
        </w:rPr>
        <w:t>1.</w:t>
      </w:r>
      <w:r>
        <w:rPr>
          <w:rFonts w:ascii="宋体" w:hAnsi="宋体" w:eastAsia="宋体" w:cs="宋体"/>
          <w:color w:val="auto"/>
          <w:sz w:val="24"/>
          <w:szCs w:val="24"/>
          <w:highlight w:val="none"/>
        </w:rPr>
        <w:t>除</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w:t>
      </w:r>
      <w:r>
        <w:rPr>
          <w:rFonts w:ascii="宋体" w:hAnsi="宋体" w:eastAsia="宋体" w:cs="宋体"/>
          <w:color w:val="auto"/>
          <w:sz w:val="24"/>
          <w:szCs w:val="24"/>
          <w:highlight w:val="none"/>
        </w:rPr>
        <w:t>另有规定外，若出现有关法律、法规和规章有强制性规定但</w:t>
      </w:r>
      <w:r>
        <w:rPr>
          <w:rFonts w:hint="eastAsia" w:ascii="宋体" w:hAnsi="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w:t>
      </w:r>
      <w:r>
        <w:rPr>
          <w:rFonts w:ascii="宋体" w:hAnsi="宋体" w:eastAsia="宋体" w:cs="宋体"/>
          <w:color w:val="auto"/>
          <w:sz w:val="24"/>
          <w:szCs w:val="24"/>
          <w:highlight w:val="none"/>
        </w:rPr>
        <w:t>未列明的情形，则</w:t>
      </w:r>
      <w:r>
        <w:rPr>
          <w:rFonts w:hint="eastAsia" w:ascii="宋体" w:hAnsi="宋体" w:cs="宋体"/>
          <w:color w:val="auto"/>
          <w:sz w:val="24"/>
          <w:szCs w:val="24"/>
          <w:highlight w:val="none"/>
          <w:lang w:val="en-US" w:eastAsia="zh-CN"/>
        </w:rPr>
        <w:t>投标人</w:t>
      </w:r>
      <w:r>
        <w:rPr>
          <w:rFonts w:ascii="宋体" w:hAnsi="宋体" w:eastAsia="宋体" w:cs="宋体"/>
          <w:color w:val="auto"/>
          <w:sz w:val="24"/>
          <w:szCs w:val="24"/>
          <w:highlight w:val="none"/>
        </w:rPr>
        <w:t>应按照有关法律、法规和规章强制性规定执行。</w:t>
      </w:r>
    </w:p>
    <w:p w14:paraId="77A98DF6">
      <w:pPr>
        <w:pStyle w:val="50"/>
        <w:spacing w:after="0" w:line="360" w:lineRule="auto"/>
        <w:ind w:left="0" w:leftChars="0" w:firstLine="480"/>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ascii="宋体" w:hAnsi="宋体" w:eastAsia="宋体" w:cs="宋体"/>
          <w:color w:val="auto"/>
          <w:sz w:val="24"/>
          <w:szCs w:val="24"/>
          <w:highlight w:val="none"/>
        </w:rPr>
        <w:t>未尽事宜，由双方协商解决。</w:t>
      </w:r>
    </w:p>
    <w:p w14:paraId="68D1BBB2">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r>
        <w:rPr>
          <w:rFonts w:hint="eastAsia" w:asciiTheme="majorEastAsia" w:hAnsiTheme="majorEastAsia" w:eastAsiaTheme="majorEastAsia"/>
          <w:color w:val="auto"/>
          <w:sz w:val="28"/>
          <w:szCs w:val="28"/>
          <w:highlight w:val="none"/>
        </w:rPr>
        <w:t>第四章  采购合同参考文本</w:t>
      </w:r>
      <w:bookmarkEnd w:id="150"/>
      <w:bookmarkEnd w:id="196"/>
    </w:p>
    <w:tbl>
      <w:tblPr>
        <w:tblStyle w:val="51"/>
        <w:tblW w:w="93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4"/>
      </w:tblGrid>
      <w:tr w14:paraId="560E8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384" w:type="dxa"/>
          </w:tcPr>
          <w:p w14:paraId="3A5BAC71">
            <w:pPr>
              <w:spacing w:line="360" w:lineRule="auto"/>
              <w:ind w:left="10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注释：</w:t>
            </w:r>
          </w:p>
          <w:p w14:paraId="7EB8818A">
            <w:pPr>
              <w:spacing w:line="360" w:lineRule="auto"/>
              <w:ind w:firstLine="480" w:firstLineChars="200"/>
              <w:rPr>
                <w:rFonts w:asciiTheme="majorEastAsia" w:hAnsiTheme="majorEastAsia" w:eastAsiaTheme="majorEastAsia"/>
                <w:b/>
                <w:color w:val="auto"/>
                <w:spacing w:val="20"/>
                <w:sz w:val="24"/>
                <w:highlight w:val="none"/>
              </w:rPr>
            </w:pPr>
            <w:r>
              <w:rPr>
                <w:rFonts w:hint="eastAsia" w:asciiTheme="majorEastAsia" w:hAnsiTheme="majorEastAsia" w:eastAsiaTheme="majorEastAsia"/>
                <w:color w:val="auto"/>
                <w:sz w:val="24"/>
                <w:highlight w:val="none"/>
              </w:rPr>
              <w:t>《</w:t>
            </w:r>
            <w:r>
              <w:rPr>
                <w:rFonts w:hint="eastAsia" w:asciiTheme="majorEastAsia" w:hAnsiTheme="majorEastAsia" w:eastAsiaTheme="majorEastAsia"/>
                <w:bCs/>
                <w:color w:val="auto"/>
                <w:sz w:val="24"/>
                <w:highlight w:val="none"/>
              </w:rPr>
              <w:t>采购合同格式</w:t>
            </w:r>
            <w:r>
              <w:rPr>
                <w:rFonts w:hint="eastAsia" w:asciiTheme="majorEastAsia" w:hAnsiTheme="majorEastAsia" w:eastAsiaTheme="majorEastAsia"/>
                <w:color w:val="auto"/>
                <w:sz w:val="24"/>
                <w:highlight w:val="none"/>
              </w:rPr>
              <w:t>》，本格式条款仅作为双方签订合同的参考，为阐明各方的权利和义务，经协商可增加新的条款。但不得与招标文件、投标文件的实质性内容相背离。</w:t>
            </w:r>
          </w:p>
        </w:tc>
      </w:tr>
    </w:tbl>
    <w:p w14:paraId="3016A4BC">
      <w:pPr>
        <w:spacing w:line="360" w:lineRule="auto"/>
        <w:rPr>
          <w:rFonts w:hint="eastAsia" w:ascii="宋体" w:hAnsi="宋体" w:cs="宋体"/>
          <w:color w:val="auto"/>
          <w:sz w:val="24"/>
          <w:highlight w:val="none"/>
        </w:rPr>
      </w:pPr>
    </w:p>
    <w:p w14:paraId="3B7B70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甲方（招标人）：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签订地点：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594B3FE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lang w:eastAsia="zh-CN"/>
        </w:rPr>
        <w:t>投标人</w:t>
      </w:r>
      <w:r>
        <w:rPr>
          <w:rFonts w:hint="eastAsia" w:ascii="宋体" w:hAnsi="宋体" w:cs="宋体"/>
          <w:color w:val="auto"/>
          <w:sz w:val="24"/>
          <w:highlight w:val="none"/>
        </w:rPr>
        <w:t>（中标人）：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 xml:space="preserve">签订日期： </w:t>
      </w:r>
      <w:r>
        <w:rPr>
          <w:rFonts w:hint="eastAsia" w:ascii="宋体" w:hAnsi="宋体" w:cs="宋体"/>
          <w:color w:val="auto"/>
          <w:sz w:val="24"/>
          <w:highlight w:val="none"/>
          <w:u w:val="single"/>
        </w:rPr>
        <w:t xml:space="preserve">     年   月   日</w:t>
      </w:r>
    </w:p>
    <w:p w14:paraId="12AF20E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03F0C5E6">
      <w:pPr>
        <w:keepNext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auto"/>
          <w:kern w:val="0"/>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rPr>
        <w:t>甲方：（</w:t>
      </w:r>
      <w:r>
        <w:rPr>
          <w:rFonts w:hint="eastAsia" w:ascii="宋体" w:hAnsi="宋体" w:cs="宋体"/>
          <w:color w:val="auto"/>
          <w:kern w:val="0"/>
          <w:sz w:val="24"/>
          <w:highlight w:val="none"/>
          <w:lang w:eastAsia="zh-CN"/>
        </w:rPr>
        <w:t>招标人</w:t>
      </w:r>
      <w:r>
        <w:rPr>
          <w:rFonts w:hint="eastAsia" w:ascii="宋体" w:hAnsi="宋体" w:cs="宋体"/>
          <w:color w:val="auto"/>
          <w:kern w:val="0"/>
          <w:sz w:val="24"/>
          <w:highlight w:val="none"/>
        </w:rPr>
        <w:t>全称）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p>
    <w:p w14:paraId="39507DDA">
      <w:pPr>
        <w:keepNext w:val="0"/>
        <w:widowControl/>
        <w:kinsoku/>
        <w:wordWrap/>
        <w:overflowPunct/>
        <w:topLinePunct w:val="0"/>
        <w:autoSpaceDE/>
        <w:autoSpaceDN/>
        <w:bidi w:val="0"/>
        <w:adjustRightInd/>
        <w:snapToGrid/>
        <w:spacing w:line="360" w:lineRule="auto"/>
        <w:ind w:firstLine="480"/>
        <w:jc w:val="lef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乙方：（</w:t>
      </w:r>
      <w:r>
        <w:rPr>
          <w:rFonts w:hint="eastAsia" w:ascii="宋体" w:hAnsi="宋体" w:cs="宋体"/>
          <w:color w:val="auto"/>
          <w:kern w:val="0"/>
          <w:sz w:val="24"/>
          <w:highlight w:val="none"/>
          <w:lang w:val="en-US" w:eastAsia="zh-CN"/>
        </w:rPr>
        <w:t>中标供应商</w:t>
      </w:r>
      <w:r>
        <w:rPr>
          <w:rFonts w:hint="eastAsia" w:ascii="宋体" w:hAnsi="宋体" w:cs="宋体"/>
          <w:color w:val="auto"/>
          <w:kern w:val="0"/>
          <w:sz w:val="24"/>
          <w:highlight w:val="none"/>
        </w:rPr>
        <w:t>全称）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p>
    <w:p w14:paraId="290A1084">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根据采购编号为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 的</w:t>
      </w:r>
      <w:r>
        <w:rPr>
          <w:rFonts w:hint="eastAsia" w:ascii="宋体" w:hAnsi="宋体" w:cs="宋体"/>
          <w:color w:val="auto"/>
          <w:kern w:val="0"/>
          <w:sz w:val="24"/>
          <w:highlight w:val="none"/>
          <w:u w:val="single"/>
        </w:rPr>
        <w:t xml:space="preserve">  海沧半导体产业基地项目废水站系统运营服务采购合同  </w:t>
      </w:r>
      <w:r>
        <w:rPr>
          <w:rFonts w:hint="eastAsia" w:ascii="宋体" w:hAnsi="宋体" w:cs="宋体"/>
          <w:color w:val="auto"/>
          <w:kern w:val="0"/>
          <w:sz w:val="24"/>
          <w:highlight w:val="none"/>
        </w:rPr>
        <w:t>（填写“项目名称”）项目（以下简称：“本项目”）的采购结果，乙方为成交供应商。现经甲乙双方友好协商，就以下事项达成一致并签订本合同：</w:t>
      </w:r>
    </w:p>
    <w:p w14:paraId="0858D2C5">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1.下列合同文件是构成本合同不可分割的部分：</w:t>
      </w:r>
    </w:p>
    <w:p w14:paraId="15416FBB">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1.1合同条款</w:t>
      </w:r>
      <w:r>
        <w:rPr>
          <w:rFonts w:hint="eastAsia" w:ascii="宋体" w:hAnsi="宋体" w:cs="宋体"/>
          <w:color w:val="auto"/>
          <w:kern w:val="0"/>
          <w:sz w:val="24"/>
          <w:highlight w:val="none"/>
          <w:lang w:val="en-US" w:eastAsia="zh-CN"/>
        </w:rPr>
        <w:t>及附件</w:t>
      </w:r>
      <w:r>
        <w:rPr>
          <w:rFonts w:hint="eastAsia" w:ascii="宋体" w:hAnsi="宋体" w:cs="宋体"/>
          <w:color w:val="auto"/>
          <w:kern w:val="0"/>
          <w:sz w:val="24"/>
          <w:highlight w:val="none"/>
        </w:rPr>
        <w:t>；</w:t>
      </w:r>
    </w:p>
    <w:p w14:paraId="5B3C2ADB">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1.2采购文件、乙方的响应文件；</w:t>
      </w:r>
    </w:p>
    <w:p w14:paraId="59756AD4">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1.3其他文件或材料：□无。☑（根据实际情况填写需要增加的内容）。</w:t>
      </w:r>
    </w:p>
    <w:p w14:paraId="50DA2496">
      <w:pPr>
        <w:spacing w:line="360" w:lineRule="auto"/>
        <w:ind w:firstLine="454" w:firstLineChars="200"/>
        <w:outlineLvl w:val="0"/>
        <w:rPr>
          <w:rFonts w:hint="eastAsia" w:ascii="宋体" w:hAnsi="宋体" w:cs="宋体"/>
          <w:color w:val="auto"/>
          <w:sz w:val="24"/>
          <w:highlight w:val="none"/>
        </w:rPr>
      </w:pPr>
      <w:bookmarkStart w:id="197" w:name="_Toc173848269"/>
      <w:r>
        <w:rPr>
          <w:rFonts w:hint="eastAsia" w:ascii="宋体" w:hAnsi="宋体" w:cs="宋体"/>
          <w:b/>
          <w:bCs/>
          <w:color w:val="auto"/>
          <w:spacing w:val="-7"/>
          <w:sz w:val="24"/>
          <w:highlight w:val="none"/>
        </w:rPr>
        <w:t>2.服务内容</w:t>
      </w:r>
      <w:bookmarkEnd w:id="197"/>
    </w:p>
    <w:p w14:paraId="6DDDDD17">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甲方委托乙方负责海沧半导体产业基地项目废水站系统运营服务。</w:t>
      </w:r>
    </w:p>
    <w:p w14:paraId="6CCF0E2E">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服务内容包括废水站处理设施及配套设施(含室外桥架上收集管道、全部在线监测设备、化验室、危废仓库、药剂仓库)运营。</w:t>
      </w:r>
    </w:p>
    <w:p w14:paraId="644FC937">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运营内容包括但不限于：应保证废水站系统全天24小时连续运作，废水处理设施正常运行，出水达标排放；</w:t>
      </w:r>
      <w:r>
        <w:rPr>
          <w:rFonts w:hint="eastAsia" w:ascii="宋体" w:hAnsi="宋体" w:cs="宋体"/>
          <w:color w:val="auto"/>
          <w:sz w:val="24"/>
          <w:szCs w:val="24"/>
          <w:highlight w:val="none"/>
          <w:lang w:val="en-US" w:eastAsia="zh-CN"/>
        </w:rPr>
        <w:t>负责废水站内全部在线设备运营管理服务；</w:t>
      </w:r>
      <w:r>
        <w:rPr>
          <w:rFonts w:hint="eastAsia" w:ascii="宋体" w:hAnsi="宋体" w:eastAsia="宋体" w:cs="宋体"/>
          <w:color w:val="auto"/>
          <w:kern w:val="0"/>
          <w:sz w:val="24"/>
          <w:highlight w:val="none"/>
          <w:lang w:val="en-US" w:eastAsia="zh-CN"/>
        </w:rPr>
        <w:t>负责废水站系统相关管理工作；负责废水处理构筑物及所有设备的运行、维修保养、安全管理工作；制定技术经济指标，用以反映处理程度、处理能力、设备状态、运行成本及安全生产；对各项生产指标、能源和材料消耗等准确计量；负责全部监管平台系统的维护及填报工作；协助园区建设单位管理企业废水排放，定期及突发状况下检测企业废水排放水质，制定相应处理方案、应急处理方案等废水站系统全套运营管理。</w:t>
      </w:r>
    </w:p>
    <w:p w14:paraId="4A922B1C">
      <w:pPr>
        <w:spacing w:line="360" w:lineRule="auto"/>
        <w:ind w:left="654"/>
        <w:outlineLvl w:val="0"/>
        <w:rPr>
          <w:rFonts w:hint="default" w:ascii="宋体" w:hAnsi="宋体" w:eastAsia="宋体" w:cs="宋体"/>
          <w:color w:val="auto"/>
          <w:sz w:val="24"/>
          <w:highlight w:val="none"/>
          <w:lang w:val="en-US" w:eastAsia="zh-CN"/>
        </w:rPr>
      </w:pPr>
      <w:bookmarkStart w:id="198" w:name="_Toc173848270"/>
      <w:r>
        <w:rPr>
          <w:rFonts w:hint="eastAsia" w:ascii="宋体" w:hAnsi="宋体" w:cs="宋体"/>
          <w:b/>
          <w:bCs/>
          <w:color w:val="auto"/>
          <w:spacing w:val="-6"/>
          <w:sz w:val="24"/>
          <w:highlight w:val="none"/>
        </w:rPr>
        <w:t>3.</w:t>
      </w:r>
      <w:bookmarkEnd w:id="198"/>
      <w:r>
        <w:rPr>
          <w:rFonts w:hint="eastAsia" w:ascii="宋体" w:hAnsi="宋体" w:cs="宋体"/>
          <w:b/>
          <w:bCs/>
          <w:color w:val="auto"/>
          <w:spacing w:val="-6"/>
          <w:sz w:val="24"/>
          <w:highlight w:val="none"/>
          <w:lang w:val="en-US" w:eastAsia="zh-CN"/>
        </w:rPr>
        <w:t>服务期</w:t>
      </w:r>
    </w:p>
    <w:p w14:paraId="3B4155F0">
      <w:pPr>
        <w:pStyle w:val="4"/>
        <w:pageBreakBefore w:val="0"/>
        <w:kinsoku/>
        <w:wordWrap/>
        <w:overflowPunct/>
        <w:topLinePunct w:val="0"/>
        <w:autoSpaceDE/>
        <w:autoSpaceDN/>
        <w:bidi w:val="0"/>
        <w:adjustRightInd/>
        <w:spacing w:before="0" w:line="360" w:lineRule="auto"/>
        <w:ind w:left="426" w:leftChars="202" w:hanging="2" w:hangingChars="1"/>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val="en-US" w:eastAsia="zh-CN"/>
        </w:rPr>
        <w:t>服务</w:t>
      </w:r>
      <w:r>
        <w:rPr>
          <w:rFonts w:hint="eastAsia" w:ascii="宋体" w:hAnsi="宋体" w:cs="宋体"/>
          <w:color w:val="auto"/>
          <w:kern w:val="0"/>
          <w:sz w:val="24"/>
          <w:highlight w:val="none"/>
        </w:rPr>
        <w:t>期</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年</w:t>
      </w:r>
      <w:r>
        <w:rPr>
          <w:rFonts w:hint="eastAsia" w:ascii="宋体" w:hAnsi="宋体" w:cs="宋体"/>
          <w:color w:val="auto"/>
          <w:kern w:val="0"/>
          <w:sz w:val="24"/>
          <w:highlight w:val="none"/>
          <w:lang w:eastAsia="zh-CN"/>
        </w:rPr>
        <w:t>。</w:t>
      </w:r>
      <w:r>
        <w:rPr>
          <w:rFonts w:hint="eastAsia" w:ascii="宋体" w:hAnsi="宋体" w:cs="宋体"/>
          <w:color w:val="auto"/>
          <w:sz w:val="24"/>
          <w:szCs w:val="24"/>
          <w:highlight w:val="none"/>
          <w:lang w:val="en-US" w:eastAsia="zh-CN"/>
        </w:rPr>
        <w:t>合同采用一年一签形式，满一年经业主考核通过后，方可续签下一年度合同，时限3年。</w:t>
      </w:r>
    </w:p>
    <w:p w14:paraId="38CD664A">
      <w:pPr>
        <w:widowControl/>
        <w:spacing w:line="360" w:lineRule="auto"/>
        <w:ind w:firstLine="798" w:firstLineChars="300"/>
        <w:jc w:val="left"/>
        <w:rPr>
          <w:rFonts w:hint="eastAsia" w:ascii="宋体" w:hAnsi="宋体" w:cs="宋体"/>
          <w:color w:val="auto"/>
          <w:spacing w:val="13"/>
          <w:sz w:val="24"/>
          <w:highlight w:val="none"/>
          <w:lang w:val="en-US" w:eastAsia="zh-CN"/>
        </w:rPr>
      </w:pPr>
      <w:r>
        <w:rPr>
          <w:rFonts w:hint="eastAsia" w:ascii="宋体" w:hAnsi="宋体" w:cs="宋体"/>
          <w:color w:val="auto"/>
          <w:spacing w:val="13"/>
          <w:sz w:val="24"/>
          <w:highlight w:val="none"/>
          <w:lang w:val="en-US" w:eastAsia="zh-CN"/>
        </w:rPr>
        <w:t>第一期服务时间：</w:t>
      </w:r>
    </w:p>
    <w:p w14:paraId="376D5142">
      <w:pPr>
        <w:widowControl/>
        <w:spacing w:line="360" w:lineRule="auto"/>
        <w:ind w:firstLine="798" w:firstLineChars="300"/>
        <w:jc w:val="left"/>
        <w:rPr>
          <w:rFonts w:hint="default" w:ascii="宋体" w:hAnsi="宋体" w:cs="宋体"/>
          <w:color w:val="auto"/>
          <w:kern w:val="0"/>
          <w:sz w:val="24"/>
          <w:highlight w:val="none"/>
          <w:lang w:val="en-US" w:eastAsia="zh-CN"/>
        </w:rPr>
      </w:pPr>
      <w:r>
        <w:rPr>
          <w:rFonts w:hint="eastAsia" w:ascii="宋体" w:hAnsi="宋体" w:cs="宋体"/>
          <w:color w:val="auto"/>
          <w:spacing w:val="13"/>
          <w:sz w:val="24"/>
          <w:highlight w:val="none"/>
          <w:lang w:val="en-US" w:eastAsia="zh-CN"/>
        </w:rPr>
        <w:t>废水站</w:t>
      </w:r>
      <w:r>
        <w:rPr>
          <w:rFonts w:hint="eastAsia" w:ascii="宋体" w:hAnsi="宋体" w:cs="宋体"/>
          <w:color w:val="auto"/>
          <w:spacing w:val="13"/>
          <w:sz w:val="24"/>
          <w:highlight w:val="none"/>
        </w:rPr>
        <w:t>处理设施</w:t>
      </w:r>
      <w:r>
        <w:rPr>
          <w:rFonts w:hint="eastAsia" w:ascii="宋体" w:hAnsi="宋体" w:cs="宋体"/>
          <w:color w:val="auto"/>
          <w:spacing w:val="16"/>
          <w:sz w:val="24"/>
          <w:highlight w:val="none"/>
        </w:rPr>
        <w:t>及配套设施(含</w:t>
      </w:r>
      <w:r>
        <w:rPr>
          <w:rFonts w:hint="eastAsia" w:ascii="宋体" w:hAnsi="宋体" w:cs="宋体"/>
          <w:color w:val="auto"/>
          <w:spacing w:val="16"/>
          <w:sz w:val="24"/>
          <w:highlight w:val="none"/>
          <w:lang w:val="en-US" w:eastAsia="zh-CN"/>
        </w:rPr>
        <w:t>室外桥架上收集管道、化验室</w:t>
      </w:r>
      <w:r>
        <w:rPr>
          <w:rFonts w:hint="eastAsia" w:ascii="宋体" w:hAnsi="宋体" w:cs="宋体"/>
          <w:color w:val="auto"/>
          <w:spacing w:val="15"/>
          <w:sz w:val="24"/>
          <w:highlight w:val="none"/>
        </w:rPr>
        <w:t>)运营</w:t>
      </w:r>
      <w:r>
        <w:rPr>
          <w:rFonts w:hint="eastAsia" w:ascii="宋体" w:hAnsi="宋体" w:cs="宋体"/>
          <w:color w:val="auto"/>
          <w:spacing w:val="15"/>
          <w:sz w:val="24"/>
          <w:highlight w:val="none"/>
          <w:lang w:val="en-US" w:eastAsia="zh-CN"/>
        </w:rPr>
        <w:t>服务期：从</w:t>
      </w:r>
      <w:r>
        <w:rPr>
          <w:rFonts w:hint="eastAsia" w:ascii="宋体" w:hAnsi="宋体" w:cs="宋体"/>
          <w:color w:val="auto"/>
          <w:spacing w:val="15"/>
          <w:sz w:val="24"/>
          <w:highlight w:val="none"/>
          <w:u w:val="single"/>
          <w:lang w:val="en-US" w:eastAsia="zh-CN"/>
        </w:rPr>
        <w:t>2025</w:t>
      </w:r>
      <w:r>
        <w:rPr>
          <w:rFonts w:hint="eastAsia" w:ascii="宋体" w:hAnsi="宋体" w:cs="宋体"/>
          <w:color w:val="auto"/>
          <w:spacing w:val="15"/>
          <w:sz w:val="24"/>
          <w:highlight w:val="none"/>
          <w:u w:val="none"/>
          <w:lang w:val="en-US" w:eastAsia="zh-CN"/>
        </w:rPr>
        <w:t>年</w:t>
      </w:r>
      <w:r>
        <w:rPr>
          <w:rFonts w:hint="eastAsia" w:ascii="宋体" w:hAnsi="宋体" w:cs="宋体"/>
          <w:color w:val="auto"/>
          <w:spacing w:val="15"/>
          <w:sz w:val="24"/>
          <w:highlight w:val="none"/>
          <w:u w:val="single"/>
          <w:lang w:val="en-US" w:eastAsia="zh-CN"/>
        </w:rPr>
        <w:t>3</w:t>
      </w:r>
      <w:r>
        <w:rPr>
          <w:rFonts w:hint="eastAsia" w:ascii="宋体" w:hAnsi="宋体" w:cs="宋体"/>
          <w:color w:val="auto"/>
          <w:spacing w:val="15"/>
          <w:sz w:val="24"/>
          <w:highlight w:val="none"/>
          <w:u w:val="none"/>
          <w:lang w:val="en-US" w:eastAsia="zh-CN"/>
        </w:rPr>
        <w:t>月</w:t>
      </w:r>
      <w:r>
        <w:rPr>
          <w:rFonts w:hint="eastAsia" w:ascii="宋体" w:hAnsi="宋体" w:cs="宋体"/>
          <w:color w:val="auto"/>
          <w:spacing w:val="15"/>
          <w:sz w:val="24"/>
          <w:highlight w:val="none"/>
          <w:u w:val="single"/>
          <w:lang w:val="en-US" w:eastAsia="zh-CN"/>
        </w:rPr>
        <w:t>2</w:t>
      </w:r>
      <w:r>
        <w:rPr>
          <w:rFonts w:hint="eastAsia" w:ascii="宋体" w:hAnsi="宋体" w:cs="宋体"/>
          <w:color w:val="auto"/>
          <w:spacing w:val="15"/>
          <w:sz w:val="24"/>
          <w:highlight w:val="none"/>
          <w:u w:val="none"/>
          <w:lang w:val="en-US" w:eastAsia="zh-CN"/>
        </w:rPr>
        <w:t>日至2</w:t>
      </w:r>
      <w:r>
        <w:rPr>
          <w:rFonts w:hint="eastAsia" w:ascii="宋体" w:hAnsi="宋体" w:cs="宋体"/>
          <w:color w:val="auto"/>
          <w:spacing w:val="15"/>
          <w:sz w:val="24"/>
          <w:highlight w:val="none"/>
          <w:lang w:val="en-US" w:eastAsia="zh-CN"/>
        </w:rPr>
        <w:t>0</w:t>
      </w:r>
      <w:r>
        <w:rPr>
          <w:rFonts w:hint="eastAsia" w:ascii="宋体" w:hAnsi="宋体" w:cs="宋体"/>
          <w:color w:val="auto"/>
          <w:spacing w:val="15"/>
          <w:sz w:val="24"/>
          <w:highlight w:val="none"/>
          <w:u w:val="single"/>
          <w:lang w:val="en-US" w:eastAsia="zh-CN"/>
        </w:rPr>
        <w:t>26</w:t>
      </w:r>
      <w:r>
        <w:rPr>
          <w:rFonts w:hint="eastAsia" w:ascii="宋体" w:hAnsi="宋体" w:cs="宋体"/>
          <w:color w:val="auto"/>
          <w:spacing w:val="15"/>
          <w:sz w:val="24"/>
          <w:highlight w:val="none"/>
          <w:u w:val="none"/>
          <w:lang w:val="en-US" w:eastAsia="zh-CN"/>
        </w:rPr>
        <w:t>年</w:t>
      </w:r>
      <w:r>
        <w:rPr>
          <w:rFonts w:hint="eastAsia" w:ascii="宋体" w:hAnsi="宋体" w:cs="宋体"/>
          <w:color w:val="auto"/>
          <w:spacing w:val="15"/>
          <w:sz w:val="24"/>
          <w:highlight w:val="none"/>
          <w:u w:val="single"/>
          <w:lang w:val="en-US" w:eastAsia="zh-CN"/>
        </w:rPr>
        <w:t>3</w:t>
      </w:r>
      <w:r>
        <w:rPr>
          <w:rFonts w:hint="eastAsia" w:ascii="宋体" w:hAnsi="宋体" w:cs="宋体"/>
          <w:color w:val="auto"/>
          <w:spacing w:val="15"/>
          <w:sz w:val="24"/>
          <w:highlight w:val="none"/>
          <w:u w:val="none"/>
          <w:lang w:val="en-US" w:eastAsia="zh-CN"/>
        </w:rPr>
        <w:t>月</w:t>
      </w:r>
      <w:r>
        <w:rPr>
          <w:rFonts w:hint="eastAsia" w:ascii="宋体" w:hAnsi="宋体" w:cs="宋体"/>
          <w:color w:val="auto"/>
          <w:spacing w:val="15"/>
          <w:sz w:val="24"/>
          <w:highlight w:val="none"/>
          <w:u w:val="single"/>
          <w:lang w:val="en-US" w:eastAsia="zh-CN"/>
        </w:rPr>
        <w:t>1</w:t>
      </w:r>
      <w:r>
        <w:rPr>
          <w:rFonts w:hint="eastAsia" w:ascii="宋体" w:hAnsi="宋体" w:cs="宋体"/>
          <w:color w:val="auto"/>
          <w:spacing w:val="15"/>
          <w:sz w:val="24"/>
          <w:highlight w:val="none"/>
          <w:u w:val="none"/>
          <w:lang w:val="en-US" w:eastAsia="zh-CN"/>
        </w:rPr>
        <w:t>日</w:t>
      </w:r>
      <w:r>
        <w:rPr>
          <w:rFonts w:hint="eastAsia" w:ascii="宋体" w:hAnsi="宋体" w:cs="宋体"/>
          <w:color w:val="auto"/>
          <w:kern w:val="0"/>
          <w:sz w:val="24"/>
          <w:highlight w:val="none"/>
          <w:lang w:eastAsia="zh-CN"/>
        </w:rPr>
        <w:t>。</w:t>
      </w:r>
    </w:p>
    <w:p w14:paraId="476EA73E">
      <w:pPr>
        <w:widowControl/>
        <w:spacing w:line="360" w:lineRule="auto"/>
        <w:ind w:firstLine="816" w:firstLineChars="300"/>
        <w:jc w:val="left"/>
        <w:rPr>
          <w:rFonts w:hint="eastAsia" w:ascii="宋体" w:hAnsi="宋体" w:cs="宋体"/>
          <w:color w:val="auto"/>
          <w:kern w:val="0"/>
          <w:sz w:val="24"/>
          <w:highlight w:val="none"/>
          <w:lang w:eastAsia="zh-CN"/>
        </w:rPr>
      </w:pPr>
      <w:r>
        <w:rPr>
          <w:rFonts w:hint="eastAsia" w:ascii="宋体" w:hAnsi="宋体" w:cs="宋体"/>
          <w:color w:val="auto"/>
          <w:spacing w:val="16"/>
          <w:sz w:val="24"/>
          <w:highlight w:val="none"/>
          <w:lang w:val="en-US" w:eastAsia="zh-CN"/>
        </w:rPr>
        <w:t>全部在线监测设备</w:t>
      </w:r>
      <w:r>
        <w:rPr>
          <w:rFonts w:hint="eastAsia" w:ascii="宋体" w:hAnsi="宋体" w:cs="宋体"/>
          <w:color w:val="auto"/>
          <w:spacing w:val="15"/>
          <w:sz w:val="24"/>
          <w:highlight w:val="none"/>
        </w:rPr>
        <w:t>运营</w:t>
      </w:r>
      <w:r>
        <w:rPr>
          <w:rFonts w:hint="eastAsia" w:ascii="宋体" w:hAnsi="宋体" w:cs="宋体"/>
          <w:color w:val="auto"/>
          <w:spacing w:val="15"/>
          <w:sz w:val="24"/>
          <w:highlight w:val="none"/>
          <w:lang w:val="en-US" w:eastAsia="zh-CN"/>
        </w:rPr>
        <w:t>服务期：从</w:t>
      </w:r>
      <w:r>
        <w:rPr>
          <w:rFonts w:hint="eastAsia" w:ascii="宋体" w:hAnsi="宋体" w:cs="宋体"/>
          <w:color w:val="auto"/>
          <w:spacing w:val="15"/>
          <w:sz w:val="24"/>
          <w:highlight w:val="none"/>
          <w:u w:val="single"/>
          <w:lang w:val="en-US" w:eastAsia="zh-CN"/>
        </w:rPr>
        <w:t>2025</w:t>
      </w:r>
      <w:r>
        <w:rPr>
          <w:rFonts w:hint="eastAsia" w:ascii="宋体" w:hAnsi="宋体" w:cs="宋体"/>
          <w:color w:val="auto"/>
          <w:spacing w:val="15"/>
          <w:sz w:val="24"/>
          <w:highlight w:val="none"/>
          <w:u w:val="none"/>
          <w:lang w:val="en-US" w:eastAsia="zh-CN"/>
        </w:rPr>
        <w:t>年</w:t>
      </w:r>
      <w:r>
        <w:rPr>
          <w:rFonts w:hint="eastAsia" w:ascii="宋体" w:hAnsi="宋体" w:cs="宋体"/>
          <w:color w:val="auto"/>
          <w:spacing w:val="15"/>
          <w:sz w:val="24"/>
          <w:highlight w:val="none"/>
          <w:u w:val="single"/>
          <w:lang w:val="en-US" w:eastAsia="zh-CN"/>
        </w:rPr>
        <w:t>5</w:t>
      </w:r>
      <w:r>
        <w:rPr>
          <w:rFonts w:hint="eastAsia" w:ascii="宋体" w:hAnsi="宋体" w:cs="宋体"/>
          <w:color w:val="auto"/>
          <w:spacing w:val="15"/>
          <w:sz w:val="24"/>
          <w:highlight w:val="none"/>
          <w:u w:val="none"/>
          <w:lang w:val="en-US" w:eastAsia="zh-CN"/>
        </w:rPr>
        <w:t>月</w:t>
      </w:r>
      <w:r>
        <w:rPr>
          <w:rFonts w:hint="eastAsia" w:ascii="宋体" w:hAnsi="宋体" w:cs="宋体"/>
          <w:color w:val="auto"/>
          <w:spacing w:val="15"/>
          <w:sz w:val="24"/>
          <w:highlight w:val="none"/>
          <w:u w:val="single"/>
          <w:lang w:val="en-US" w:eastAsia="zh-CN"/>
        </w:rPr>
        <w:t>8</w:t>
      </w:r>
      <w:r>
        <w:rPr>
          <w:rFonts w:hint="eastAsia" w:ascii="宋体" w:hAnsi="宋体" w:cs="宋体"/>
          <w:color w:val="auto"/>
          <w:spacing w:val="15"/>
          <w:sz w:val="24"/>
          <w:highlight w:val="none"/>
          <w:u w:val="none"/>
          <w:lang w:val="en-US" w:eastAsia="zh-CN"/>
        </w:rPr>
        <w:t>日至</w:t>
      </w:r>
      <w:r>
        <w:rPr>
          <w:rFonts w:hint="eastAsia" w:ascii="宋体" w:hAnsi="宋体" w:cs="宋体"/>
          <w:color w:val="auto"/>
          <w:spacing w:val="15"/>
          <w:sz w:val="24"/>
          <w:highlight w:val="none"/>
          <w:u w:val="single"/>
          <w:lang w:val="en-US" w:eastAsia="zh-CN"/>
        </w:rPr>
        <w:t>2026</w:t>
      </w:r>
      <w:r>
        <w:rPr>
          <w:rFonts w:hint="eastAsia" w:ascii="宋体" w:hAnsi="宋体" w:cs="宋体"/>
          <w:color w:val="auto"/>
          <w:spacing w:val="15"/>
          <w:sz w:val="24"/>
          <w:highlight w:val="none"/>
          <w:u w:val="none"/>
          <w:lang w:val="en-US" w:eastAsia="zh-CN"/>
        </w:rPr>
        <w:t>年</w:t>
      </w:r>
      <w:r>
        <w:rPr>
          <w:rFonts w:hint="eastAsia" w:ascii="宋体" w:hAnsi="宋体" w:cs="宋体"/>
          <w:color w:val="auto"/>
          <w:spacing w:val="15"/>
          <w:sz w:val="24"/>
          <w:highlight w:val="none"/>
          <w:u w:val="single"/>
          <w:lang w:val="en-US" w:eastAsia="zh-CN"/>
        </w:rPr>
        <w:t>5</w:t>
      </w:r>
      <w:r>
        <w:rPr>
          <w:rFonts w:hint="eastAsia" w:ascii="宋体" w:hAnsi="宋体" w:cs="宋体"/>
          <w:color w:val="auto"/>
          <w:spacing w:val="15"/>
          <w:sz w:val="24"/>
          <w:highlight w:val="none"/>
          <w:u w:val="none"/>
          <w:lang w:val="en-US" w:eastAsia="zh-CN"/>
        </w:rPr>
        <w:t>月</w:t>
      </w:r>
      <w:r>
        <w:rPr>
          <w:rFonts w:hint="eastAsia" w:ascii="宋体" w:hAnsi="宋体" w:cs="宋体"/>
          <w:color w:val="auto"/>
          <w:spacing w:val="15"/>
          <w:sz w:val="24"/>
          <w:highlight w:val="none"/>
          <w:u w:val="single"/>
          <w:lang w:val="en-US" w:eastAsia="zh-CN"/>
        </w:rPr>
        <w:t>7</w:t>
      </w:r>
      <w:r>
        <w:rPr>
          <w:rFonts w:hint="eastAsia" w:ascii="宋体" w:hAnsi="宋体" w:cs="宋体"/>
          <w:color w:val="auto"/>
          <w:spacing w:val="15"/>
          <w:sz w:val="24"/>
          <w:highlight w:val="none"/>
          <w:u w:val="none"/>
          <w:lang w:val="en-US" w:eastAsia="zh-CN"/>
        </w:rPr>
        <w:t>日</w:t>
      </w:r>
      <w:r>
        <w:rPr>
          <w:rFonts w:hint="eastAsia" w:ascii="宋体" w:hAnsi="宋体" w:cs="宋体"/>
          <w:color w:val="auto"/>
          <w:kern w:val="0"/>
          <w:sz w:val="24"/>
          <w:highlight w:val="none"/>
          <w:lang w:eastAsia="zh-CN"/>
        </w:rPr>
        <w:t>。</w:t>
      </w:r>
    </w:p>
    <w:p w14:paraId="60F1378E">
      <w:pPr>
        <w:numPr>
          <w:ilvl w:val="0"/>
          <w:numId w:val="0"/>
        </w:numPr>
        <w:spacing w:line="360" w:lineRule="auto"/>
        <w:ind w:firstLine="482" w:firstLineChars="200"/>
        <w:outlineLvl w:val="0"/>
        <w:rPr>
          <w:rFonts w:hint="eastAsia" w:ascii="宋体" w:hAnsi="宋体" w:eastAsia="宋体" w:cs="宋体"/>
          <w:b/>
          <w:bCs/>
          <w:color w:val="auto"/>
          <w:kern w:val="0"/>
          <w:sz w:val="24"/>
          <w:highlight w:val="none"/>
          <w:lang w:val="en-US" w:eastAsia="zh-CN"/>
        </w:rPr>
      </w:pPr>
      <w:bookmarkStart w:id="199" w:name="_Toc173848271"/>
      <w:r>
        <w:rPr>
          <w:rFonts w:hint="eastAsia" w:ascii="宋体" w:hAnsi="宋体" w:eastAsia="宋体" w:cs="宋体"/>
          <w:b/>
          <w:bCs/>
          <w:color w:val="auto"/>
          <w:kern w:val="0"/>
          <w:sz w:val="24"/>
          <w:highlight w:val="none"/>
          <w:lang w:val="en-US" w:eastAsia="zh-CN"/>
        </w:rPr>
        <w:t>4.合同金额及支付方式及期限</w:t>
      </w:r>
      <w:bookmarkEnd w:id="199"/>
    </w:p>
    <w:p w14:paraId="42369734">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4.1合同金额</w:t>
      </w:r>
    </w:p>
    <w:p w14:paraId="47E664B4">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计价方式：按实际发生计取。</w:t>
      </w:r>
    </w:p>
    <w:p w14:paraId="54C6FEB7">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w:t>
      </w:r>
      <w:r>
        <w:rPr>
          <w:rFonts w:hint="eastAsia" w:ascii="宋体" w:hAnsi="宋体" w:cs="宋体"/>
          <w:color w:val="auto"/>
          <w:kern w:val="0"/>
          <w:sz w:val="24"/>
          <w:highlight w:val="none"/>
          <w:lang w:val="en-US" w:eastAsia="zh-CN"/>
        </w:rPr>
        <w:t>每年度</w:t>
      </w:r>
      <w:r>
        <w:rPr>
          <w:rFonts w:hint="eastAsia" w:ascii="宋体" w:hAnsi="宋体" w:eastAsia="宋体" w:cs="宋体"/>
          <w:color w:val="auto"/>
          <w:kern w:val="0"/>
          <w:sz w:val="24"/>
          <w:highlight w:val="none"/>
          <w:lang w:val="en-US" w:eastAsia="zh-CN"/>
        </w:rPr>
        <w:t>支付方</w:t>
      </w:r>
    </w:p>
    <w:tbl>
      <w:tblPr>
        <w:tblStyle w:val="5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46"/>
        <w:gridCol w:w="2661"/>
        <w:gridCol w:w="2739"/>
        <w:gridCol w:w="2248"/>
      </w:tblGrid>
      <w:tr w14:paraId="49CB8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4"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EBF83">
            <w:pPr>
              <w:spacing w:line="360" w:lineRule="auto"/>
              <w:jc w:val="center"/>
              <w:rPr>
                <w:rFonts w:hint="eastAsia" w:ascii="宋体" w:hAnsi="宋体" w:eastAsia="宋体" w:cs="宋体"/>
                <w:i w:val="0"/>
                <w:iCs w:val="0"/>
                <w:color w:val="auto"/>
                <w:sz w:val="24"/>
                <w:szCs w:val="24"/>
                <w:highlight w:val="none"/>
                <w:u w:val="none"/>
              </w:rPr>
            </w:pP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B99C0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申请用款时间</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64B9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支付时间</w:t>
            </w:r>
          </w:p>
        </w:tc>
        <w:tc>
          <w:tcPr>
            <w:tcW w:w="1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980B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申请年度费用的比例（%）</w:t>
            </w:r>
          </w:p>
        </w:tc>
      </w:tr>
      <w:tr w14:paraId="3F00D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07929">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预付款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CB5C5">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年2月20日后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1D174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年3月9日之前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5F86F">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r>
      <w:tr w14:paraId="565D2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DF6D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第二次付款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82225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年5月20日后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B825F">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年6月9日之前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26478">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401D1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C09C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第三次付款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5E37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年8月20日后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426F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年9月9日之前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B7874">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0B444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5447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第四次付款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08394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年11月20日后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B5A8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当</w:t>
            </w:r>
            <w:r>
              <w:rPr>
                <w:rFonts w:hint="eastAsia" w:ascii="宋体" w:hAnsi="宋体" w:eastAsia="宋体" w:cs="宋体"/>
                <w:i w:val="0"/>
                <w:iCs w:val="0"/>
                <w:color w:val="auto"/>
                <w:kern w:val="0"/>
                <w:sz w:val="24"/>
                <w:szCs w:val="24"/>
                <w:highlight w:val="none"/>
                <w:u w:val="none"/>
                <w:lang w:val="en-US" w:eastAsia="zh-CN" w:bidi="ar"/>
              </w:rPr>
              <w:t>年12月9日之前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B66A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0F271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043CA">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第五次付款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3911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年2月20日后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5237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年3月9日之前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82275">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20</w:t>
            </w:r>
          </w:p>
        </w:tc>
      </w:tr>
      <w:tr w14:paraId="24717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10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8D4D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尾款</w:t>
            </w:r>
          </w:p>
        </w:tc>
        <w:tc>
          <w:tcPr>
            <w:tcW w:w="138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FEC5FF">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年5月9日后</w:t>
            </w:r>
          </w:p>
        </w:tc>
        <w:tc>
          <w:tcPr>
            <w:tcW w:w="1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B3921">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cs="宋体"/>
                <w:i w:val="0"/>
                <w:iCs w:val="0"/>
                <w:color w:val="auto"/>
                <w:kern w:val="0"/>
                <w:sz w:val="24"/>
                <w:szCs w:val="24"/>
                <w:highlight w:val="none"/>
                <w:u w:val="none"/>
                <w:lang w:val="en-US" w:eastAsia="zh-CN" w:bidi="ar"/>
              </w:rPr>
              <w:t>第二</w:t>
            </w:r>
            <w:r>
              <w:rPr>
                <w:rFonts w:hint="eastAsia" w:ascii="宋体" w:hAnsi="宋体" w:eastAsia="宋体" w:cs="宋体"/>
                <w:i w:val="0"/>
                <w:iCs w:val="0"/>
                <w:color w:val="auto"/>
                <w:kern w:val="0"/>
                <w:sz w:val="24"/>
                <w:szCs w:val="24"/>
                <w:highlight w:val="none"/>
                <w:u w:val="none"/>
                <w:lang w:val="en-US" w:eastAsia="zh-CN" w:bidi="ar"/>
              </w:rPr>
              <w:t>年5月30日之前</w:t>
            </w:r>
          </w:p>
        </w:tc>
        <w:tc>
          <w:tcPr>
            <w:tcW w:w="117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F39E1">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r>
    </w:tbl>
    <w:p w14:paraId="475573BD">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(1)预付款</w:t>
      </w:r>
      <w:r>
        <w:rPr>
          <w:rFonts w:hint="eastAsia" w:ascii="宋体" w:hAnsi="宋体" w:cs="宋体"/>
          <w:color w:val="auto"/>
          <w:kern w:val="0"/>
          <w:sz w:val="24"/>
          <w:highlight w:val="none"/>
          <w:lang w:val="en-US" w:eastAsia="zh-CN"/>
        </w:rPr>
        <w:t>支付要求：</w:t>
      </w:r>
      <w:r>
        <w:rPr>
          <w:rFonts w:hint="eastAsia" w:ascii="宋体" w:hAnsi="宋体" w:eastAsia="宋体" w:cs="宋体"/>
          <w:color w:val="auto"/>
          <w:kern w:val="0"/>
          <w:sz w:val="24"/>
          <w:highlight w:val="none"/>
          <w:lang w:val="en-US" w:eastAsia="zh-CN"/>
        </w:rPr>
        <w:t>运营服务进场前1个月（具体进场时间以发包人书面通知为主）向发包单位提交第一个季度人员配置表及相应费用的申请表。</w:t>
      </w:r>
    </w:p>
    <w:p w14:paraId="3FBF7201">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w:t>
      </w:r>
      <w:r>
        <w:rPr>
          <w:rFonts w:hint="eastAsia" w:ascii="宋体" w:hAnsi="宋体" w:cs="宋体"/>
          <w:color w:val="auto"/>
          <w:kern w:val="0"/>
          <w:sz w:val="24"/>
          <w:highlight w:val="none"/>
          <w:lang w:val="en-US" w:eastAsia="zh-CN"/>
        </w:rPr>
        <w:t>用款申请支付要求：乙方应</w:t>
      </w:r>
      <w:r>
        <w:rPr>
          <w:rFonts w:hint="eastAsia" w:ascii="宋体" w:hAnsi="宋体" w:eastAsia="宋体" w:cs="宋体"/>
          <w:color w:val="auto"/>
          <w:kern w:val="0"/>
          <w:sz w:val="24"/>
          <w:highlight w:val="none"/>
          <w:lang w:val="en-US" w:eastAsia="zh-CN"/>
        </w:rPr>
        <w:t>向发包人提交本季度人员考勤表及下个季度人员配置及相应费用申请表，发包单位根据考勤和考核情况及下个季度人员配置</w:t>
      </w:r>
      <w:r>
        <w:rPr>
          <w:rFonts w:hint="eastAsia" w:ascii="宋体" w:hAnsi="宋体" w:cs="宋体"/>
          <w:color w:val="auto"/>
          <w:kern w:val="0"/>
          <w:sz w:val="24"/>
          <w:highlight w:val="none"/>
          <w:lang w:val="en-US" w:eastAsia="zh-CN"/>
        </w:rPr>
        <w:t>，按相关比例支付</w:t>
      </w:r>
      <w:r>
        <w:rPr>
          <w:rFonts w:hint="eastAsia" w:ascii="宋体" w:hAnsi="宋体" w:eastAsia="宋体" w:cs="宋体"/>
          <w:color w:val="auto"/>
          <w:kern w:val="0"/>
          <w:sz w:val="24"/>
          <w:highlight w:val="none"/>
          <w:lang w:val="en-US" w:eastAsia="zh-CN"/>
        </w:rPr>
        <w:t>。人员考勤按规章制度进行相应扣费，本季度考勤扣款由本季度</w:t>
      </w:r>
      <w:r>
        <w:rPr>
          <w:rFonts w:hint="eastAsia" w:ascii="宋体" w:hAnsi="宋体" w:cs="宋体"/>
          <w:color w:val="auto"/>
          <w:kern w:val="0"/>
          <w:sz w:val="24"/>
          <w:highlight w:val="none"/>
          <w:lang w:val="en-US" w:eastAsia="zh-CN"/>
        </w:rPr>
        <w:t>申请用款</w:t>
      </w:r>
      <w:r>
        <w:rPr>
          <w:rFonts w:hint="eastAsia" w:ascii="宋体" w:hAnsi="宋体" w:eastAsia="宋体" w:cs="宋体"/>
          <w:color w:val="auto"/>
          <w:kern w:val="0"/>
          <w:sz w:val="24"/>
          <w:highlight w:val="none"/>
          <w:lang w:val="en-US" w:eastAsia="zh-CN"/>
        </w:rPr>
        <w:t>内扣除。</w:t>
      </w:r>
    </w:p>
    <w:p w14:paraId="6D44CAFC">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w:t>
      </w:r>
      <w:r>
        <w:rPr>
          <w:rFonts w:hint="eastAsia" w:ascii="宋体" w:hAnsi="宋体" w:cs="宋体"/>
          <w:color w:val="auto"/>
          <w:kern w:val="0"/>
          <w:sz w:val="24"/>
          <w:highlight w:val="none"/>
          <w:lang w:val="en-US" w:eastAsia="zh-CN"/>
        </w:rPr>
        <w:t>尾款支付要求：本合同服务时间的最后一个月</w:t>
      </w:r>
      <w:r>
        <w:rPr>
          <w:rFonts w:hint="eastAsia" w:ascii="宋体" w:hAnsi="宋体" w:eastAsia="宋体" w:cs="宋体"/>
          <w:color w:val="auto"/>
          <w:kern w:val="0"/>
          <w:sz w:val="24"/>
          <w:highlight w:val="none"/>
          <w:lang w:val="en-US" w:eastAsia="zh-CN"/>
        </w:rPr>
        <w:t>20号前向发包人提交</w:t>
      </w:r>
      <w:r>
        <w:rPr>
          <w:rFonts w:hint="eastAsia" w:ascii="宋体" w:hAnsi="宋体" w:cs="宋体"/>
          <w:color w:val="auto"/>
          <w:kern w:val="0"/>
          <w:sz w:val="24"/>
          <w:highlight w:val="none"/>
          <w:lang w:val="en-US" w:eastAsia="zh-CN"/>
        </w:rPr>
        <w:t>年度的</w:t>
      </w:r>
      <w:r>
        <w:rPr>
          <w:rFonts w:hint="eastAsia" w:ascii="宋体" w:hAnsi="宋体" w:eastAsia="宋体" w:cs="宋体"/>
          <w:color w:val="auto"/>
          <w:kern w:val="0"/>
          <w:sz w:val="24"/>
          <w:highlight w:val="none"/>
          <w:lang w:val="en-US" w:eastAsia="zh-CN"/>
        </w:rPr>
        <w:t>尾款</w:t>
      </w:r>
      <w:r>
        <w:rPr>
          <w:rFonts w:hint="eastAsia" w:ascii="宋体" w:hAnsi="宋体" w:cs="宋体"/>
          <w:color w:val="auto"/>
          <w:kern w:val="0"/>
          <w:sz w:val="24"/>
          <w:highlight w:val="none"/>
          <w:lang w:val="en-US" w:eastAsia="zh-CN"/>
        </w:rPr>
        <w:t>用款申请表</w:t>
      </w:r>
      <w:r>
        <w:rPr>
          <w:rFonts w:hint="eastAsia" w:ascii="宋体" w:hAnsi="宋体" w:eastAsia="宋体" w:cs="宋体"/>
          <w:color w:val="auto"/>
          <w:kern w:val="0"/>
          <w:sz w:val="24"/>
          <w:highlight w:val="none"/>
          <w:lang w:val="en-US" w:eastAsia="zh-CN"/>
        </w:rPr>
        <w:t>并经考勤和考核合格后</w:t>
      </w:r>
      <w:r>
        <w:rPr>
          <w:rFonts w:hint="eastAsia" w:ascii="宋体" w:hAnsi="宋体" w:cs="宋体"/>
          <w:color w:val="auto"/>
          <w:kern w:val="0"/>
          <w:sz w:val="24"/>
          <w:highlight w:val="none"/>
          <w:lang w:val="en-US" w:eastAsia="zh-CN"/>
        </w:rPr>
        <w:t>，合同结算完成后，支付</w:t>
      </w:r>
      <w:r>
        <w:rPr>
          <w:rFonts w:hint="eastAsia" w:ascii="宋体" w:hAnsi="宋体" w:eastAsia="宋体" w:cs="宋体"/>
          <w:color w:val="auto"/>
          <w:kern w:val="0"/>
          <w:sz w:val="24"/>
          <w:highlight w:val="none"/>
          <w:lang w:val="en-US" w:eastAsia="zh-CN"/>
        </w:rPr>
        <w:t>剩余</w:t>
      </w:r>
      <w:r>
        <w:rPr>
          <w:rFonts w:hint="eastAsia" w:ascii="宋体" w:hAnsi="宋体" w:cs="宋体"/>
          <w:color w:val="auto"/>
          <w:kern w:val="0"/>
          <w:sz w:val="24"/>
          <w:highlight w:val="none"/>
          <w:lang w:val="en-US" w:eastAsia="zh-CN"/>
        </w:rPr>
        <w:t>年度</w:t>
      </w:r>
      <w:r>
        <w:rPr>
          <w:rFonts w:hint="eastAsia" w:ascii="宋体" w:hAnsi="宋体" w:eastAsia="宋体" w:cs="宋体"/>
          <w:color w:val="auto"/>
          <w:kern w:val="0"/>
          <w:sz w:val="24"/>
          <w:highlight w:val="none"/>
          <w:lang w:val="en-US" w:eastAsia="zh-CN"/>
        </w:rPr>
        <w:t>尾款的100%。</w:t>
      </w:r>
    </w:p>
    <w:p w14:paraId="7E34FF75">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(4)以上</w:t>
      </w:r>
      <w:r>
        <w:rPr>
          <w:rFonts w:hint="eastAsia" w:ascii="宋体" w:hAnsi="宋体" w:cs="宋体"/>
          <w:color w:val="auto"/>
          <w:kern w:val="0"/>
          <w:sz w:val="24"/>
          <w:highlight w:val="none"/>
          <w:lang w:val="en-US" w:eastAsia="zh-CN"/>
        </w:rPr>
        <w:t>年度费用</w:t>
      </w:r>
      <w:r>
        <w:rPr>
          <w:rFonts w:hint="eastAsia" w:ascii="宋体" w:hAnsi="宋体" w:eastAsia="宋体" w:cs="宋体"/>
          <w:color w:val="auto"/>
          <w:kern w:val="0"/>
          <w:sz w:val="24"/>
          <w:highlight w:val="none"/>
          <w:lang w:val="en-US" w:eastAsia="zh-CN"/>
        </w:rPr>
        <w:t>含</w:t>
      </w:r>
      <w:r>
        <w:rPr>
          <w:rFonts w:hint="eastAsia" w:ascii="宋体" w:hAnsi="宋体" w:cs="宋体"/>
          <w:color w:val="auto"/>
          <w:kern w:val="0"/>
          <w:sz w:val="24"/>
          <w:highlight w:val="none"/>
          <w:lang w:val="en-US" w:eastAsia="zh-CN"/>
        </w:rPr>
        <w:t>20</w:t>
      </w:r>
      <w:r>
        <w:rPr>
          <w:rFonts w:hint="eastAsia" w:ascii="宋体" w:hAnsi="宋体" w:eastAsia="宋体" w:cs="宋体"/>
          <w:color w:val="auto"/>
          <w:kern w:val="0"/>
          <w:sz w:val="24"/>
          <w:highlight w:val="none"/>
          <w:lang w:val="en-US" w:eastAsia="zh-CN"/>
        </w:rPr>
        <w:t>%绩效，运营管理未达到本合同及运营管理服务方案要求，业主有权对绩效进行相应扣除。</w:t>
      </w:r>
    </w:p>
    <w:p w14:paraId="7FD1C80E">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4.3税率</w:t>
      </w:r>
    </w:p>
    <w:p w14:paraId="7A9724DA">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含税服务单价：</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US" w:eastAsia="zh-CN"/>
        </w:rPr>
        <w:t>，其中不含税服务单价金额，增值税税率6%。最终结算价以甲方考核为准。</w:t>
      </w:r>
    </w:p>
    <w:p w14:paraId="7EE79A17">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4.4合同价包括但不限于以下费用：人工费（员工工资、按规定提取的福利费、社会保险、公积金、交通</w:t>
      </w:r>
      <w:r>
        <w:rPr>
          <w:rFonts w:hint="eastAsia" w:ascii="宋体" w:hAnsi="宋体" w:cs="宋体"/>
          <w:color w:val="auto"/>
          <w:kern w:val="0"/>
          <w:sz w:val="24"/>
          <w:highlight w:val="none"/>
          <w:lang w:val="en-US" w:eastAsia="zh-CN"/>
        </w:rPr>
        <w:t>和通讯补助、岗位补助等）、在线设备运维产生的全部费用、化验室设备规范化运营管理、有机系统菌种更换费用、池子清理费、</w:t>
      </w:r>
      <w:r>
        <w:rPr>
          <w:rFonts w:hint="eastAsia" w:ascii="宋体" w:hAnsi="宋体" w:eastAsia="宋体" w:cs="宋体"/>
          <w:color w:val="auto"/>
          <w:kern w:val="0"/>
          <w:sz w:val="24"/>
          <w:highlight w:val="none"/>
          <w:lang w:val="en-US" w:eastAsia="zh-CN"/>
        </w:rPr>
        <w:t>车辆费用、</w:t>
      </w:r>
      <w:r>
        <w:rPr>
          <w:rFonts w:hint="eastAsia" w:ascii="宋体" w:hAnsi="宋体" w:cs="宋体"/>
          <w:color w:val="auto"/>
          <w:sz w:val="24"/>
          <w:szCs w:val="24"/>
          <w:highlight w:val="none"/>
          <w:lang w:val="en-US" w:eastAsia="zh-CN"/>
        </w:rPr>
        <w:t>污泥检测费、全区防锈工程维护费、</w:t>
      </w:r>
      <w:r>
        <w:rPr>
          <w:rFonts w:hint="eastAsia" w:ascii="宋体" w:hAnsi="宋体" w:eastAsia="宋体" w:cs="宋体"/>
          <w:color w:val="auto"/>
          <w:kern w:val="0"/>
          <w:sz w:val="24"/>
          <w:highlight w:val="none"/>
          <w:lang w:val="en-US" w:eastAsia="zh-CN"/>
        </w:rPr>
        <w:t>行政办公费、设备基础维修保养费、劳保费、管理材料费、资料收集费、专用工具费、风险费、技术服务费、培训费、行政规费、税费</w:t>
      </w:r>
      <w:r>
        <w:rPr>
          <w:rFonts w:hint="eastAsia" w:ascii="宋体" w:hAnsi="宋体" w:cs="宋体"/>
          <w:color w:val="auto"/>
          <w:kern w:val="0"/>
          <w:sz w:val="24"/>
          <w:highlight w:val="none"/>
          <w:lang w:val="en-US" w:eastAsia="zh-CN"/>
        </w:rPr>
        <w:t>、招标代理服务费</w:t>
      </w:r>
      <w:r>
        <w:rPr>
          <w:rFonts w:hint="eastAsia" w:ascii="宋体" w:hAnsi="宋体" w:eastAsia="宋体" w:cs="宋体"/>
          <w:color w:val="auto"/>
          <w:kern w:val="0"/>
          <w:sz w:val="24"/>
          <w:highlight w:val="none"/>
          <w:lang w:val="en-US" w:eastAsia="zh-CN"/>
        </w:rPr>
        <w:t>等一切费用。</w:t>
      </w:r>
    </w:p>
    <w:p w14:paraId="02093F49">
      <w:pPr>
        <w:numPr>
          <w:ilvl w:val="0"/>
          <w:numId w:val="0"/>
        </w:numPr>
        <w:spacing w:line="360" w:lineRule="auto"/>
        <w:ind w:firstLine="480" w:firstLineChars="200"/>
        <w:outlineLvl w:val="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4.5</w:t>
      </w:r>
      <w:bookmarkStart w:id="200" w:name="_Toc165250161"/>
      <w:bookmarkStart w:id="201" w:name="_Toc167762353"/>
      <w:r>
        <w:rPr>
          <w:rFonts w:hint="eastAsia" w:ascii="宋体" w:hAnsi="宋体" w:eastAsia="宋体" w:cs="宋体"/>
          <w:color w:val="auto"/>
          <w:kern w:val="0"/>
          <w:sz w:val="24"/>
          <w:highlight w:val="none"/>
          <w:lang w:val="en-US" w:eastAsia="zh-CN"/>
        </w:rPr>
        <w:t>履约保证金</w:t>
      </w:r>
      <w:bookmarkEnd w:id="200"/>
      <w:bookmarkEnd w:id="201"/>
    </w:p>
    <w:p w14:paraId="68616524">
      <w:pPr>
        <w:pageBreakBefore w:val="0"/>
        <w:kinsoku/>
        <w:wordWrap/>
        <w:overflowPunct/>
        <w:topLinePunct w:val="0"/>
        <w:autoSpaceDE/>
        <w:autoSpaceDN/>
        <w:bidi w:val="0"/>
        <w:adjustRightInd/>
        <w:spacing w:line="360" w:lineRule="auto"/>
        <w:ind w:firstLine="480" w:firstLineChars="200"/>
        <w:rPr>
          <w:rFonts w:hint="default" w:ascii="宋体" w:hAnsi="宋体" w:eastAsia="宋体" w:cs="宋体"/>
          <w:color w:val="auto"/>
          <w:kern w:val="0"/>
          <w:sz w:val="24"/>
          <w:highlight w:val="none"/>
          <w:lang w:val="en-US" w:eastAsia="zh-CN"/>
        </w:rPr>
      </w:pPr>
      <w:r>
        <w:rPr>
          <w:rFonts w:hint="eastAsia" w:ascii="宋体" w:hAnsi="宋体" w:cs="宋体"/>
          <w:color w:val="auto"/>
          <w:sz w:val="24"/>
          <w:szCs w:val="24"/>
          <w:highlight w:val="none"/>
          <w:lang w:val="en-US" w:eastAsia="zh-CN"/>
        </w:rPr>
        <w:t>乙方</w:t>
      </w:r>
      <w:r>
        <w:rPr>
          <w:rFonts w:hint="eastAsia" w:ascii="宋体" w:hAnsi="宋体" w:eastAsia="宋体" w:cs="宋体"/>
          <w:color w:val="auto"/>
          <w:kern w:val="0"/>
          <w:sz w:val="24"/>
          <w:szCs w:val="24"/>
          <w:highlight w:val="none"/>
        </w:rPr>
        <w:t>须在接到</w:t>
      </w:r>
      <w:r>
        <w:rPr>
          <w:rFonts w:hint="eastAsia" w:ascii="宋体" w:hAnsi="宋体" w:eastAsia="宋体" w:cs="宋体"/>
          <w:color w:val="auto"/>
          <w:sz w:val="24"/>
          <w:szCs w:val="24"/>
          <w:highlight w:val="none"/>
        </w:rPr>
        <w:t>中标</w:t>
      </w:r>
      <w:r>
        <w:rPr>
          <w:rFonts w:hint="eastAsia" w:ascii="宋体" w:hAnsi="宋体" w:eastAsia="宋体" w:cs="宋体"/>
          <w:color w:val="auto"/>
          <w:kern w:val="0"/>
          <w:sz w:val="24"/>
          <w:szCs w:val="24"/>
          <w:highlight w:val="none"/>
        </w:rPr>
        <w:t>通知之日起（以</w:t>
      </w:r>
      <w:r>
        <w:rPr>
          <w:rFonts w:hint="eastAsia" w:ascii="宋体" w:hAnsi="宋体" w:eastAsia="宋体" w:cs="宋体"/>
          <w:color w:val="auto"/>
          <w:sz w:val="24"/>
          <w:szCs w:val="24"/>
          <w:highlight w:val="none"/>
        </w:rPr>
        <w:t>中标</w:t>
      </w:r>
      <w:r>
        <w:rPr>
          <w:rFonts w:hint="eastAsia" w:ascii="宋体" w:hAnsi="宋体" w:eastAsia="宋体" w:cs="宋体"/>
          <w:color w:val="auto"/>
          <w:kern w:val="0"/>
          <w:sz w:val="24"/>
          <w:szCs w:val="24"/>
          <w:highlight w:val="none"/>
        </w:rPr>
        <w:t>通知书日期为准）</w:t>
      </w:r>
      <w:r>
        <w:rPr>
          <w:rFonts w:hint="eastAsia" w:ascii="宋体" w:hAnsi="宋体" w:cs="宋体"/>
          <w:color w:val="auto"/>
          <w:kern w:val="0"/>
          <w:sz w:val="24"/>
          <w:szCs w:val="24"/>
          <w:highlight w:val="none"/>
          <w:lang w:val="en-US" w:eastAsia="zh-CN"/>
        </w:rPr>
        <w:t>五</w:t>
      </w:r>
      <w:r>
        <w:rPr>
          <w:rFonts w:hint="eastAsia" w:ascii="宋体" w:hAnsi="宋体" w:eastAsia="宋体" w:cs="宋体"/>
          <w:color w:val="auto"/>
          <w:kern w:val="0"/>
          <w:sz w:val="24"/>
          <w:szCs w:val="24"/>
          <w:highlight w:val="none"/>
        </w:rPr>
        <w:t>个</w:t>
      </w:r>
      <w:r>
        <w:rPr>
          <w:rFonts w:hint="eastAsia" w:ascii="宋体" w:hAnsi="宋体" w:eastAsia="宋体" w:cs="宋体"/>
          <w:color w:val="auto"/>
          <w:kern w:val="0"/>
          <w:sz w:val="24"/>
          <w:szCs w:val="24"/>
          <w:highlight w:val="none"/>
          <w:lang w:val="en-US" w:eastAsia="zh-CN"/>
        </w:rPr>
        <w:t>工作日</w:t>
      </w:r>
      <w:r>
        <w:rPr>
          <w:rFonts w:hint="eastAsia" w:ascii="宋体" w:hAnsi="宋体" w:eastAsia="宋体" w:cs="宋体"/>
          <w:color w:val="auto"/>
          <w:kern w:val="0"/>
          <w:sz w:val="24"/>
          <w:szCs w:val="24"/>
          <w:highlight w:val="none"/>
        </w:rPr>
        <w:t>内缴纳履约保证金至</w:t>
      </w:r>
      <w:r>
        <w:rPr>
          <w:rFonts w:hint="eastAsia" w:ascii="宋体" w:hAnsi="宋体" w:cs="宋体"/>
          <w:color w:val="auto"/>
          <w:kern w:val="0"/>
          <w:sz w:val="24"/>
          <w:szCs w:val="24"/>
          <w:highlight w:val="none"/>
          <w:lang w:val="en-US" w:eastAsia="zh-CN"/>
        </w:rPr>
        <w:t>甲方</w:t>
      </w:r>
      <w:r>
        <w:rPr>
          <w:rFonts w:hint="eastAsia" w:ascii="宋体" w:hAnsi="宋体" w:eastAsia="宋体" w:cs="宋体"/>
          <w:color w:val="auto"/>
          <w:kern w:val="0"/>
          <w:sz w:val="24"/>
          <w:szCs w:val="24"/>
          <w:highlight w:val="none"/>
        </w:rPr>
        <w:t>指定账户，履约保证金为中标总金额的</w:t>
      </w:r>
      <w:r>
        <w:rPr>
          <w:rFonts w:hint="eastAsia" w:ascii="宋体" w:hAnsi="宋体" w:cs="宋体"/>
          <w:color w:val="auto"/>
          <w:kern w:val="0"/>
          <w:sz w:val="24"/>
          <w:szCs w:val="24"/>
          <w:highlight w:val="none"/>
          <w:lang w:val="en-US" w:eastAsia="zh-CN"/>
        </w:rPr>
        <w:t>年度费用5</w:t>
      </w:r>
      <w:r>
        <w:rPr>
          <w:rFonts w:hint="eastAsia" w:ascii="宋体" w:hAnsi="宋体" w:eastAsia="宋体" w:cs="宋体"/>
          <w:color w:val="auto"/>
          <w:kern w:val="0"/>
          <w:sz w:val="24"/>
          <w:szCs w:val="24"/>
          <w:highlight w:val="none"/>
        </w:rPr>
        <w:t>%，在服务期满后无息归还，若出现</w:t>
      </w:r>
      <w:r>
        <w:rPr>
          <w:rFonts w:hint="eastAsia" w:ascii="宋体" w:hAnsi="宋体" w:cs="宋体"/>
          <w:color w:val="auto"/>
          <w:sz w:val="24"/>
          <w:szCs w:val="24"/>
          <w:highlight w:val="none"/>
          <w:lang w:val="en-US" w:eastAsia="zh-CN"/>
        </w:rPr>
        <w:t>乙方</w:t>
      </w:r>
      <w:r>
        <w:rPr>
          <w:rFonts w:hint="eastAsia" w:ascii="宋体" w:hAnsi="宋体" w:eastAsia="宋体" w:cs="宋体"/>
          <w:color w:val="auto"/>
          <w:kern w:val="0"/>
          <w:sz w:val="24"/>
          <w:szCs w:val="24"/>
          <w:highlight w:val="none"/>
        </w:rPr>
        <w:t>不按照招标要求提供服务或未能按照</w:t>
      </w:r>
      <w:r>
        <w:rPr>
          <w:rFonts w:hint="eastAsia" w:ascii="宋体" w:hAnsi="宋体" w:cs="宋体"/>
          <w:color w:val="auto"/>
          <w:kern w:val="0"/>
          <w:sz w:val="24"/>
          <w:szCs w:val="24"/>
          <w:highlight w:val="none"/>
          <w:lang w:val="en-US" w:eastAsia="zh-CN"/>
        </w:rPr>
        <w:t>甲方</w:t>
      </w:r>
      <w:r>
        <w:rPr>
          <w:rFonts w:hint="eastAsia" w:ascii="宋体" w:hAnsi="宋体" w:eastAsia="宋体" w:cs="宋体"/>
          <w:color w:val="auto"/>
          <w:kern w:val="0"/>
          <w:sz w:val="24"/>
          <w:szCs w:val="24"/>
          <w:highlight w:val="none"/>
        </w:rPr>
        <w:t>的要求提供服务的，则</w:t>
      </w:r>
      <w:r>
        <w:rPr>
          <w:rFonts w:hint="eastAsia" w:ascii="宋体" w:hAnsi="宋体" w:cs="宋体"/>
          <w:color w:val="auto"/>
          <w:kern w:val="0"/>
          <w:sz w:val="24"/>
          <w:szCs w:val="24"/>
          <w:highlight w:val="none"/>
          <w:lang w:val="en-US" w:eastAsia="zh-CN"/>
        </w:rPr>
        <w:t>甲方</w:t>
      </w:r>
      <w:r>
        <w:rPr>
          <w:rFonts w:hint="eastAsia" w:ascii="宋体" w:hAnsi="宋体" w:eastAsia="宋体" w:cs="宋体"/>
          <w:color w:val="auto"/>
          <w:kern w:val="0"/>
          <w:sz w:val="24"/>
          <w:szCs w:val="24"/>
          <w:highlight w:val="none"/>
        </w:rPr>
        <w:t>可认定</w:t>
      </w:r>
      <w:r>
        <w:rPr>
          <w:rFonts w:hint="eastAsia" w:ascii="宋体" w:hAnsi="宋体" w:cs="宋体"/>
          <w:color w:val="auto"/>
          <w:sz w:val="24"/>
          <w:szCs w:val="24"/>
          <w:highlight w:val="none"/>
          <w:lang w:val="en-US" w:eastAsia="zh-CN"/>
        </w:rPr>
        <w:t>乙方</w:t>
      </w:r>
      <w:r>
        <w:rPr>
          <w:rFonts w:hint="eastAsia" w:ascii="宋体" w:hAnsi="宋体" w:eastAsia="宋体" w:cs="宋体"/>
          <w:color w:val="auto"/>
          <w:kern w:val="0"/>
          <w:sz w:val="24"/>
          <w:szCs w:val="24"/>
          <w:highlight w:val="none"/>
        </w:rPr>
        <w:t>无能力履行本合同，有权取消合同并</w:t>
      </w:r>
      <w:r>
        <w:rPr>
          <w:rFonts w:hint="eastAsia" w:ascii="宋体" w:hAnsi="宋体" w:eastAsia="宋体" w:cs="宋体"/>
          <w:color w:val="auto"/>
          <w:kern w:val="0"/>
          <w:sz w:val="24"/>
          <w:szCs w:val="24"/>
          <w:highlight w:val="none"/>
          <w:lang w:val="en-US" w:eastAsia="zh-CN"/>
        </w:rPr>
        <w:t>不予退还</w:t>
      </w:r>
      <w:r>
        <w:rPr>
          <w:rFonts w:hint="eastAsia" w:ascii="宋体" w:hAnsi="宋体" w:eastAsia="宋体" w:cs="宋体"/>
          <w:color w:val="auto"/>
          <w:kern w:val="0"/>
          <w:sz w:val="24"/>
          <w:szCs w:val="24"/>
          <w:highlight w:val="none"/>
        </w:rPr>
        <w:t>履约保证金。</w:t>
      </w:r>
      <w:r>
        <w:rPr>
          <w:rFonts w:hint="eastAsia" w:ascii="宋体" w:hAnsi="宋体" w:eastAsia="宋体" w:cs="宋体"/>
          <w:color w:val="auto"/>
          <w:sz w:val="24"/>
          <w:szCs w:val="24"/>
          <w:highlight w:val="none"/>
        </w:rPr>
        <w:t xml:space="preserve"> </w:t>
      </w:r>
    </w:p>
    <w:p w14:paraId="10912CFC">
      <w:pPr>
        <w:spacing w:line="360" w:lineRule="auto"/>
        <w:ind w:firstLine="454" w:firstLineChars="200"/>
        <w:outlineLvl w:val="0"/>
        <w:rPr>
          <w:rFonts w:hint="eastAsia" w:ascii="宋体" w:hAnsi="宋体" w:cs="宋体"/>
          <w:color w:val="auto"/>
          <w:sz w:val="24"/>
          <w:highlight w:val="none"/>
        </w:rPr>
      </w:pPr>
      <w:r>
        <w:rPr>
          <w:rFonts w:hint="eastAsia" w:ascii="宋体" w:hAnsi="宋体" w:cs="宋体"/>
          <w:b/>
          <w:bCs/>
          <w:color w:val="auto"/>
          <w:spacing w:val="-7"/>
          <w:sz w:val="24"/>
          <w:highlight w:val="none"/>
        </w:rPr>
        <w:t>5.污水水质及处理质量要求</w:t>
      </w:r>
    </w:p>
    <w:p w14:paraId="0004BC23">
      <w:pPr>
        <w:spacing w:line="360" w:lineRule="auto"/>
        <w:ind w:right="152" w:firstLine="472" w:firstLineChars="200"/>
        <w:rPr>
          <w:rFonts w:hint="default"/>
          <w:color w:val="auto"/>
          <w:highlight w:val="none"/>
          <w:lang w:val="en-US" w:eastAsia="zh-CN"/>
        </w:rPr>
      </w:pPr>
      <w:r>
        <w:rPr>
          <w:rFonts w:hint="eastAsia" w:ascii="宋体" w:hAnsi="宋体" w:cs="宋体"/>
          <w:color w:val="auto"/>
          <w:spacing w:val="-2"/>
          <w:sz w:val="24"/>
          <w:highlight w:val="none"/>
          <w:lang w:val="en-US" w:eastAsia="zh-CN"/>
        </w:rPr>
        <w:t>废水站</w:t>
      </w:r>
      <w:r>
        <w:rPr>
          <w:rFonts w:hint="eastAsia" w:ascii="宋体" w:hAnsi="宋体" w:cs="宋体"/>
          <w:color w:val="auto"/>
          <w:spacing w:val="-2"/>
          <w:sz w:val="24"/>
          <w:highlight w:val="none"/>
        </w:rPr>
        <w:t>出水水质应满足</w:t>
      </w:r>
      <w:r>
        <w:rPr>
          <w:color w:val="auto"/>
          <w:sz w:val="24"/>
          <w:highlight w:val="none"/>
        </w:rPr>
        <w:t>《电子工业水污染物排放标准》</w:t>
      </w:r>
      <w:r>
        <w:rPr>
          <w:rFonts w:hint="eastAsia"/>
          <w:color w:val="auto"/>
          <w:sz w:val="24"/>
          <w:highlight w:val="none"/>
        </w:rPr>
        <w:t>（GB39731-2020）中表1间接排放标准</w:t>
      </w:r>
      <w:r>
        <w:rPr>
          <w:rFonts w:hint="eastAsia" w:ascii="宋体" w:hAnsi="宋体" w:cs="宋体"/>
          <w:color w:val="auto"/>
          <w:spacing w:val="-8"/>
          <w:sz w:val="24"/>
          <w:highlight w:val="none"/>
        </w:rPr>
        <w:t>。</w:t>
      </w:r>
      <w:r>
        <w:rPr>
          <w:rFonts w:hint="eastAsia" w:ascii="宋体" w:hAnsi="宋体" w:cs="宋体"/>
          <w:color w:val="auto"/>
          <w:spacing w:val="-8"/>
          <w:sz w:val="24"/>
          <w:highlight w:val="none"/>
          <w:lang w:val="en-US" w:eastAsia="zh-CN"/>
        </w:rPr>
        <w:t>未详尽部分应满足</w:t>
      </w:r>
      <w:r>
        <w:rPr>
          <w:color w:val="auto"/>
          <w:sz w:val="24"/>
          <w:highlight w:val="none"/>
        </w:rPr>
        <w:t>《</w:t>
      </w:r>
      <w:r>
        <w:rPr>
          <w:rFonts w:hint="eastAsia" w:ascii="宋体" w:hAnsi="宋体" w:cs="宋体"/>
          <w:color w:val="auto"/>
          <w:spacing w:val="-8"/>
          <w:sz w:val="24"/>
          <w:highlight w:val="none"/>
          <w:lang w:val="en-US" w:eastAsia="zh-CN"/>
        </w:rPr>
        <w:t>海沧半导体产业基地项目废水站系统环境影响报告书</w:t>
      </w:r>
      <w:r>
        <w:rPr>
          <w:color w:val="auto"/>
          <w:sz w:val="24"/>
          <w:highlight w:val="none"/>
        </w:rPr>
        <w:t>》</w:t>
      </w:r>
      <w:r>
        <w:rPr>
          <w:rFonts w:hint="eastAsia"/>
          <w:color w:val="auto"/>
          <w:sz w:val="24"/>
          <w:highlight w:val="none"/>
          <w:lang w:val="en-US" w:eastAsia="zh-CN"/>
        </w:rPr>
        <w:t>相关要求</w:t>
      </w:r>
      <w:r>
        <w:rPr>
          <w:rFonts w:hint="eastAsia" w:ascii="宋体" w:hAnsi="宋体" w:cs="宋体"/>
          <w:color w:val="auto"/>
          <w:spacing w:val="-8"/>
          <w:sz w:val="24"/>
          <w:highlight w:val="none"/>
          <w:lang w:val="en-US" w:eastAsia="zh-CN"/>
        </w:rPr>
        <w:t>。</w:t>
      </w:r>
    </w:p>
    <w:p w14:paraId="483201B7">
      <w:pPr>
        <w:numPr>
          <w:ilvl w:val="0"/>
          <w:numId w:val="0"/>
        </w:numPr>
        <w:spacing w:line="360" w:lineRule="auto"/>
        <w:ind w:firstLine="458" w:firstLineChars="200"/>
        <w:outlineLvl w:val="0"/>
        <w:rPr>
          <w:rFonts w:hint="eastAsia" w:ascii="宋体" w:hAnsi="宋体" w:cs="宋体"/>
          <w:b/>
          <w:bCs/>
          <w:color w:val="auto"/>
          <w:spacing w:val="-6"/>
          <w:sz w:val="24"/>
          <w:highlight w:val="none"/>
        </w:rPr>
      </w:pPr>
      <w:r>
        <w:rPr>
          <w:rFonts w:hint="eastAsia" w:ascii="宋体" w:hAnsi="宋体" w:cs="宋体"/>
          <w:b/>
          <w:bCs/>
          <w:color w:val="auto"/>
          <w:spacing w:val="-6"/>
          <w:kern w:val="2"/>
          <w:sz w:val="24"/>
          <w:szCs w:val="24"/>
          <w:highlight w:val="none"/>
          <w:lang w:val="en-US" w:eastAsia="zh-CN" w:bidi="ar-SA"/>
        </w:rPr>
        <w:t>6</w:t>
      </w:r>
      <w:r>
        <w:rPr>
          <w:rFonts w:hint="eastAsia" w:ascii="宋体" w:hAnsi="宋体" w:eastAsia="宋体" w:cs="宋体"/>
          <w:b/>
          <w:bCs/>
          <w:color w:val="auto"/>
          <w:spacing w:val="-6"/>
          <w:kern w:val="2"/>
          <w:sz w:val="24"/>
          <w:szCs w:val="24"/>
          <w:highlight w:val="none"/>
          <w:lang w:val="en-US" w:eastAsia="zh-CN" w:bidi="ar-SA"/>
        </w:rPr>
        <w:t>.</w:t>
      </w:r>
      <w:r>
        <w:rPr>
          <w:rFonts w:hint="eastAsia" w:ascii="宋体" w:hAnsi="宋体" w:cs="宋体"/>
          <w:b/>
          <w:bCs/>
          <w:color w:val="auto"/>
          <w:spacing w:val="-6"/>
          <w:sz w:val="24"/>
          <w:highlight w:val="none"/>
        </w:rPr>
        <w:t>项目运行管理要求</w:t>
      </w:r>
    </w:p>
    <w:p w14:paraId="22D7D4F7">
      <w:pPr>
        <w:numPr>
          <w:ilvl w:val="0"/>
          <w:numId w:val="0"/>
        </w:numPr>
        <w:spacing w:line="360" w:lineRule="auto"/>
        <w:ind w:firstLine="480" w:firstLineChars="200"/>
        <w:outlineLvl w:val="0"/>
        <w:rPr>
          <w:rFonts w:hint="eastAsia" w:ascii="宋体" w:hAnsi="宋体" w:cs="宋体"/>
          <w:color w:val="auto"/>
          <w:sz w:val="24"/>
          <w:highlight w:val="none"/>
        </w:rPr>
      </w:pPr>
      <w:r>
        <w:rPr>
          <w:rFonts w:hint="eastAsia" w:ascii="宋体" w:hAnsi="宋体" w:cs="宋体"/>
          <w:color w:val="auto"/>
          <w:kern w:val="0"/>
          <w:sz w:val="24"/>
          <w:highlight w:val="none"/>
          <w:lang w:val="en-US" w:eastAsia="zh-CN"/>
        </w:rPr>
        <w:t>6.1</w:t>
      </w:r>
      <w:r>
        <w:rPr>
          <w:rFonts w:hint="eastAsia" w:ascii="宋体" w:hAnsi="宋体" w:cs="宋体"/>
          <w:color w:val="auto"/>
          <w:kern w:val="0"/>
          <w:sz w:val="24"/>
          <w:highlight w:val="none"/>
        </w:rPr>
        <w:t>乙方保证全天24小时正常运行并达到排放标准要求。</w:t>
      </w:r>
    </w:p>
    <w:p w14:paraId="3A2D54F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val="en-US" w:eastAsia="zh-CN"/>
        </w:rPr>
        <w:t>2</w:t>
      </w:r>
      <w:r>
        <w:rPr>
          <w:rFonts w:hint="eastAsia" w:ascii="宋体" w:hAnsi="宋体" w:cs="宋体"/>
          <w:color w:val="auto"/>
          <w:spacing w:val="2"/>
          <w:sz w:val="24"/>
          <w:highlight w:val="none"/>
        </w:rPr>
        <w:t>乙方</w:t>
      </w:r>
      <w:r>
        <w:rPr>
          <w:rFonts w:hint="eastAsia" w:ascii="宋体" w:hAnsi="宋体" w:cs="宋体"/>
          <w:color w:val="auto"/>
          <w:sz w:val="24"/>
          <w:highlight w:val="none"/>
        </w:rPr>
        <w:t>应充分了解甲方及主管部门的服务要求，制定详细管理服务方案。无条件接受甲方制定的各项规章制度，并根据项目管理的需要建立各种规范化管理制度、工作流程、考核制度及其他相关的工作制度；接受甲方的检查评估和监督；配合甲方保障上级单位的检查。</w:t>
      </w:r>
    </w:p>
    <w:p w14:paraId="0EC1399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val="en-US" w:eastAsia="zh-CN"/>
        </w:rPr>
        <w:t>3</w:t>
      </w:r>
      <w:r>
        <w:rPr>
          <w:rFonts w:hint="eastAsia" w:ascii="宋体" w:hAnsi="宋体" w:cs="宋体"/>
          <w:color w:val="auto"/>
          <w:spacing w:val="2"/>
          <w:sz w:val="24"/>
          <w:highlight w:val="none"/>
        </w:rPr>
        <w:t>乙方</w:t>
      </w:r>
      <w:r>
        <w:rPr>
          <w:rFonts w:hint="eastAsia" w:ascii="宋体" w:hAnsi="宋体" w:cs="宋体"/>
          <w:color w:val="auto"/>
          <w:sz w:val="24"/>
          <w:highlight w:val="none"/>
        </w:rPr>
        <w:t>须针对本项目组建专业的运营服务团队，并将人员配备情况书面报告甲方。</w:t>
      </w:r>
      <w:r>
        <w:rPr>
          <w:rFonts w:hint="eastAsia" w:ascii="宋体" w:hAnsi="宋体" w:cs="宋体"/>
          <w:color w:val="auto"/>
          <w:spacing w:val="2"/>
          <w:sz w:val="24"/>
          <w:highlight w:val="none"/>
        </w:rPr>
        <w:t>乙方</w:t>
      </w:r>
      <w:r>
        <w:rPr>
          <w:rFonts w:hint="eastAsia" w:ascii="宋体" w:hAnsi="宋体" w:cs="宋体"/>
          <w:color w:val="auto"/>
          <w:sz w:val="24"/>
          <w:highlight w:val="none"/>
        </w:rPr>
        <w:t>的服务人员必须具备相应技术能力及证书，特种作业人员必须持证上岗，且并提供有效证件复印件。</w:t>
      </w:r>
      <w:r>
        <w:rPr>
          <w:rFonts w:hint="eastAsia" w:ascii="宋体" w:hAnsi="宋体" w:cs="宋体"/>
          <w:color w:val="auto"/>
          <w:spacing w:val="2"/>
          <w:sz w:val="24"/>
          <w:highlight w:val="none"/>
        </w:rPr>
        <w:t>乙方</w:t>
      </w:r>
      <w:r>
        <w:rPr>
          <w:rFonts w:hint="eastAsia" w:ascii="宋体" w:hAnsi="宋体" w:cs="宋体"/>
          <w:color w:val="auto"/>
          <w:sz w:val="24"/>
          <w:highlight w:val="none"/>
        </w:rPr>
        <w:t>应按国家劳动法律、法规与工人确立合法的劳动管理合同，按时足额向工人发放工资，如发生恶意欠薪或</w:t>
      </w:r>
      <w:r>
        <w:rPr>
          <w:rFonts w:hint="eastAsia" w:ascii="宋体" w:hAnsi="宋体" w:cs="宋体"/>
          <w:color w:val="auto"/>
          <w:spacing w:val="2"/>
          <w:sz w:val="24"/>
          <w:highlight w:val="none"/>
        </w:rPr>
        <w:t>乙方</w:t>
      </w:r>
      <w:r>
        <w:rPr>
          <w:rFonts w:hint="eastAsia" w:ascii="宋体" w:hAnsi="宋体" w:cs="宋体"/>
          <w:color w:val="auto"/>
          <w:sz w:val="24"/>
          <w:highlight w:val="none"/>
        </w:rPr>
        <w:t>工人向甲方主张发放工资等情况，由</w:t>
      </w:r>
      <w:r>
        <w:rPr>
          <w:rFonts w:hint="eastAsia" w:ascii="宋体" w:hAnsi="宋体" w:cs="宋体"/>
          <w:color w:val="auto"/>
          <w:spacing w:val="2"/>
          <w:sz w:val="24"/>
          <w:highlight w:val="none"/>
        </w:rPr>
        <w:t>乙方</w:t>
      </w:r>
      <w:r>
        <w:rPr>
          <w:rFonts w:hint="eastAsia" w:ascii="宋体" w:hAnsi="宋体" w:cs="宋体"/>
          <w:color w:val="auto"/>
          <w:sz w:val="24"/>
          <w:highlight w:val="none"/>
        </w:rPr>
        <w:t>自行承担一切责任，甲方有权单方解除合同。</w:t>
      </w:r>
    </w:p>
    <w:p w14:paraId="0230F38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乙方须建立相应的内业档案制度（包括运营、巡查、检测、维修、安全管理等作业档案资料），要求有文字与图片记录，对运营服务工作进行书面记录和上报。</w:t>
      </w:r>
    </w:p>
    <w:p w14:paraId="1873A626">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6.5乙方须承包建立、填报各监管平台相关信息、年报等工作，提报前应经过甲方审核无误。并按照规定做好电子核纸质版存档。</w:t>
      </w:r>
    </w:p>
    <w:p w14:paraId="077D49E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lang w:val="en-US" w:eastAsia="zh-CN"/>
        </w:rPr>
        <w:t>6</w:t>
      </w:r>
      <w:r>
        <w:rPr>
          <w:rFonts w:hint="eastAsia" w:ascii="宋体" w:hAnsi="宋体" w:cs="宋体"/>
          <w:color w:val="auto"/>
          <w:spacing w:val="2"/>
          <w:sz w:val="24"/>
          <w:highlight w:val="none"/>
        </w:rPr>
        <w:t>乙方</w:t>
      </w:r>
      <w:r>
        <w:rPr>
          <w:rFonts w:hint="eastAsia" w:ascii="宋体" w:hAnsi="宋体" w:cs="宋体"/>
          <w:color w:val="auto"/>
          <w:sz w:val="24"/>
          <w:highlight w:val="none"/>
        </w:rPr>
        <w:t>须自备有完成本项目所需的工具、材料、防护用具等，且必须符合国家相关标准方可使用，否则，由此产生的一切经济损失及安全责任由</w:t>
      </w:r>
      <w:r>
        <w:rPr>
          <w:rFonts w:hint="eastAsia" w:ascii="宋体" w:hAnsi="宋体" w:cs="宋体"/>
          <w:color w:val="auto"/>
          <w:spacing w:val="2"/>
          <w:sz w:val="24"/>
          <w:highlight w:val="none"/>
        </w:rPr>
        <w:t>乙方</w:t>
      </w:r>
      <w:r>
        <w:rPr>
          <w:rFonts w:hint="eastAsia" w:ascii="宋体" w:hAnsi="宋体" w:cs="宋体"/>
          <w:color w:val="auto"/>
          <w:sz w:val="24"/>
          <w:highlight w:val="none"/>
        </w:rPr>
        <w:t>全部承担；造成较大损害，</w:t>
      </w:r>
      <w:r>
        <w:rPr>
          <w:rFonts w:hint="eastAsia" w:ascii="宋体" w:hAnsi="宋体" w:cs="宋体"/>
          <w:color w:val="auto"/>
          <w:spacing w:val="2"/>
          <w:sz w:val="24"/>
          <w:highlight w:val="none"/>
        </w:rPr>
        <w:t>乙方</w:t>
      </w:r>
      <w:r>
        <w:rPr>
          <w:rFonts w:hint="eastAsia" w:ascii="宋体" w:hAnsi="宋体" w:cs="宋体"/>
          <w:color w:val="auto"/>
          <w:sz w:val="24"/>
          <w:highlight w:val="none"/>
        </w:rPr>
        <w:t>还须承担相应的法律责任。</w:t>
      </w:r>
    </w:p>
    <w:p w14:paraId="6A738917">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spacing w:val="2"/>
          <w:sz w:val="24"/>
          <w:highlight w:val="none"/>
        </w:rPr>
        <w:t>6.</w:t>
      </w:r>
      <w:r>
        <w:rPr>
          <w:rFonts w:hint="eastAsia" w:ascii="宋体" w:hAnsi="宋体" w:cs="宋体"/>
          <w:color w:val="auto"/>
          <w:spacing w:val="2"/>
          <w:sz w:val="24"/>
          <w:highlight w:val="none"/>
          <w:lang w:val="en-US" w:eastAsia="zh-CN"/>
        </w:rPr>
        <w:t>7</w:t>
      </w:r>
      <w:r>
        <w:rPr>
          <w:rFonts w:hint="eastAsia" w:ascii="宋体" w:hAnsi="宋体" w:cs="宋体"/>
          <w:color w:val="auto"/>
          <w:spacing w:val="2"/>
          <w:sz w:val="24"/>
          <w:highlight w:val="none"/>
        </w:rPr>
        <w:t>本项目在运行时，乙方</w:t>
      </w:r>
      <w:r>
        <w:rPr>
          <w:rFonts w:hint="eastAsia" w:ascii="宋体" w:hAnsi="宋体" w:cs="宋体"/>
          <w:color w:val="auto"/>
          <w:kern w:val="0"/>
          <w:sz w:val="24"/>
          <w:highlight w:val="none"/>
        </w:rPr>
        <w:t>需考虑对周边环境的影响(如噪声、臭气等),乙方必须按相关法规做好防火、环保、噪声、臭气、排污、扬尘等控制措施，并承担相应费用。</w:t>
      </w:r>
    </w:p>
    <w:p w14:paraId="3F56A8B4">
      <w:pPr>
        <w:widowControl/>
        <w:spacing w:line="360" w:lineRule="auto"/>
        <w:ind w:firstLine="480" w:firstLineChars="200"/>
        <w:jc w:val="left"/>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6.</w:t>
      </w:r>
      <w:r>
        <w:rPr>
          <w:rFonts w:hint="eastAsia" w:ascii="宋体" w:hAnsi="宋体" w:cs="宋体"/>
          <w:color w:val="auto"/>
          <w:kern w:val="0"/>
          <w:sz w:val="24"/>
          <w:highlight w:val="none"/>
          <w:lang w:val="en-US" w:eastAsia="zh-CN"/>
        </w:rPr>
        <w:t>8乙方</w:t>
      </w:r>
      <w:r>
        <w:rPr>
          <w:rFonts w:hint="eastAsia" w:ascii="宋体" w:hAnsi="宋体" w:cs="宋体"/>
          <w:color w:val="auto"/>
          <w:sz w:val="24"/>
          <w:szCs w:val="24"/>
          <w:highlight w:val="none"/>
        </w:rPr>
        <w:t>制定技术经济指标，用以反映处理程度、处理能力、设备状态、运行成本及安全生产；对各项生产指标、能源和材料消耗等准确计量；协助园区建设单位管理企业废水排放，定期及突发状况下检测企业废水排放水质，制定相应处理方案等废水站系统全套运营管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协助甲方做好运行成本控制。</w:t>
      </w:r>
    </w:p>
    <w:p w14:paraId="0A24513E">
      <w:pPr>
        <w:widowControl/>
        <w:spacing w:line="360" w:lineRule="auto"/>
        <w:ind w:firstLine="482"/>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w:t>
      </w:r>
      <w:r>
        <w:rPr>
          <w:rFonts w:hint="eastAsia" w:ascii="宋体" w:hAnsi="宋体" w:eastAsia="宋体" w:cs="宋体"/>
          <w:color w:val="auto"/>
          <w:kern w:val="0"/>
          <w:sz w:val="24"/>
          <w:highlight w:val="none"/>
          <w:lang w:val="en-US" w:eastAsia="zh-CN"/>
        </w:rPr>
        <w:t>9</w:t>
      </w:r>
      <w:r>
        <w:rPr>
          <w:rFonts w:hint="eastAsia" w:ascii="宋体" w:hAnsi="宋体" w:eastAsia="宋体" w:cs="宋体"/>
          <w:color w:val="auto"/>
          <w:kern w:val="0"/>
          <w:sz w:val="24"/>
          <w:highlight w:val="none"/>
        </w:rPr>
        <w:t>乙方应在甲方规定的用地范围内提供服务，由甲方</w:t>
      </w:r>
      <w:r>
        <w:rPr>
          <w:rFonts w:hint="eastAsia" w:ascii="宋体" w:hAnsi="宋体" w:eastAsia="宋体" w:cs="宋体"/>
          <w:color w:val="auto"/>
          <w:kern w:val="0"/>
          <w:sz w:val="24"/>
          <w:highlight w:val="none"/>
          <w:lang w:val="en-US" w:eastAsia="zh-CN"/>
        </w:rPr>
        <w:t>协调主管部门</w:t>
      </w:r>
      <w:r>
        <w:rPr>
          <w:rFonts w:hint="eastAsia" w:ascii="宋体" w:hAnsi="宋体" w:eastAsia="宋体" w:cs="宋体"/>
          <w:color w:val="auto"/>
          <w:kern w:val="0"/>
          <w:sz w:val="24"/>
          <w:highlight w:val="none"/>
        </w:rPr>
        <w:t>办理相关用地手续。</w:t>
      </w:r>
    </w:p>
    <w:p w14:paraId="5E555828">
      <w:pPr>
        <w:widowControl/>
        <w:spacing w:line="360" w:lineRule="auto"/>
        <w:ind w:firstLine="482"/>
        <w:jc w:val="left"/>
        <w:rPr>
          <w:rFonts w:hint="default"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6.</w:t>
      </w:r>
      <w:r>
        <w:rPr>
          <w:rFonts w:hint="eastAsia" w:ascii="宋体" w:hAnsi="宋体" w:eastAsia="宋体" w:cs="宋体"/>
          <w:color w:val="auto"/>
          <w:kern w:val="0"/>
          <w:sz w:val="24"/>
          <w:highlight w:val="none"/>
          <w:lang w:val="en-US" w:eastAsia="zh-CN"/>
        </w:rPr>
        <w:t>10在线设备运营要求</w:t>
      </w:r>
    </w:p>
    <w:p w14:paraId="201CED2F">
      <w:pPr>
        <w:tabs>
          <w:tab w:val="left" w:pos="735"/>
        </w:tabs>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服务范围，包含且不限于：包含全年在线仪表所需的全套试剂、纯净水和标定核查专用质控样；包含全年运维维护所需的全部配件和易耗品；包含日常巡检维护、在线系统报备、月季年网上系统填报、日常环保局对接等；包含全年的4个季度</w:t>
      </w:r>
      <w:r>
        <w:rPr>
          <w:rFonts w:hint="eastAsia" w:ascii="宋体" w:hAnsi="宋体" w:cs="宋体"/>
          <w:color w:val="auto"/>
          <w:kern w:val="0"/>
          <w:sz w:val="24"/>
          <w:highlight w:val="none"/>
          <w:lang w:val="en-US" w:eastAsia="zh-CN"/>
        </w:rPr>
        <w:t>流量计比对检测和每个月</w:t>
      </w:r>
      <w:r>
        <w:rPr>
          <w:rFonts w:hint="eastAsia" w:ascii="宋体" w:hAnsi="宋体" w:cs="宋体"/>
          <w:color w:val="auto"/>
          <w:kern w:val="0"/>
          <w:sz w:val="24"/>
          <w:highlight w:val="none"/>
        </w:rPr>
        <w:t>的在线监测系统比对检测外委费用和材料编辑费用</w:t>
      </w:r>
      <w:r>
        <w:rPr>
          <w:rFonts w:hint="eastAsia" w:ascii="宋体" w:hAnsi="宋体" w:cs="宋体"/>
          <w:color w:val="auto"/>
          <w:kern w:val="0"/>
          <w:sz w:val="24"/>
          <w:highlight w:val="none"/>
          <w:lang w:val="en-US" w:eastAsia="zh-CN"/>
        </w:rPr>
        <w:t>等在线设备全部工作及费用</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包含环保</w:t>
      </w:r>
      <w:r>
        <w:rPr>
          <w:rFonts w:hint="eastAsia" w:ascii="宋体" w:hAnsi="宋体" w:eastAsia="宋体" w:cs="宋体"/>
          <w:color w:val="auto"/>
          <w:kern w:val="0"/>
          <w:sz w:val="24"/>
          <w:highlight w:val="none"/>
        </w:rPr>
        <w:t>监测</w:t>
      </w:r>
      <w:r>
        <w:rPr>
          <w:rFonts w:hint="eastAsia" w:ascii="宋体" w:hAnsi="宋体" w:eastAsia="宋体" w:cs="宋体"/>
          <w:color w:val="auto"/>
          <w:kern w:val="0"/>
          <w:sz w:val="24"/>
          <w:highlight w:val="none"/>
          <w:lang w:val="en-US" w:eastAsia="zh-CN"/>
        </w:rPr>
        <w:t>监管</w:t>
      </w:r>
      <w:r>
        <w:rPr>
          <w:rFonts w:hint="eastAsia" w:ascii="宋体" w:hAnsi="宋体" w:eastAsia="宋体" w:cs="宋体"/>
          <w:color w:val="auto"/>
          <w:kern w:val="0"/>
          <w:sz w:val="24"/>
          <w:highlight w:val="none"/>
        </w:rPr>
        <w:t>频次</w:t>
      </w:r>
      <w:r>
        <w:rPr>
          <w:rFonts w:hint="eastAsia" w:ascii="宋体" w:hAnsi="宋体" w:eastAsia="宋体" w:cs="宋体"/>
          <w:color w:val="auto"/>
          <w:kern w:val="0"/>
          <w:sz w:val="24"/>
          <w:highlight w:val="none"/>
          <w:lang w:val="en-US" w:eastAsia="zh-CN"/>
        </w:rPr>
        <w:t>的变动产生的相关费用。</w:t>
      </w:r>
      <w:r>
        <w:rPr>
          <w:rFonts w:hint="eastAsia" w:ascii="宋体" w:hAnsi="宋体" w:cs="宋体"/>
          <w:color w:val="auto"/>
          <w:sz w:val="24"/>
          <w:highlight w:val="none"/>
        </w:rPr>
        <w:t>乙方保证数据的真实性、准确性、有效性，并对设备数据负责。</w:t>
      </w:r>
      <w:r>
        <w:rPr>
          <w:rFonts w:hint="eastAsia" w:ascii="宋体" w:hAnsi="宋体" w:cs="宋体"/>
          <w:color w:val="auto"/>
          <w:spacing w:val="-3"/>
          <w:sz w:val="24"/>
          <w:highlight w:val="none"/>
          <w:lang w:val="en-US" w:eastAsia="zh-CN"/>
        </w:rPr>
        <w:t>在线设备清单表，详见附件。</w:t>
      </w:r>
    </w:p>
    <w:p w14:paraId="643B566E">
      <w:pPr>
        <w:spacing w:line="360" w:lineRule="auto"/>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在线监测系统</w:t>
      </w:r>
      <w:r>
        <w:rPr>
          <w:rFonts w:hint="eastAsia" w:ascii="宋体" w:hAnsi="宋体" w:cs="宋体"/>
          <w:color w:val="auto"/>
          <w:sz w:val="24"/>
          <w:highlight w:val="none"/>
          <w:lang w:val="en-US" w:eastAsia="zh-CN" w:bidi="ar"/>
        </w:rPr>
        <w:t>运维包含且不限于：</w:t>
      </w:r>
      <w:r>
        <w:rPr>
          <w:rFonts w:hint="eastAsia" w:ascii="宋体" w:hAnsi="宋体" w:cs="宋体"/>
          <w:color w:val="auto"/>
          <w:sz w:val="24"/>
          <w:highlight w:val="none"/>
          <w:lang w:bidi="ar"/>
        </w:rPr>
        <w:t>环境在线监测系统基本运维工作管控</w:t>
      </w:r>
      <w:r>
        <w:rPr>
          <w:rFonts w:hint="eastAsia" w:ascii="宋体" w:hAnsi="宋体" w:cs="宋体"/>
          <w:color w:val="auto"/>
          <w:sz w:val="24"/>
          <w:highlight w:val="none"/>
          <w:lang w:eastAsia="zh-CN" w:bidi="ar"/>
        </w:rPr>
        <w:t>；</w:t>
      </w:r>
      <w:r>
        <w:rPr>
          <w:rFonts w:hint="eastAsia" w:ascii="宋体" w:hAnsi="宋体" w:cs="宋体"/>
          <w:color w:val="auto"/>
          <w:sz w:val="24"/>
          <w:highlight w:val="none"/>
          <w:lang w:bidi="ar"/>
        </w:rPr>
        <w:t>每周对各套系统各部件进行一次运行检查；每月对仪表进行一次质控样抽检及数据核对；每月对仪表进行一次监督性抽检比对（安排水样采集配送至实验室）；</w:t>
      </w:r>
      <w:r>
        <w:rPr>
          <w:rFonts w:hint="eastAsia" w:ascii="宋体" w:hAnsi="宋体" w:cs="宋体"/>
          <w:color w:val="auto"/>
          <w:sz w:val="24"/>
          <w:highlight w:val="none"/>
          <w:lang w:val="en-US" w:eastAsia="zh-CN" w:bidi="ar"/>
        </w:rPr>
        <w:t>按要求</w:t>
      </w:r>
      <w:r>
        <w:rPr>
          <w:rFonts w:hint="eastAsia" w:ascii="宋体" w:hAnsi="宋体" w:cs="宋体"/>
          <w:color w:val="auto"/>
          <w:sz w:val="24"/>
          <w:highlight w:val="none"/>
          <w:lang w:bidi="ar"/>
        </w:rPr>
        <w:t>对仪表进行一次检修和清理；环境在线监测系统消耗性材料的供应和管控；环境在线监测系统备品备件的更换的管控；环境在线监测系统投运率、数据联网率与上传率及有效性达到国家环保法律法规、环保部减排核查核算督查中心、省环保厅及相关考核部门的要求。对设备开停机数据及异常情况的处理管控。超标排放数据处理,当测量数据超标时，运维管控专员第一时间落实问题原因，如设备所致异常超标，协同甲方工程师启动应急检修、修复程序，找出问题原因，减少异常超标小时数；如设备正常运行，处理不达标所致超标，第一时间通知甲方项目公司,启动应急响应程序，减少超标数据。最终将情况反馈给当地环保部门，在线设备异常故障修约事宜，乙方管控专员跟进完成。</w:t>
      </w:r>
    </w:p>
    <w:p w14:paraId="5D78564C">
      <w:pPr>
        <w:spacing w:line="360" w:lineRule="auto"/>
        <w:ind w:firstLine="480" w:firstLineChars="200"/>
        <w:rPr>
          <w:rFonts w:hint="eastAsia" w:ascii="宋体" w:hAnsi="宋体" w:cs="宋体"/>
          <w:color w:val="auto"/>
          <w:sz w:val="24"/>
          <w:highlight w:val="none"/>
          <w:lang w:bidi="ar"/>
        </w:rPr>
      </w:pPr>
      <w:r>
        <w:rPr>
          <w:rFonts w:hint="eastAsia" w:ascii="宋体" w:hAnsi="宋体" w:cs="宋体"/>
          <w:color w:val="auto"/>
          <w:sz w:val="24"/>
          <w:highlight w:val="none"/>
          <w:lang w:bidi="ar"/>
        </w:rPr>
        <w:t>按照</w:t>
      </w:r>
      <w:r>
        <w:rPr>
          <w:rFonts w:hint="eastAsia" w:ascii="宋体" w:hAnsi="宋体" w:cs="宋体"/>
          <w:color w:val="auto"/>
          <w:sz w:val="24"/>
          <w:highlight w:val="none"/>
          <w:lang w:eastAsia="zh-Hans" w:bidi="ar"/>
        </w:rPr>
        <w:t>甲方的公司</w:t>
      </w:r>
      <w:r>
        <w:rPr>
          <w:rFonts w:hint="eastAsia" w:ascii="宋体" w:hAnsi="宋体" w:cs="宋体"/>
          <w:color w:val="auto"/>
          <w:sz w:val="24"/>
          <w:highlight w:val="none"/>
          <w:lang w:bidi="ar"/>
        </w:rPr>
        <w:t>管理要求，</w:t>
      </w:r>
      <w:r>
        <w:rPr>
          <w:rFonts w:hint="eastAsia" w:ascii="宋体" w:hAnsi="宋体" w:cs="宋体"/>
          <w:color w:val="auto"/>
          <w:sz w:val="24"/>
          <w:highlight w:val="none"/>
          <w:lang w:eastAsia="zh-Hans" w:bidi="ar"/>
        </w:rPr>
        <w:t>配合</w:t>
      </w:r>
      <w:r>
        <w:rPr>
          <w:rFonts w:hint="eastAsia" w:ascii="宋体" w:hAnsi="宋体" w:cs="宋体"/>
          <w:color w:val="auto"/>
          <w:sz w:val="24"/>
          <w:highlight w:val="none"/>
          <w:lang w:bidi="ar"/>
        </w:rPr>
        <w:t>处理由在线监测设备产生的废液的管理事宜。</w:t>
      </w:r>
    </w:p>
    <w:p w14:paraId="64657315">
      <w:pPr>
        <w:spacing w:line="360" w:lineRule="auto"/>
        <w:ind w:firstLine="480" w:firstLineChars="200"/>
        <w:rPr>
          <w:rFonts w:hint="eastAsia"/>
          <w:color w:val="auto"/>
          <w:highlight w:val="none"/>
        </w:rPr>
      </w:pPr>
      <w:r>
        <w:rPr>
          <w:rFonts w:hint="eastAsia" w:ascii="宋体" w:hAnsi="宋体" w:cs="宋体"/>
          <w:color w:val="auto"/>
          <w:sz w:val="24"/>
          <w:highlight w:val="none"/>
          <w:lang w:bidi="ar"/>
        </w:rPr>
        <w:t>在线监测系统</w:t>
      </w:r>
      <w:r>
        <w:rPr>
          <w:rFonts w:hint="eastAsia" w:ascii="宋体" w:hAnsi="宋体" w:cs="宋体"/>
          <w:color w:val="auto"/>
          <w:sz w:val="24"/>
          <w:highlight w:val="none"/>
          <w:lang w:val="en-US" w:eastAsia="zh-CN" w:bidi="ar"/>
        </w:rPr>
        <w:t>运维应满足相关监管部门和法律法规的要求。</w:t>
      </w:r>
    </w:p>
    <w:p w14:paraId="0F782E42">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6.1</w:t>
      </w:r>
      <w:r>
        <w:rPr>
          <w:rFonts w:hint="eastAsia" w:ascii="宋体" w:hAnsi="宋体" w:cs="宋体"/>
          <w:color w:val="auto"/>
          <w:kern w:val="0"/>
          <w:sz w:val="24"/>
          <w:highlight w:val="none"/>
          <w:lang w:val="en-US" w:eastAsia="zh-CN"/>
        </w:rPr>
        <w:t>1危废</w:t>
      </w:r>
      <w:r>
        <w:rPr>
          <w:rFonts w:hint="eastAsia" w:ascii="宋体" w:hAnsi="宋体" w:cs="宋体"/>
          <w:color w:val="auto"/>
          <w:kern w:val="0"/>
          <w:sz w:val="24"/>
          <w:highlight w:val="none"/>
        </w:rPr>
        <w:t>的处置</w:t>
      </w:r>
    </w:p>
    <w:p w14:paraId="37543431">
      <w:pPr>
        <w:widowControl/>
        <w:spacing w:line="360" w:lineRule="auto"/>
        <w:ind w:firstLine="480"/>
        <w:jc w:val="left"/>
        <w:rPr>
          <w:rStyle w:val="54"/>
          <w:rFonts w:hint="eastAsia" w:ascii="宋体" w:hAnsi="宋体" w:cs="宋体"/>
          <w:b w:val="0"/>
          <w:bCs w:val="0"/>
          <w:color w:val="auto"/>
          <w:kern w:val="0"/>
          <w:sz w:val="24"/>
          <w:highlight w:val="none"/>
        </w:rPr>
      </w:pPr>
      <w:r>
        <w:rPr>
          <w:rStyle w:val="54"/>
          <w:rFonts w:hint="eastAsia" w:ascii="宋体" w:hAnsi="宋体" w:cs="宋体"/>
          <w:b w:val="0"/>
          <w:bCs w:val="0"/>
          <w:color w:val="auto"/>
          <w:kern w:val="0"/>
          <w:sz w:val="24"/>
          <w:highlight w:val="none"/>
        </w:rPr>
        <w:t>本项目</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处置由甲方与</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处置持证单位签订</w:t>
      </w:r>
      <w:r>
        <w:rPr>
          <w:rStyle w:val="54"/>
          <w:rFonts w:hint="eastAsia" w:ascii="宋体" w:hAnsi="宋体" w:cs="宋体"/>
          <w:b w:val="0"/>
          <w:bCs w:val="0"/>
          <w:color w:val="auto"/>
          <w:kern w:val="0"/>
          <w:sz w:val="24"/>
          <w:highlight w:val="none"/>
          <w:lang w:val="en-US" w:eastAsia="zh-CN"/>
        </w:rPr>
        <w:t>危废</w:t>
      </w:r>
      <w:r>
        <w:rPr>
          <w:rStyle w:val="54"/>
          <w:rFonts w:hint="eastAsia" w:ascii="宋体" w:hAnsi="宋体" w:cs="宋体"/>
          <w:b w:val="0"/>
          <w:bCs w:val="0"/>
          <w:color w:val="auto"/>
          <w:kern w:val="0"/>
          <w:sz w:val="24"/>
          <w:highlight w:val="none"/>
        </w:rPr>
        <w:t>处置的消纳合同。</w:t>
      </w:r>
    </w:p>
    <w:p w14:paraId="0FAA208B">
      <w:pPr>
        <w:widowControl/>
        <w:spacing w:line="360" w:lineRule="auto"/>
        <w:ind w:firstLine="482"/>
        <w:jc w:val="left"/>
        <w:rPr>
          <w:rFonts w:hint="eastAsia" w:ascii="宋体" w:hAnsi="宋体" w:cs="宋体"/>
          <w:color w:val="auto"/>
          <w:kern w:val="0"/>
          <w:sz w:val="24"/>
          <w:highlight w:val="none"/>
        </w:rPr>
      </w:pPr>
      <w:r>
        <w:rPr>
          <w:rFonts w:hint="eastAsia" w:ascii="宋体" w:hAnsi="宋体" w:cs="宋体"/>
          <w:color w:val="auto"/>
          <w:kern w:val="0"/>
          <w:sz w:val="24"/>
          <w:highlight w:val="none"/>
        </w:rPr>
        <w:t>乙方应根据现场储存情况，及时通知甲方及</w:t>
      </w:r>
      <w:r>
        <w:rPr>
          <w:rStyle w:val="54"/>
          <w:rFonts w:hint="eastAsia" w:ascii="宋体" w:hAnsi="宋体" w:cs="宋体"/>
          <w:b w:val="0"/>
          <w:bCs w:val="0"/>
          <w:color w:val="auto"/>
          <w:kern w:val="0"/>
          <w:sz w:val="24"/>
          <w:highlight w:val="none"/>
          <w:lang w:val="en-US" w:eastAsia="zh-CN"/>
        </w:rPr>
        <w:t>危废</w:t>
      </w:r>
      <w:r>
        <w:rPr>
          <w:rFonts w:hint="eastAsia" w:ascii="宋体" w:hAnsi="宋体" w:cs="宋体"/>
          <w:color w:val="auto"/>
          <w:kern w:val="0"/>
          <w:sz w:val="24"/>
          <w:highlight w:val="none"/>
        </w:rPr>
        <w:t>处置单位对</w:t>
      </w:r>
      <w:r>
        <w:rPr>
          <w:rFonts w:hint="eastAsia" w:ascii="宋体" w:hAnsi="宋体" w:cs="宋体"/>
          <w:color w:val="auto"/>
          <w:kern w:val="0"/>
          <w:sz w:val="24"/>
          <w:highlight w:val="none"/>
          <w:lang w:val="en-US" w:eastAsia="zh-CN"/>
        </w:rPr>
        <w:t>现场危废</w:t>
      </w:r>
      <w:r>
        <w:rPr>
          <w:rFonts w:hint="eastAsia" w:ascii="宋体" w:hAnsi="宋体" w:cs="宋体"/>
          <w:color w:val="auto"/>
          <w:kern w:val="0"/>
          <w:sz w:val="24"/>
          <w:highlight w:val="none"/>
        </w:rPr>
        <w:t>进行处</w:t>
      </w:r>
      <w:r>
        <w:rPr>
          <w:rFonts w:hint="eastAsia" w:ascii="宋体" w:hAnsi="宋体" w:cs="宋体"/>
          <w:color w:val="auto"/>
          <w:spacing w:val="2"/>
          <w:sz w:val="24"/>
          <w:highlight w:val="none"/>
        </w:rPr>
        <w:t>置。</w:t>
      </w:r>
    </w:p>
    <w:p w14:paraId="4749F204">
      <w:pPr>
        <w:widowControl/>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乙方在本项目服务过程中应协助甲方严格执行政府相关部门关于</w:t>
      </w:r>
      <w:r>
        <w:rPr>
          <w:rFonts w:hint="eastAsia" w:ascii="宋体" w:hAnsi="宋体" w:cs="宋体"/>
          <w:color w:val="auto"/>
          <w:kern w:val="0"/>
          <w:sz w:val="24"/>
          <w:highlight w:val="none"/>
          <w:lang w:val="en-US" w:eastAsia="zh-CN"/>
        </w:rPr>
        <w:t>危废</w:t>
      </w:r>
      <w:r>
        <w:rPr>
          <w:rFonts w:hint="eastAsia" w:ascii="宋体" w:hAnsi="宋体" w:cs="宋体"/>
          <w:color w:val="auto"/>
          <w:kern w:val="0"/>
          <w:sz w:val="24"/>
          <w:highlight w:val="none"/>
        </w:rPr>
        <w:t>外运处置全流程监管工作细则</w:t>
      </w:r>
      <w:r>
        <w:rPr>
          <w:rFonts w:hint="eastAsia" w:ascii="宋体" w:hAnsi="宋体" w:cs="宋体"/>
          <w:color w:val="auto"/>
          <w:kern w:val="0"/>
          <w:sz w:val="24"/>
          <w:highlight w:val="none"/>
          <w:lang w:val="en-US" w:eastAsia="zh-CN"/>
        </w:rPr>
        <w:t>及危废仓储存放管理</w:t>
      </w:r>
      <w:r>
        <w:rPr>
          <w:rFonts w:hint="eastAsia" w:ascii="宋体" w:hAnsi="宋体" w:cs="宋体"/>
          <w:color w:val="auto"/>
          <w:kern w:val="0"/>
          <w:sz w:val="24"/>
          <w:highlight w:val="none"/>
        </w:rPr>
        <w:t>等相关文件，因乙方原因造成的经济损失和法律责任由</w:t>
      </w:r>
      <w:r>
        <w:rPr>
          <w:rFonts w:hint="eastAsia" w:ascii="宋体" w:hAnsi="宋体" w:cs="宋体"/>
          <w:color w:val="auto"/>
          <w:kern w:val="0"/>
          <w:sz w:val="24"/>
          <w:highlight w:val="none"/>
          <w:lang w:val="en-US" w:eastAsia="zh-CN"/>
        </w:rPr>
        <w:t>乙方</w:t>
      </w:r>
      <w:r>
        <w:rPr>
          <w:rFonts w:hint="eastAsia" w:ascii="宋体" w:hAnsi="宋体" w:cs="宋体"/>
          <w:color w:val="auto"/>
          <w:kern w:val="0"/>
          <w:sz w:val="24"/>
          <w:highlight w:val="none"/>
        </w:rPr>
        <w:t>承担。</w:t>
      </w:r>
    </w:p>
    <w:p w14:paraId="45298A99">
      <w:pPr>
        <w:spacing w:line="360" w:lineRule="auto"/>
        <w:ind w:firstLine="480" w:firstLineChars="200"/>
        <w:rPr>
          <w:rFonts w:hint="default" w:ascii="宋体" w:hAnsi="宋体" w:eastAsia="宋体" w:cs="宋体"/>
          <w:color w:val="auto"/>
          <w:spacing w:val="-3"/>
          <w:sz w:val="24"/>
          <w:highlight w:val="none"/>
          <w:lang w:val="en-US" w:eastAsia="zh-CN"/>
        </w:rPr>
      </w:pPr>
      <w:r>
        <w:rPr>
          <w:rFonts w:hint="eastAsia" w:ascii="宋体" w:hAnsi="宋体" w:cs="宋体"/>
          <w:color w:val="auto"/>
          <w:kern w:val="0"/>
          <w:sz w:val="24"/>
          <w:highlight w:val="none"/>
        </w:rPr>
        <w:t>6.1</w:t>
      </w:r>
      <w:r>
        <w:rPr>
          <w:rFonts w:hint="eastAsia" w:ascii="宋体" w:hAnsi="宋体" w:cs="宋体"/>
          <w:color w:val="auto"/>
          <w:kern w:val="0"/>
          <w:sz w:val="24"/>
          <w:highlight w:val="none"/>
          <w:lang w:val="en-US" w:eastAsia="zh-CN"/>
        </w:rPr>
        <w:t>2废气</w:t>
      </w:r>
      <w:r>
        <w:rPr>
          <w:rFonts w:hint="eastAsia" w:ascii="宋体" w:hAnsi="宋体" w:cs="宋体"/>
          <w:color w:val="auto"/>
          <w:spacing w:val="-3"/>
          <w:sz w:val="24"/>
          <w:highlight w:val="none"/>
          <w:lang w:val="en-US" w:eastAsia="zh-CN"/>
        </w:rPr>
        <w:t>运营要求</w:t>
      </w:r>
    </w:p>
    <w:p w14:paraId="1A6FD9EE">
      <w:pPr>
        <w:widowControl/>
        <w:spacing w:line="360" w:lineRule="auto"/>
        <w:ind w:firstLine="482"/>
        <w:jc w:val="left"/>
        <w:rPr>
          <w:rFonts w:hint="eastAsia"/>
          <w:color w:val="auto"/>
          <w:highlight w:val="none"/>
        </w:rPr>
      </w:pPr>
      <w:r>
        <w:rPr>
          <w:rFonts w:hint="eastAsia" w:ascii="宋体" w:hAnsi="宋体" w:cs="宋体"/>
          <w:color w:val="auto"/>
          <w:kern w:val="0"/>
          <w:sz w:val="24"/>
          <w:highlight w:val="none"/>
        </w:rPr>
        <w:t>乙方应根据</w:t>
      </w:r>
      <w:r>
        <w:rPr>
          <w:rFonts w:hint="eastAsia" w:ascii="宋体" w:hAnsi="宋体" w:cs="宋体"/>
          <w:color w:val="auto"/>
          <w:kern w:val="0"/>
          <w:sz w:val="24"/>
          <w:highlight w:val="none"/>
          <w:lang w:val="en-US" w:eastAsia="zh-CN"/>
        </w:rPr>
        <w:t>现场实际情况进行耗材及药剂的替换补充，应保证废气处理达标排放。</w:t>
      </w:r>
    </w:p>
    <w:p w14:paraId="369D0456">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6.13运维人员要求</w:t>
      </w:r>
    </w:p>
    <w:p w14:paraId="03A603A4">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rPr>
        <w:t>运营人工服务成员包括不限于</w:t>
      </w:r>
      <w:r>
        <w:rPr>
          <w:rFonts w:hint="eastAsia" w:ascii="宋体" w:hAnsi="宋体" w:eastAsia="宋体" w:cs="宋体"/>
          <w:color w:val="auto"/>
          <w:spacing w:val="2"/>
          <w:sz w:val="24"/>
          <w:highlight w:val="none"/>
          <w:lang w:val="en-US" w:eastAsia="zh-CN"/>
        </w:rPr>
        <w:t>项目负责人</w:t>
      </w:r>
      <w:r>
        <w:rPr>
          <w:rFonts w:hint="eastAsia" w:ascii="宋体" w:hAnsi="宋体" w:eastAsia="宋体" w:cs="宋体"/>
          <w:color w:val="auto"/>
          <w:spacing w:val="2"/>
          <w:sz w:val="24"/>
          <w:highlight w:val="none"/>
        </w:rPr>
        <w:t>、</w:t>
      </w:r>
      <w:r>
        <w:rPr>
          <w:rFonts w:hint="eastAsia" w:ascii="宋体" w:hAnsi="宋体" w:eastAsia="宋体" w:cs="宋体"/>
          <w:color w:val="auto"/>
          <w:spacing w:val="2"/>
          <w:sz w:val="24"/>
          <w:highlight w:val="none"/>
          <w:lang w:eastAsia="zh-CN"/>
        </w:rPr>
        <w:t>项目技术负责人</w:t>
      </w:r>
      <w:r>
        <w:rPr>
          <w:rFonts w:hint="eastAsia" w:ascii="宋体" w:hAnsi="宋体" w:eastAsia="宋体" w:cs="宋体"/>
          <w:color w:val="auto"/>
          <w:spacing w:val="2"/>
          <w:sz w:val="24"/>
          <w:highlight w:val="none"/>
        </w:rPr>
        <w:t>、操作人员</w:t>
      </w:r>
      <w:r>
        <w:rPr>
          <w:rFonts w:hint="eastAsia" w:ascii="宋体" w:hAnsi="宋体" w:cs="宋体"/>
          <w:color w:val="auto"/>
          <w:spacing w:val="2"/>
          <w:sz w:val="24"/>
          <w:highlight w:val="none"/>
          <w:lang w:eastAsia="zh-CN"/>
        </w:rPr>
        <w:t>（</w:t>
      </w:r>
      <w:r>
        <w:rPr>
          <w:rFonts w:hint="eastAsia" w:ascii="宋体" w:hAnsi="宋体" w:cs="宋体"/>
          <w:color w:val="auto"/>
          <w:spacing w:val="2"/>
          <w:sz w:val="24"/>
          <w:highlight w:val="none"/>
          <w:lang w:val="en-US" w:eastAsia="zh-CN"/>
        </w:rPr>
        <w:t>含污废水处理工和自动监控污废水运行工</w:t>
      </w:r>
      <w:r>
        <w:rPr>
          <w:rFonts w:hint="eastAsia" w:ascii="宋体" w:hAnsi="宋体" w:cs="宋体"/>
          <w:color w:val="auto"/>
          <w:spacing w:val="2"/>
          <w:sz w:val="24"/>
          <w:highlight w:val="none"/>
          <w:lang w:eastAsia="zh-CN"/>
        </w:rPr>
        <w:t>）</w:t>
      </w:r>
      <w:r>
        <w:rPr>
          <w:rFonts w:hint="eastAsia" w:ascii="宋体" w:hAnsi="宋体" w:eastAsia="宋体" w:cs="宋体"/>
          <w:color w:val="auto"/>
          <w:spacing w:val="2"/>
          <w:sz w:val="24"/>
          <w:highlight w:val="none"/>
        </w:rPr>
        <w:t>，且均必须为专职人员，不允许身兼数职。</w:t>
      </w:r>
      <w:r>
        <w:rPr>
          <w:rFonts w:hint="eastAsia" w:ascii="宋体" w:hAnsi="宋体" w:eastAsia="宋体" w:cs="宋体"/>
          <w:color w:val="auto"/>
          <w:spacing w:val="2"/>
          <w:sz w:val="24"/>
          <w:highlight w:val="none"/>
          <w:lang w:eastAsia="zh-CN"/>
        </w:rPr>
        <w:t>项目负责人</w:t>
      </w:r>
      <w:r>
        <w:rPr>
          <w:rFonts w:hint="eastAsia" w:ascii="宋体" w:hAnsi="宋体" w:eastAsia="宋体" w:cs="宋体"/>
          <w:color w:val="auto"/>
          <w:spacing w:val="2"/>
          <w:sz w:val="24"/>
          <w:highlight w:val="none"/>
        </w:rPr>
        <w:t>至少有三年以上同等职位管理工作经验，</w:t>
      </w:r>
      <w:r>
        <w:rPr>
          <w:rFonts w:hint="eastAsia" w:ascii="宋体" w:hAnsi="宋体" w:eastAsia="宋体" w:cs="宋体"/>
          <w:color w:val="auto"/>
          <w:spacing w:val="2"/>
          <w:sz w:val="24"/>
          <w:highlight w:val="none"/>
          <w:lang w:eastAsia="zh-CN"/>
        </w:rPr>
        <w:t>项目技术负责人</w:t>
      </w:r>
      <w:r>
        <w:rPr>
          <w:rFonts w:hint="eastAsia" w:ascii="宋体" w:hAnsi="宋体" w:eastAsia="宋体" w:cs="宋体"/>
          <w:color w:val="auto"/>
          <w:spacing w:val="2"/>
          <w:sz w:val="24"/>
          <w:highlight w:val="none"/>
        </w:rPr>
        <w:t>至少有2年以上同等职位管理工作经验，操作人员至少有半年以上相关岗位管理工作经验。应明确各岗位</w:t>
      </w:r>
      <w:r>
        <w:rPr>
          <w:rFonts w:hint="eastAsia" w:ascii="宋体" w:hAnsi="宋体" w:cs="宋体"/>
          <w:color w:val="auto"/>
          <w:spacing w:val="2"/>
          <w:sz w:val="24"/>
          <w:highlight w:val="none"/>
          <w:lang w:val="en-US" w:eastAsia="zh-CN"/>
        </w:rPr>
        <w:t>人员</w:t>
      </w:r>
      <w:r>
        <w:rPr>
          <w:rFonts w:hint="eastAsia" w:ascii="宋体" w:hAnsi="宋体" w:eastAsia="宋体" w:cs="宋体"/>
          <w:color w:val="auto"/>
          <w:spacing w:val="2"/>
          <w:sz w:val="24"/>
          <w:highlight w:val="none"/>
        </w:rPr>
        <w:t>的职位职责和职位要求。</w:t>
      </w:r>
    </w:p>
    <w:p w14:paraId="1A680C09">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运维人员应为投标人员，非甲方原因，每次进行人员更换和调动，项目负责人、项目技术负责人每更换和调动一次罚款2000元。更换和调动事宜必须事先向甲方通报，更换和调动后人员必须满足变更前同等资质。并应落实好各项合法手续，严禁出现未经教育和考核的人员上岗。</w:t>
      </w:r>
    </w:p>
    <w:p w14:paraId="4892E14B">
      <w:pPr>
        <w:pStyle w:val="178"/>
        <w:spacing w:line="360" w:lineRule="auto"/>
        <w:ind w:firstLine="480"/>
        <w:rPr>
          <w:rFonts w:hint="default" w:ascii="宋体" w:hAnsi="宋体" w:eastAsia="宋体" w:cs="宋体"/>
          <w:color w:val="auto"/>
          <w:spacing w:val="2"/>
          <w:sz w:val="24"/>
          <w:highlight w:val="none"/>
          <w:lang w:val="en-US" w:eastAsia="zh-CN"/>
        </w:rPr>
      </w:pPr>
      <w:r>
        <w:rPr>
          <w:rFonts w:hint="eastAsia" w:ascii="宋体" w:hAnsi="宋体" w:cs="宋体"/>
          <w:color w:val="auto"/>
          <w:sz w:val="24"/>
          <w:szCs w:val="24"/>
          <w:highlight w:val="none"/>
        </w:rPr>
        <w:t>运营阶段，</w:t>
      </w:r>
      <w:r>
        <w:rPr>
          <w:rFonts w:hint="eastAsia" w:ascii="宋体" w:hAnsi="宋体" w:cs="宋体"/>
          <w:color w:val="auto"/>
          <w:sz w:val="24"/>
          <w:szCs w:val="24"/>
          <w:highlight w:val="none"/>
          <w:lang w:eastAsia="zh-CN"/>
        </w:rPr>
        <w:t>招标人</w:t>
      </w:r>
      <w:r>
        <w:rPr>
          <w:rFonts w:hint="eastAsia" w:ascii="宋体" w:hAnsi="宋体" w:cs="宋体"/>
          <w:color w:val="auto"/>
          <w:sz w:val="24"/>
          <w:szCs w:val="24"/>
          <w:highlight w:val="none"/>
        </w:rPr>
        <w:t>有权根据废水排水量调整管理团队的人数，费用根据实际岗位及人数的报价进行支付。</w:t>
      </w:r>
    </w:p>
    <w:p w14:paraId="7C594761">
      <w:pPr>
        <w:spacing w:line="360" w:lineRule="auto"/>
        <w:ind w:right="1358"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rPr>
        <w:t>6.</w:t>
      </w:r>
      <w:r>
        <w:rPr>
          <w:rFonts w:hint="eastAsia" w:ascii="宋体" w:hAnsi="宋体" w:cs="宋体"/>
          <w:color w:val="auto"/>
          <w:spacing w:val="2"/>
          <w:sz w:val="24"/>
          <w:highlight w:val="none"/>
          <w:lang w:val="en-US" w:eastAsia="zh-CN"/>
        </w:rPr>
        <w:t>14</w:t>
      </w:r>
      <w:r>
        <w:rPr>
          <w:rFonts w:hint="eastAsia" w:ascii="宋体" w:hAnsi="宋体" w:cs="宋体"/>
          <w:color w:val="auto"/>
          <w:spacing w:val="2"/>
          <w:sz w:val="24"/>
          <w:highlight w:val="none"/>
        </w:rPr>
        <w:t>安全管理</w:t>
      </w:r>
    </w:p>
    <w:p w14:paraId="3758C1AB">
      <w:pPr>
        <w:spacing w:line="360" w:lineRule="auto"/>
        <w:ind w:firstLine="488" w:firstLineChars="200"/>
        <w:rPr>
          <w:rFonts w:hint="eastAsia" w:ascii="宋体" w:hAnsi="宋体" w:cs="宋体"/>
          <w:color w:val="auto"/>
          <w:sz w:val="24"/>
          <w:highlight w:val="none"/>
        </w:rPr>
      </w:pPr>
      <w:r>
        <w:rPr>
          <w:rFonts w:hint="eastAsia" w:ascii="宋体" w:hAnsi="宋体" w:cs="宋体"/>
          <w:color w:val="auto"/>
          <w:spacing w:val="2"/>
          <w:sz w:val="24"/>
          <w:highlight w:val="none"/>
        </w:rPr>
        <w:t>乙方须服从甲方及相关主管部门的安全生产管理，针对本项目购买相应保险，服务期间对所投入的服务人员开展安全培训，对项目实施过程中发生的人身安全及对第三者造成的人身伤害或损失负全责。乙方</w:t>
      </w:r>
      <w:r>
        <w:rPr>
          <w:rFonts w:hint="eastAsia" w:ascii="宋体" w:hAnsi="宋体" w:cs="宋体"/>
          <w:color w:val="auto"/>
          <w:sz w:val="24"/>
          <w:highlight w:val="none"/>
        </w:rPr>
        <w:t>应建立安全方面的制度和措施，每月至少一次召集本项目人员召开安全例会或安全培训，并将有关情况书面上报</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。文明施工要求做到：不得扰民施工；及时清理维护施工现场，垃圾要求日产日清；爱护公共设施；设置施工警示标识及围护设施，做到规范化、标准化，达到安全文明施工要求。</w:t>
      </w:r>
    </w:p>
    <w:p w14:paraId="6856B168">
      <w:pPr>
        <w:numPr>
          <w:ilvl w:val="0"/>
          <w:numId w:val="0"/>
        </w:numPr>
        <w:spacing w:line="360" w:lineRule="auto"/>
        <w:ind w:firstLine="458" w:firstLineChars="200"/>
        <w:outlineLvl w:val="0"/>
        <w:rPr>
          <w:rFonts w:hint="eastAsia" w:ascii="宋体" w:hAnsi="宋体" w:cs="宋体"/>
          <w:b/>
          <w:bCs/>
          <w:color w:val="auto"/>
          <w:spacing w:val="-6"/>
          <w:sz w:val="24"/>
          <w:highlight w:val="none"/>
        </w:rPr>
      </w:pPr>
      <w:r>
        <w:rPr>
          <w:rFonts w:hint="eastAsia" w:ascii="宋体" w:hAnsi="宋体" w:cs="宋体"/>
          <w:b/>
          <w:bCs/>
          <w:color w:val="auto"/>
          <w:spacing w:val="-6"/>
          <w:kern w:val="2"/>
          <w:sz w:val="24"/>
          <w:szCs w:val="24"/>
          <w:highlight w:val="none"/>
          <w:lang w:val="en-US" w:eastAsia="zh-CN" w:bidi="ar-SA"/>
        </w:rPr>
        <w:t>7</w:t>
      </w:r>
      <w:r>
        <w:rPr>
          <w:rFonts w:hint="eastAsia" w:ascii="宋体" w:hAnsi="宋体" w:eastAsia="宋体" w:cs="宋体"/>
          <w:b/>
          <w:bCs/>
          <w:color w:val="auto"/>
          <w:spacing w:val="-6"/>
          <w:kern w:val="2"/>
          <w:sz w:val="24"/>
          <w:szCs w:val="24"/>
          <w:highlight w:val="none"/>
          <w:lang w:val="en-US" w:eastAsia="zh-CN" w:bidi="ar-SA"/>
        </w:rPr>
        <w:t>.</w:t>
      </w:r>
      <w:r>
        <w:rPr>
          <w:rFonts w:hint="eastAsia" w:ascii="宋体" w:hAnsi="宋体" w:cs="宋体"/>
          <w:b/>
          <w:bCs/>
          <w:color w:val="auto"/>
          <w:spacing w:val="-6"/>
          <w:sz w:val="24"/>
          <w:highlight w:val="none"/>
          <w:lang w:val="en-US" w:eastAsia="zh-CN"/>
        </w:rPr>
        <w:t>设备维保维护</w:t>
      </w:r>
      <w:r>
        <w:rPr>
          <w:rFonts w:hint="eastAsia" w:ascii="宋体" w:hAnsi="宋体" w:cs="宋体"/>
          <w:b/>
          <w:bCs/>
          <w:color w:val="auto"/>
          <w:spacing w:val="-6"/>
          <w:sz w:val="24"/>
          <w:highlight w:val="none"/>
        </w:rPr>
        <w:t>管理要求</w:t>
      </w:r>
    </w:p>
    <w:p w14:paraId="0D9F409E">
      <w:pPr>
        <w:spacing w:line="360" w:lineRule="auto"/>
        <w:ind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7.1乙方须承包设备易损件</w:t>
      </w:r>
      <w:r>
        <w:rPr>
          <w:rFonts w:hint="eastAsia" w:ascii="宋体" w:hAnsi="宋体" w:cs="宋体"/>
          <w:color w:val="auto"/>
          <w:spacing w:val="2"/>
          <w:sz w:val="24"/>
          <w:highlight w:val="none"/>
          <w:lang w:val="en-US" w:eastAsia="zh-CN"/>
        </w:rPr>
        <w:t>或者备品备件</w:t>
      </w:r>
      <w:r>
        <w:rPr>
          <w:rFonts w:hint="eastAsia" w:ascii="宋体" w:hAnsi="宋体" w:eastAsia="宋体" w:cs="宋体"/>
          <w:color w:val="auto"/>
          <w:spacing w:val="2"/>
          <w:sz w:val="24"/>
          <w:highlight w:val="none"/>
          <w:lang w:val="en-US" w:eastAsia="zh-CN"/>
        </w:rPr>
        <w:t>，由乙方负责</w:t>
      </w:r>
      <w:r>
        <w:rPr>
          <w:rFonts w:hint="eastAsia" w:ascii="宋体" w:hAnsi="宋体" w:cs="宋体"/>
          <w:color w:val="auto"/>
          <w:spacing w:val="2"/>
          <w:sz w:val="24"/>
          <w:highlight w:val="none"/>
          <w:lang w:val="en-US" w:eastAsia="zh-CN"/>
        </w:rPr>
        <w:t>采购</w:t>
      </w:r>
      <w:r>
        <w:rPr>
          <w:rFonts w:hint="eastAsia" w:ascii="宋体" w:hAnsi="宋体" w:eastAsia="宋体" w:cs="宋体"/>
          <w:color w:val="auto"/>
          <w:spacing w:val="2"/>
          <w:sz w:val="24"/>
          <w:highlight w:val="none"/>
          <w:lang w:val="en-US" w:eastAsia="zh-CN"/>
        </w:rPr>
        <w:t>并更换，费用由乙方承担。易损件</w:t>
      </w:r>
      <w:r>
        <w:rPr>
          <w:rFonts w:hint="eastAsia" w:ascii="宋体" w:hAnsi="宋体" w:cs="宋体"/>
          <w:color w:val="auto"/>
          <w:spacing w:val="2"/>
          <w:sz w:val="24"/>
          <w:highlight w:val="none"/>
          <w:lang w:val="en-US" w:eastAsia="zh-CN"/>
        </w:rPr>
        <w:t>或者备品备件应与设备同品牌、同型号。如遇停产，应选择采购同等质量替代。</w:t>
      </w:r>
      <w:r>
        <w:rPr>
          <w:rFonts w:hint="eastAsia" w:ascii="宋体" w:hAnsi="宋体" w:eastAsia="宋体" w:cs="宋体"/>
          <w:color w:val="auto"/>
          <w:spacing w:val="2"/>
          <w:sz w:val="24"/>
          <w:highlight w:val="none"/>
          <w:lang w:val="en-US" w:eastAsia="zh-CN"/>
        </w:rPr>
        <w:t>未在清单内的易损件单价低于2000元/件，费用由乙方承担，高于2000元/件，由乙方呈报甲方</w:t>
      </w:r>
      <w:r>
        <w:rPr>
          <w:rFonts w:hint="eastAsia" w:ascii="宋体" w:hAnsi="宋体" w:cs="宋体"/>
          <w:color w:val="auto"/>
          <w:spacing w:val="2"/>
          <w:sz w:val="24"/>
          <w:highlight w:val="none"/>
          <w:lang w:val="en-US" w:eastAsia="zh-CN"/>
        </w:rPr>
        <w:t>，</w:t>
      </w:r>
      <w:r>
        <w:rPr>
          <w:rFonts w:hint="eastAsia" w:ascii="宋体" w:hAnsi="宋体" w:eastAsia="宋体" w:cs="宋体"/>
          <w:color w:val="auto"/>
          <w:spacing w:val="2"/>
          <w:sz w:val="24"/>
          <w:highlight w:val="none"/>
          <w:lang w:val="en-US" w:eastAsia="zh-CN"/>
        </w:rPr>
        <w:t>由甲方采购。</w:t>
      </w:r>
    </w:p>
    <w:p w14:paraId="39C617C5">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7.2非甲方原因，因乙方的优化管理需求或其他原因需增加工艺产生的费用由乙方自行承担。若因甲方的原因，增加工艺产生的费用不超5000元由乙方自行承担，超5000元部分由甲方承担。增加工艺方案需报甲方审核确认后，方可执行。</w:t>
      </w:r>
    </w:p>
    <w:p w14:paraId="13FD907D">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7.3本项目服务范围内的除锈防锈工作，乙方应按2次/年制定相关的除锈防锈处理方案并报给甲方审核后，进行除锈防锈维保工作，完成后并组织甲方进行验收，产生费用由乙方承担。</w:t>
      </w:r>
    </w:p>
    <w:p w14:paraId="41CC973F">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7.4因乙方管理或操作不当产生的防腐、墙面损坏，乙方应按照原设计进行修复，产生费用由乙方承担。</w:t>
      </w:r>
    </w:p>
    <w:p w14:paraId="7538180F">
      <w:pPr>
        <w:spacing w:line="360" w:lineRule="auto"/>
        <w:ind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7.5</w:t>
      </w:r>
      <w:r>
        <w:rPr>
          <w:rFonts w:hint="eastAsia" w:ascii="宋体" w:hAnsi="宋体" w:eastAsia="宋体" w:cs="宋体"/>
          <w:color w:val="auto"/>
          <w:spacing w:val="2"/>
          <w:sz w:val="24"/>
          <w:highlight w:val="none"/>
        </w:rPr>
        <w:t>运营管理期间，乙方按照废水处理设施、设备的规范操作，正确使用，以避免因操作不当对废水处理设施、设备的损坏。</w:t>
      </w:r>
      <w:r>
        <w:rPr>
          <w:rFonts w:hint="eastAsia" w:ascii="宋体" w:hAnsi="宋体" w:eastAsia="宋体" w:cs="宋体"/>
          <w:color w:val="auto"/>
          <w:spacing w:val="2"/>
          <w:sz w:val="24"/>
          <w:highlight w:val="none"/>
          <w:lang w:val="en-US" w:eastAsia="zh-CN"/>
        </w:rPr>
        <w:t>由乙方操作不当导致的设施设备损坏，由乙方自行修复或赔偿，费用由乙方承担。</w:t>
      </w:r>
    </w:p>
    <w:p w14:paraId="3E6DDCA9">
      <w:pPr>
        <w:spacing w:line="360" w:lineRule="auto"/>
        <w:ind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7.6</w:t>
      </w:r>
      <w:r>
        <w:rPr>
          <w:rFonts w:hint="eastAsia" w:ascii="宋体" w:hAnsi="宋体" w:eastAsia="宋体" w:cs="宋体"/>
          <w:color w:val="auto"/>
          <w:spacing w:val="2"/>
          <w:sz w:val="24"/>
          <w:highlight w:val="none"/>
        </w:rPr>
        <w:t>运营管理期间，本项目所有设备以及建筑物、构筑物的安全及完整性由乙方负责，未经甲方书面许可，乙方不得在管理范围内建造建筑物或构筑物，不得更改其使用性质。</w:t>
      </w:r>
    </w:p>
    <w:p w14:paraId="0CCB26EC">
      <w:pPr>
        <w:numPr>
          <w:ilvl w:val="0"/>
          <w:numId w:val="0"/>
        </w:numPr>
        <w:spacing w:line="360" w:lineRule="auto"/>
        <w:ind w:left="0" w:leftChars="0" w:firstLine="458" w:firstLineChars="200"/>
        <w:outlineLvl w:val="0"/>
        <w:rPr>
          <w:rFonts w:hint="eastAsia" w:ascii="宋体" w:hAnsi="宋体" w:eastAsia="宋体" w:cs="宋体"/>
          <w:b/>
          <w:bCs/>
          <w:color w:val="auto"/>
          <w:spacing w:val="-6"/>
          <w:sz w:val="24"/>
          <w:highlight w:val="none"/>
          <w:lang w:val="en-US" w:eastAsia="zh-CN"/>
        </w:rPr>
      </w:pPr>
      <w:r>
        <w:rPr>
          <w:rFonts w:hint="eastAsia" w:ascii="宋体" w:hAnsi="宋体" w:cs="宋体"/>
          <w:b/>
          <w:bCs/>
          <w:color w:val="auto"/>
          <w:spacing w:val="-6"/>
          <w:kern w:val="2"/>
          <w:sz w:val="24"/>
          <w:szCs w:val="24"/>
          <w:highlight w:val="none"/>
          <w:lang w:val="en-US" w:eastAsia="zh-CN" w:bidi="ar-SA"/>
        </w:rPr>
        <w:t>8</w:t>
      </w:r>
      <w:r>
        <w:rPr>
          <w:rFonts w:hint="eastAsia" w:ascii="宋体" w:hAnsi="宋体" w:eastAsia="宋体" w:cs="宋体"/>
          <w:b/>
          <w:bCs/>
          <w:color w:val="auto"/>
          <w:spacing w:val="-6"/>
          <w:kern w:val="2"/>
          <w:sz w:val="24"/>
          <w:szCs w:val="24"/>
          <w:highlight w:val="none"/>
          <w:lang w:val="en-US" w:eastAsia="zh-CN" w:bidi="ar-SA"/>
        </w:rPr>
        <w:t>.</w:t>
      </w:r>
      <w:r>
        <w:rPr>
          <w:rFonts w:hint="eastAsia" w:ascii="宋体" w:hAnsi="宋体" w:eastAsia="宋体" w:cs="宋体"/>
          <w:b/>
          <w:bCs/>
          <w:color w:val="auto"/>
          <w:spacing w:val="-6"/>
          <w:sz w:val="24"/>
          <w:highlight w:val="none"/>
          <w:lang w:val="en-US" w:eastAsia="zh-CN"/>
        </w:rPr>
        <w:t>化验室管理要求</w:t>
      </w:r>
    </w:p>
    <w:p w14:paraId="6CDD6873">
      <w:pPr>
        <w:spacing w:line="360" w:lineRule="auto"/>
        <w:ind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rPr>
        <w:t>运营管理期间，</w:t>
      </w:r>
      <w:r>
        <w:rPr>
          <w:rFonts w:hint="eastAsia" w:ascii="宋体" w:hAnsi="宋体" w:eastAsia="宋体" w:cs="宋体"/>
          <w:color w:val="auto"/>
          <w:spacing w:val="2"/>
          <w:sz w:val="24"/>
          <w:highlight w:val="none"/>
          <w:lang w:val="en-US" w:eastAsia="zh-CN"/>
        </w:rPr>
        <w:t>乙方应按规范管理化验室设备、药剂、耗材等。乙方应做好药剂合理规划及采购申请，控制化验室药剂成本。乙方应承担化验室设备比对工作</w:t>
      </w:r>
      <w:r>
        <w:rPr>
          <w:rFonts w:hint="eastAsia" w:ascii="宋体" w:hAnsi="宋体" w:cs="宋体"/>
          <w:color w:val="auto"/>
          <w:spacing w:val="2"/>
          <w:sz w:val="24"/>
          <w:highlight w:val="none"/>
          <w:lang w:val="en-US" w:eastAsia="zh-CN"/>
        </w:rPr>
        <w:t>、化验室配件</w:t>
      </w:r>
      <w:r>
        <w:rPr>
          <w:rFonts w:hint="eastAsia" w:ascii="宋体" w:hAnsi="宋体" w:eastAsia="宋体" w:cs="宋体"/>
          <w:color w:val="auto"/>
          <w:spacing w:val="2"/>
          <w:sz w:val="24"/>
          <w:highlight w:val="none"/>
          <w:lang w:val="en-US" w:eastAsia="zh-CN"/>
        </w:rPr>
        <w:t>，费用由乙方承担。</w:t>
      </w:r>
    </w:p>
    <w:p w14:paraId="1905210F">
      <w:pPr>
        <w:spacing w:line="360" w:lineRule="auto"/>
        <w:ind w:left="484"/>
        <w:outlineLvl w:val="0"/>
        <w:rPr>
          <w:rFonts w:hint="eastAsia" w:ascii="宋体" w:hAnsi="宋体" w:cs="宋体"/>
          <w:color w:val="auto"/>
          <w:sz w:val="24"/>
          <w:highlight w:val="none"/>
        </w:rPr>
      </w:pPr>
      <w:bookmarkStart w:id="202" w:name="_Toc173848274"/>
      <w:r>
        <w:rPr>
          <w:rFonts w:hint="eastAsia" w:ascii="宋体" w:hAnsi="宋体" w:cs="宋体"/>
          <w:b/>
          <w:bCs/>
          <w:color w:val="auto"/>
          <w:spacing w:val="-6"/>
          <w:sz w:val="24"/>
          <w:highlight w:val="none"/>
          <w:lang w:val="en-US" w:eastAsia="zh-CN"/>
        </w:rPr>
        <w:t>9</w:t>
      </w:r>
      <w:r>
        <w:rPr>
          <w:rFonts w:hint="eastAsia" w:ascii="宋体" w:hAnsi="宋体" w:cs="宋体"/>
          <w:b/>
          <w:bCs/>
          <w:color w:val="auto"/>
          <w:spacing w:val="-6"/>
          <w:sz w:val="24"/>
          <w:highlight w:val="none"/>
        </w:rPr>
        <w:t>.验收</w:t>
      </w:r>
      <w:bookmarkEnd w:id="202"/>
    </w:p>
    <w:p w14:paraId="6ED955FC">
      <w:pPr>
        <w:spacing w:line="360" w:lineRule="auto"/>
        <w:ind w:right="152" w:firstLine="488" w:firstLineChars="200"/>
        <w:rPr>
          <w:rFonts w:hint="default"/>
          <w:color w:val="auto"/>
          <w:highlight w:val="none"/>
          <w:lang w:val="en-US" w:eastAsia="zh-CN"/>
        </w:rPr>
      </w:pPr>
      <w:r>
        <w:rPr>
          <w:rFonts w:hint="eastAsia" w:ascii="宋体" w:hAnsi="宋体" w:cs="宋体"/>
          <w:color w:val="auto"/>
          <w:spacing w:val="2"/>
          <w:sz w:val="24"/>
          <w:highlight w:val="none"/>
          <w:lang w:val="en-US" w:eastAsia="zh-CN"/>
        </w:rPr>
        <w:t>9</w:t>
      </w:r>
      <w:r>
        <w:rPr>
          <w:rFonts w:hint="eastAsia" w:ascii="宋体" w:hAnsi="宋体" w:eastAsia="宋体" w:cs="宋体"/>
          <w:color w:val="auto"/>
          <w:spacing w:val="2"/>
          <w:sz w:val="24"/>
          <w:highlight w:val="none"/>
          <w:lang w:val="en-US" w:eastAsia="zh-CN"/>
        </w:rPr>
        <w:t>.1出水水质要求：</w:t>
      </w:r>
      <w:r>
        <w:rPr>
          <w:rFonts w:hint="eastAsia" w:ascii="宋体" w:hAnsi="宋体" w:cs="宋体"/>
          <w:color w:val="auto"/>
          <w:spacing w:val="-2"/>
          <w:sz w:val="24"/>
          <w:highlight w:val="none"/>
          <w:lang w:val="en-US" w:eastAsia="zh-CN"/>
        </w:rPr>
        <w:t>废水站</w:t>
      </w:r>
      <w:r>
        <w:rPr>
          <w:rFonts w:hint="eastAsia" w:ascii="宋体" w:hAnsi="宋体" w:cs="宋体"/>
          <w:color w:val="auto"/>
          <w:spacing w:val="-2"/>
          <w:sz w:val="24"/>
          <w:highlight w:val="none"/>
        </w:rPr>
        <w:t>出水水质应满足</w:t>
      </w:r>
      <w:r>
        <w:rPr>
          <w:color w:val="auto"/>
          <w:sz w:val="24"/>
          <w:highlight w:val="none"/>
        </w:rPr>
        <w:t>《电子工业水污染物排放标准》</w:t>
      </w:r>
      <w:r>
        <w:rPr>
          <w:rFonts w:hint="eastAsia"/>
          <w:color w:val="auto"/>
          <w:sz w:val="24"/>
          <w:highlight w:val="none"/>
        </w:rPr>
        <w:t>（GB39731-2020）中表1间接排放标准</w:t>
      </w:r>
      <w:r>
        <w:rPr>
          <w:rFonts w:hint="eastAsia" w:ascii="宋体" w:hAnsi="宋体" w:cs="宋体"/>
          <w:color w:val="auto"/>
          <w:spacing w:val="-8"/>
          <w:sz w:val="24"/>
          <w:highlight w:val="none"/>
        </w:rPr>
        <w:t>。</w:t>
      </w:r>
      <w:r>
        <w:rPr>
          <w:rFonts w:hint="eastAsia" w:ascii="宋体" w:hAnsi="宋体" w:cs="宋体"/>
          <w:color w:val="auto"/>
          <w:spacing w:val="-8"/>
          <w:sz w:val="24"/>
          <w:highlight w:val="none"/>
          <w:lang w:val="en-US" w:eastAsia="zh-CN"/>
        </w:rPr>
        <w:t>未详尽部分应满足</w:t>
      </w:r>
      <w:r>
        <w:rPr>
          <w:color w:val="auto"/>
          <w:sz w:val="24"/>
          <w:highlight w:val="none"/>
        </w:rPr>
        <w:t>《</w:t>
      </w:r>
      <w:r>
        <w:rPr>
          <w:rFonts w:hint="eastAsia" w:ascii="宋体" w:hAnsi="宋体" w:cs="宋体"/>
          <w:color w:val="auto"/>
          <w:spacing w:val="-8"/>
          <w:sz w:val="24"/>
          <w:highlight w:val="none"/>
          <w:lang w:val="en-US" w:eastAsia="zh-CN"/>
        </w:rPr>
        <w:t>海沧半导体产业基地项目废水站系统环境影响报告书</w:t>
      </w:r>
      <w:r>
        <w:rPr>
          <w:color w:val="auto"/>
          <w:sz w:val="24"/>
          <w:highlight w:val="none"/>
        </w:rPr>
        <w:t>》</w:t>
      </w:r>
      <w:r>
        <w:rPr>
          <w:rFonts w:hint="eastAsia"/>
          <w:color w:val="auto"/>
          <w:sz w:val="24"/>
          <w:highlight w:val="none"/>
          <w:lang w:val="en-US" w:eastAsia="zh-CN"/>
        </w:rPr>
        <w:t>相关要求</w:t>
      </w:r>
      <w:r>
        <w:rPr>
          <w:rFonts w:hint="eastAsia" w:ascii="宋体" w:hAnsi="宋体" w:cs="宋体"/>
          <w:color w:val="auto"/>
          <w:spacing w:val="-8"/>
          <w:sz w:val="24"/>
          <w:highlight w:val="none"/>
          <w:lang w:val="en-US" w:eastAsia="zh-CN"/>
        </w:rPr>
        <w:t>。</w:t>
      </w:r>
    </w:p>
    <w:p w14:paraId="35773A4B">
      <w:pPr>
        <w:spacing w:line="360" w:lineRule="auto"/>
        <w:ind w:right="1358" w:firstLine="488" w:firstLineChars="200"/>
        <w:rPr>
          <w:rFonts w:hint="eastAsia" w:ascii="宋体" w:hAnsi="宋体" w:eastAsia="宋体" w:cs="宋体"/>
          <w:color w:val="auto"/>
          <w:spacing w:val="2"/>
          <w:sz w:val="24"/>
          <w:highlight w:val="none"/>
          <w:lang w:val="en-US" w:eastAsia="zh-CN"/>
        </w:rPr>
      </w:pPr>
      <w:r>
        <w:rPr>
          <w:rFonts w:hint="eastAsia" w:ascii="宋体" w:hAnsi="宋体" w:cs="宋体"/>
          <w:color w:val="auto"/>
          <w:spacing w:val="2"/>
          <w:sz w:val="24"/>
          <w:highlight w:val="none"/>
          <w:lang w:val="en-US" w:eastAsia="zh-CN"/>
        </w:rPr>
        <w:t>9</w:t>
      </w:r>
      <w:r>
        <w:rPr>
          <w:rFonts w:hint="eastAsia" w:ascii="宋体" w:hAnsi="宋体" w:eastAsia="宋体" w:cs="宋体"/>
          <w:color w:val="auto"/>
          <w:spacing w:val="2"/>
          <w:sz w:val="24"/>
          <w:highlight w:val="none"/>
          <w:lang w:val="en-US" w:eastAsia="zh-CN"/>
        </w:rPr>
        <w:t>.2水质检测，包括：</w:t>
      </w:r>
    </w:p>
    <w:p w14:paraId="778E29E9">
      <w:pPr>
        <w:spacing w:line="360" w:lineRule="auto"/>
        <w:ind w:right="1358"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自检：运营单位按照国家对废水处理站运营管理相关规定(检测项目、检</w:t>
      </w:r>
    </w:p>
    <w:p w14:paraId="346A5FFE">
      <w:pPr>
        <w:spacing w:line="360" w:lineRule="auto"/>
        <w:ind w:right="1358"/>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测频率)对进出水进行自检，并整理形成档案;</w:t>
      </w:r>
    </w:p>
    <w:p w14:paraId="0014D29E">
      <w:pPr>
        <w:spacing w:line="360" w:lineRule="auto"/>
        <w:ind w:right="1358"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甲方检测：甲方根据工作需要，可以定期对废水处理站进出水水质请有资质单位进行检测；</w:t>
      </w:r>
    </w:p>
    <w:p w14:paraId="08296ED0">
      <w:pPr>
        <w:spacing w:line="360" w:lineRule="auto"/>
        <w:ind w:right="1358" w:firstLine="488" w:firstLineChars="200"/>
        <w:rPr>
          <w:rFonts w:hint="default"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进水检测：运营单位定期或有需要时对园区企业进水水质进行抽检；</w:t>
      </w:r>
    </w:p>
    <w:p w14:paraId="235A22F0">
      <w:pPr>
        <w:spacing w:line="360" w:lineRule="auto"/>
        <w:ind w:right="1358" w:firstLine="488" w:firstLineChars="200"/>
        <w:rPr>
          <w:rFonts w:hint="eastAsia" w:ascii="宋体" w:hAnsi="宋体" w:eastAsia="宋体" w:cs="宋体"/>
          <w:color w:val="auto"/>
          <w:spacing w:val="2"/>
          <w:sz w:val="24"/>
          <w:highlight w:val="none"/>
          <w:lang w:val="en-US" w:eastAsia="zh-CN"/>
        </w:rPr>
      </w:pPr>
      <w:r>
        <w:rPr>
          <w:rFonts w:hint="eastAsia" w:ascii="宋体" w:hAnsi="宋体" w:eastAsia="宋体" w:cs="宋体"/>
          <w:color w:val="auto"/>
          <w:spacing w:val="2"/>
          <w:sz w:val="24"/>
          <w:highlight w:val="none"/>
          <w:lang w:val="en-US" w:eastAsia="zh-CN"/>
        </w:rPr>
        <w:t>环保部门监测：环保部门按国家有关规定进行监测(强制监测)。</w:t>
      </w:r>
    </w:p>
    <w:p w14:paraId="5C968A3D">
      <w:pPr>
        <w:numPr>
          <w:ilvl w:val="0"/>
          <w:numId w:val="0"/>
        </w:numPr>
        <w:spacing w:line="360" w:lineRule="auto"/>
        <w:ind w:leftChars="200"/>
        <w:outlineLvl w:val="0"/>
        <w:rPr>
          <w:rFonts w:hint="eastAsia"/>
          <w:color w:val="auto"/>
          <w:highlight w:val="none"/>
          <w:lang w:val="en-US" w:eastAsia="zh-CN"/>
        </w:rPr>
      </w:pPr>
      <w:r>
        <w:rPr>
          <w:rFonts w:hint="eastAsia" w:ascii="宋体" w:hAnsi="宋体" w:cs="宋体"/>
          <w:b/>
          <w:bCs/>
          <w:color w:val="auto"/>
          <w:spacing w:val="-6"/>
          <w:sz w:val="24"/>
          <w:highlight w:val="none"/>
          <w:lang w:val="en-US" w:eastAsia="zh-CN"/>
        </w:rPr>
        <w:t>10.移交</w:t>
      </w:r>
    </w:p>
    <w:p w14:paraId="2ABD1653">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 xml:space="preserve">  10</w:t>
      </w:r>
      <w:r>
        <w:rPr>
          <w:rFonts w:hint="eastAsia" w:ascii="宋体" w:hAnsi="宋体" w:cs="宋体"/>
          <w:color w:val="auto"/>
          <w:kern w:val="0"/>
          <w:sz w:val="24"/>
          <w:highlight w:val="none"/>
        </w:rPr>
        <w:t>.1委托运营期开始时的移交</w:t>
      </w:r>
    </w:p>
    <w:p w14:paraId="6251B3EC">
      <w:pPr>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移交前一个月起</w:t>
      </w:r>
      <w:r>
        <w:rPr>
          <w:rFonts w:hint="eastAsia" w:ascii="宋体" w:hAnsi="宋体" w:cs="宋体"/>
          <w:color w:val="auto"/>
          <w:kern w:val="0"/>
          <w:sz w:val="24"/>
          <w:highlight w:val="none"/>
        </w:rPr>
        <w:t>，由甲方和乙方各自派人员员组成移交委员会具体负责和办理移交工作，组织必要的会议、会谈并商定设施移交的详尽程序，确定移交仪式。</w:t>
      </w:r>
    </w:p>
    <w:p w14:paraId="7E7F52F8">
      <w:pPr>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10</w:t>
      </w:r>
      <w:r>
        <w:rPr>
          <w:rFonts w:hint="eastAsia" w:ascii="宋体" w:hAnsi="宋体" w:cs="宋体"/>
          <w:color w:val="auto"/>
          <w:kern w:val="0"/>
          <w:sz w:val="24"/>
          <w:highlight w:val="none"/>
        </w:rPr>
        <w:t>.2委托运营管理期结束时的移交</w:t>
      </w:r>
    </w:p>
    <w:p w14:paraId="71C45C4F">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委托运营管理期结束3个月前，由甲方和乙方各自派员组成移交委员会，具体负责和办理移交工作，组织必要的会议会谈并商定设施移交的详尽程序，确定移交仪式。</w:t>
      </w:r>
    </w:p>
    <w:p w14:paraId="1909FC56">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10.3</w:t>
      </w:r>
      <w:r>
        <w:rPr>
          <w:rFonts w:hint="eastAsia" w:ascii="宋体" w:hAnsi="宋体" w:cs="宋体"/>
          <w:color w:val="auto"/>
          <w:kern w:val="0"/>
          <w:sz w:val="24"/>
          <w:highlight w:val="none"/>
        </w:rPr>
        <w:t>委托运营管理期结束时移交范围及内容</w:t>
      </w:r>
    </w:p>
    <w:p w14:paraId="5A851AFE">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在委托结束运营日移交，乙方应向甲方无偿移交以下设施及资料：</w:t>
      </w:r>
    </w:p>
    <w:p w14:paraId="325606C4">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a</w:t>
      </w:r>
      <w:r>
        <w:rPr>
          <w:rFonts w:hint="eastAsia" w:ascii="宋体" w:hAnsi="宋体" w:cs="宋体"/>
          <w:color w:val="auto"/>
          <w:kern w:val="0"/>
          <w:sz w:val="24"/>
          <w:highlight w:val="none"/>
        </w:rPr>
        <w:t>、乙方对废水处理项目设施的运营管理，包括：(1)废水处理项目设施的建筑物和构筑物;(2)与废水处理项目设施使用相关的所有机械和设备;(3)运营管理和维护项目设施所要求的所有技术和技术诀窍、知识产权等无形资产(包括以许可方式取得的);</w:t>
      </w:r>
    </w:p>
    <w:p w14:paraId="46C509BC">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b、在用的各类管理章程和运营管理手册包括专有技术、生产档案、技术档案、文秘档案、图书资料、设计图纸、文件和其它资料，以使废水处理项目能平稳地正常地继续运营管理;</w:t>
      </w:r>
    </w:p>
    <w:p w14:paraId="2BCBBE70">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c</w:t>
      </w:r>
      <w:r>
        <w:rPr>
          <w:rFonts w:hint="eastAsia" w:ascii="宋体" w:hAnsi="宋体" w:cs="宋体"/>
          <w:color w:val="auto"/>
          <w:kern w:val="0"/>
          <w:sz w:val="24"/>
          <w:highlight w:val="none"/>
        </w:rPr>
        <w:t>、安全生产设备及设施;</w:t>
      </w:r>
    </w:p>
    <w:p w14:paraId="077179E9">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10.4</w:t>
      </w:r>
      <w:r>
        <w:rPr>
          <w:rFonts w:hint="eastAsia" w:ascii="宋体" w:hAnsi="宋体" w:cs="宋体"/>
          <w:color w:val="auto"/>
          <w:kern w:val="0"/>
          <w:sz w:val="24"/>
          <w:highlight w:val="none"/>
        </w:rPr>
        <w:t xml:space="preserve"> 上述资产在向甲方移交时应不存在任何留置权、债权、抵押、担保物权或任何种类的其它请求权。</w:t>
      </w:r>
    </w:p>
    <w:p w14:paraId="675F6899">
      <w:pPr>
        <w:spacing w:line="360" w:lineRule="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10.5</w:t>
      </w:r>
      <w:r>
        <w:rPr>
          <w:rFonts w:hint="eastAsia" w:ascii="宋体" w:hAnsi="宋体" w:cs="宋体"/>
          <w:color w:val="auto"/>
          <w:kern w:val="0"/>
          <w:sz w:val="24"/>
          <w:highlight w:val="none"/>
        </w:rPr>
        <w:t>废水处理项目移交质量要求：(1)设备设施安装符合要求，运转正常;(2)出水水质达到该标段废水处理站设计排放标准;(3)项目经过竣工验收和环保验收，满足运营条件;(4)项目设施及场地不存在任何环境问题和环境遗留问题;(5)废水处理项目设施、设备、建筑物、绿化完好</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全套资料完整、按要求归档移交；（7）</w:t>
      </w:r>
      <w:r>
        <w:rPr>
          <w:rFonts w:hint="eastAsia" w:ascii="宋体" w:hAnsi="宋体" w:cs="宋体"/>
          <w:color w:val="auto"/>
          <w:kern w:val="0"/>
          <w:sz w:val="24"/>
          <w:highlight w:val="none"/>
        </w:rPr>
        <w:t>废水处理项目设施、设备</w:t>
      </w:r>
      <w:r>
        <w:rPr>
          <w:rFonts w:hint="eastAsia" w:ascii="宋体" w:hAnsi="宋体" w:cs="宋体"/>
          <w:color w:val="auto"/>
          <w:kern w:val="0"/>
          <w:sz w:val="24"/>
          <w:highlight w:val="none"/>
          <w:lang w:val="en-US" w:eastAsia="zh-CN"/>
        </w:rPr>
        <w:t>耗材、损耗品应该保证可以持续使用至少一个月以上。</w:t>
      </w:r>
    </w:p>
    <w:p w14:paraId="0E652EF0">
      <w:pPr>
        <w:spacing w:line="360" w:lineRule="auto"/>
        <w:ind w:firstLine="485"/>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10.6</w:t>
      </w:r>
      <w:r>
        <w:rPr>
          <w:rFonts w:hint="eastAsia" w:ascii="宋体" w:hAnsi="宋体" w:cs="宋体"/>
          <w:color w:val="auto"/>
          <w:kern w:val="0"/>
          <w:sz w:val="24"/>
          <w:highlight w:val="none"/>
        </w:rPr>
        <w:t>移交文件的签订：</w:t>
      </w:r>
      <w:r>
        <w:rPr>
          <w:rFonts w:hint="eastAsia" w:ascii="宋体" w:hAnsi="宋体" w:cs="宋体"/>
          <w:color w:val="auto"/>
          <w:kern w:val="0"/>
          <w:sz w:val="24"/>
          <w:highlight w:val="none"/>
          <w:lang w:val="en-US" w:eastAsia="zh-CN"/>
        </w:rPr>
        <w:t>移交单位</w:t>
      </w:r>
      <w:r>
        <w:rPr>
          <w:rFonts w:hint="eastAsia" w:ascii="宋体" w:hAnsi="宋体" w:cs="宋体"/>
          <w:color w:val="auto"/>
          <w:kern w:val="0"/>
          <w:sz w:val="24"/>
          <w:highlight w:val="none"/>
        </w:rPr>
        <w:t>共同检查确认满足运营条件及移交条件，双方代表在交接确认书及清单上签字确认并加盖公章，完成交接手续。</w:t>
      </w:r>
      <w:r>
        <w:rPr>
          <w:rFonts w:hint="eastAsia" w:ascii="宋体" w:hAnsi="宋体" w:eastAsia="宋体" w:cs="宋体"/>
          <w:color w:val="auto"/>
          <w:kern w:val="0"/>
          <w:sz w:val="24"/>
          <w:highlight w:val="none"/>
          <w:lang w:val="en-US" w:eastAsia="zh-CN"/>
        </w:rPr>
        <w:t>并提供1年时间的免费咨询服务。</w:t>
      </w:r>
    </w:p>
    <w:p w14:paraId="6F0FF9D8">
      <w:pPr>
        <w:pStyle w:val="50"/>
        <w:tabs>
          <w:tab w:val="left" w:pos="0"/>
          <w:tab w:val="left" w:pos="993"/>
          <w:tab w:val="left" w:pos="1134"/>
        </w:tabs>
        <w:ind w:left="0" w:leftChars="0" w:firstLine="0" w:firstLineChars="0"/>
        <w:rPr>
          <w:rFonts w:hint="default" w:eastAsia="幼圆"/>
          <w:color w:val="auto"/>
          <w:highlight w:val="none"/>
          <w:lang w:val="en-US" w:eastAsia="zh-CN"/>
        </w:rPr>
      </w:pPr>
      <w:r>
        <w:rPr>
          <w:rFonts w:hint="eastAsia"/>
          <w:color w:val="auto"/>
          <w:highlight w:val="none"/>
          <w:lang w:val="en-US" w:eastAsia="zh-CN"/>
        </w:rPr>
        <w:t xml:space="preserve">  </w:t>
      </w:r>
      <w:r>
        <w:rPr>
          <w:rFonts w:hint="eastAsia" w:ascii="宋体" w:hAnsi="宋体" w:eastAsia="宋体" w:cs="宋体"/>
          <w:color w:val="auto"/>
          <w:kern w:val="0"/>
          <w:sz w:val="24"/>
          <w:szCs w:val="24"/>
          <w:highlight w:val="none"/>
          <w:lang w:val="en-US" w:eastAsia="zh-CN" w:bidi="ar-SA"/>
        </w:rPr>
        <w:t xml:space="preserve">  </w:t>
      </w:r>
      <w:r>
        <w:rPr>
          <w:rFonts w:hint="eastAsia" w:ascii="宋体" w:hAnsi="宋体" w:cs="宋体"/>
          <w:color w:val="auto"/>
          <w:kern w:val="0"/>
          <w:sz w:val="24"/>
          <w:highlight w:val="none"/>
          <w:lang w:val="en-US" w:eastAsia="zh-CN"/>
        </w:rPr>
        <w:t>10</w:t>
      </w:r>
      <w:r>
        <w:rPr>
          <w:rFonts w:hint="eastAsia" w:ascii="宋体" w:hAnsi="宋体" w:eastAsia="宋体" w:cs="宋体"/>
          <w:color w:val="auto"/>
          <w:kern w:val="0"/>
          <w:sz w:val="24"/>
          <w:szCs w:val="24"/>
          <w:highlight w:val="none"/>
          <w:lang w:val="en-US" w:eastAsia="zh-CN" w:bidi="ar-SA"/>
        </w:rPr>
        <w:t>.7移交文件的签订后，乙方应负责移交质量存在问题，费用由乙方自行承担。</w:t>
      </w:r>
    </w:p>
    <w:p w14:paraId="3BD95C8A">
      <w:pPr>
        <w:spacing w:line="360" w:lineRule="auto"/>
        <w:ind w:left="484"/>
        <w:outlineLvl w:val="0"/>
        <w:rPr>
          <w:rFonts w:hint="eastAsia" w:ascii="宋体" w:hAnsi="宋体" w:cs="宋体"/>
          <w:color w:val="auto"/>
          <w:sz w:val="24"/>
          <w:highlight w:val="none"/>
        </w:rPr>
      </w:pPr>
      <w:bookmarkStart w:id="203" w:name="_Toc173848275"/>
      <w:r>
        <w:rPr>
          <w:rFonts w:hint="eastAsia" w:ascii="宋体" w:hAnsi="宋体" w:cs="宋体"/>
          <w:b/>
          <w:bCs/>
          <w:color w:val="auto"/>
          <w:spacing w:val="-8"/>
          <w:sz w:val="24"/>
          <w:highlight w:val="none"/>
          <w:lang w:val="en-US" w:eastAsia="zh-CN"/>
        </w:rPr>
        <w:t>11</w:t>
      </w:r>
      <w:r>
        <w:rPr>
          <w:rFonts w:hint="eastAsia" w:ascii="宋体" w:hAnsi="宋体" w:cs="宋体"/>
          <w:b/>
          <w:bCs/>
          <w:color w:val="auto"/>
          <w:spacing w:val="-8"/>
          <w:sz w:val="24"/>
          <w:highlight w:val="none"/>
        </w:rPr>
        <w:t>.违约责任</w:t>
      </w:r>
      <w:bookmarkEnd w:id="203"/>
    </w:p>
    <w:p w14:paraId="731BFF18">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lang w:val="en-US" w:eastAsia="zh-CN"/>
        </w:rPr>
        <w:t>11</w:t>
      </w:r>
      <w:r>
        <w:rPr>
          <w:rFonts w:hint="eastAsia" w:ascii="宋体" w:hAnsi="宋体" w:cs="宋体"/>
          <w:color w:val="auto"/>
          <w:spacing w:val="2"/>
          <w:sz w:val="24"/>
          <w:highlight w:val="none"/>
        </w:rPr>
        <w:t>.1运营服务期间水质不达标的，乙方按如下标准向甲方支付违约金：</w:t>
      </w:r>
    </w:p>
    <w:p w14:paraId="2A852744">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rPr>
        <w:t>(1)在线监测数据当日日均出水水质不达标，或区生态环境主管部门检测出水水质不达标，导致甲方受到处罚的，产生的罚款由乙方承担。乙方因水质不达标擅自停止服务的，按上述标准的2倍扣除服务费。</w:t>
      </w:r>
    </w:p>
    <w:p w14:paraId="7ADA0388">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rPr>
        <w:t>(2)乙方未经甲方及主管部门同意擅自停止服务，导致甲方受到处罚的，产生的罚款由乙方承担。经甲方及主管部门通知整改，乙方仍未正常运营服务的，乙方加倍支付违约金。</w:t>
      </w:r>
    </w:p>
    <w:p w14:paraId="5CD83D48">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rPr>
        <w:t>(3)因乙方擅自停止服务对第三方造成经济损失的，应承担相应法律责任及经济赔偿。行政执法部门依法立案查处所产生的法律、经济责任由乙方承担。</w:t>
      </w:r>
    </w:p>
    <w:p w14:paraId="4D09C13A">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lang w:val="en-US" w:eastAsia="zh-CN"/>
        </w:rPr>
        <w:t>11</w:t>
      </w:r>
      <w:r>
        <w:rPr>
          <w:rFonts w:hint="eastAsia" w:ascii="宋体" w:hAnsi="宋体" w:cs="宋体"/>
          <w:color w:val="auto"/>
          <w:spacing w:val="2"/>
          <w:sz w:val="24"/>
          <w:highlight w:val="none"/>
        </w:rPr>
        <w:t>.2因设备故障导致服务异常的，乙方应第一时间向甲方及主管部门报告(相关处罚计时以乙方书面报告或电子邮件发件时间为计时起点),并必须在24小时内恢复正常服务，否则按前述第(2)项标准扣除服务费。</w:t>
      </w:r>
    </w:p>
    <w:p w14:paraId="00F9EB25">
      <w:pPr>
        <w:spacing w:line="360" w:lineRule="auto"/>
        <w:ind w:firstLine="488" w:firstLineChars="200"/>
        <w:rPr>
          <w:rFonts w:hint="eastAsia" w:ascii="宋体" w:hAnsi="宋体" w:cs="宋体"/>
          <w:color w:val="auto"/>
          <w:sz w:val="24"/>
          <w:highlight w:val="none"/>
        </w:rPr>
      </w:pPr>
      <w:r>
        <w:rPr>
          <w:rFonts w:hint="eastAsia" w:ascii="宋体" w:hAnsi="宋体" w:cs="宋体"/>
          <w:color w:val="auto"/>
          <w:spacing w:val="2"/>
          <w:sz w:val="24"/>
          <w:highlight w:val="none"/>
          <w:lang w:val="en-US" w:eastAsia="zh-CN"/>
        </w:rPr>
        <w:t>11</w:t>
      </w:r>
      <w:r>
        <w:rPr>
          <w:rFonts w:hint="eastAsia" w:ascii="宋体" w:hAnsi="宋体" w:cs="宋体"/>
          <w:color w:val="auto"/>
          <w:spacing w:val="2"/>
          <w:sz w:val="24"/>
          <w:highlight w:val="none"/>
        </w:rPr>
        <w:t>.3乙方经甲方及主管部门书面同意，可以暂停服务开展设备检修的，每次检修时间不得超过24小时，如超过24小时导致甲方受到处罚的，产生的</w:t>
      </w:r>
      <w:r>
        <w:rPr>
          <w:rFonts w:hint="eastAsia" w:ascii="宋体" w:hAnsi="宋体" w:cs="宋体"/>
          <w:color w:val="auto"/>
          <w:spacing w:val="-2"/>
          <w:sz w:val="24"/>
          <w:highlight w:val="none"/>
        </w:rPr>
        <w:t>罚款由乙方承担</w:t>
      </w:r>
      <w:r>
        <w:rPr>
          <w:rFonts w:hint="eastAsia" w:ascii="宋体" w:hAnsi="宋体" w:cs="宋体"/>
          <w:color w:val="auto"/>
          <w:spacing w:val="3"/>
          <w:sz w:val="24"/>
          <w:highlight w:val="none"/>
        </w:rPr>
        <w:t>。</w:t>
      </w:r>
    </w:p>
    <w:p w14:paraId="3BE47340">
      <w:pPr>
        <w:spacing w:line="360" w:lineRule="auto"/>
        <w:ind w:firstLine="452" w:firstLineChars="200"/>
        <w:rPr>
          <w:rFonts w:hint="eastAsia" w:ascii="宋体" w:hAnsi="宋体" w:cs="宋体"/>
          <w:color w:val="auto"/>
          <w:spacing w:val="2"/>
          <w:sz w:val="24"/>
          <w:highlight w:val="none"/>
        </w:rPr>
      </w:pPr>
      <w:r>
        <w:rPr>
          <w:rFonts w:hint="eastAsia" w:ascii="宋体" w:hAnsi="宋体" w:cs="宋体"/>
          <w:color w:val="auto"/>
          <w:spacing w:val="-7"/>
          <w:sz w:val="24"/>
          <w:highlight w:val="none"/>
          <w:lang w:val="en-US" w:eastAsia="zh-CN"/>
        </w:rPr>
        <w:t>11</w:t>
      </w:r>
      <w:r>
        <w:rPr>
          <w:rFonts w:hint="eastAsia" w:ascii="宋体" w:hAnsi="宋体" w:cs="宋体"/>
          <w:color w:val="auto"/>
          <w:spacing w:val="-7"/>
          <w:sz w:val="24"/>
          <w:highlight w:val="none"/>
        </w:rPr>
        <w:t>.4服务过程中甲方及主管部门认为有必</w:t>
      </w:r>
      <w:r>
        <w:rPr>
          <w:rFonts w:hint="eastAsia" w:ascii="宋体" w:hAnsi="宋体" w:cs="宋体"/>
          <w:color w:val="auto"/>
          <w:spacing w:val="2"/>
          <w:sz w:val="24"/>
          <w:highlight w:val="none"/>
        </w:rPr>
        <w:t>要时可以随时委托有资质的第三方检测机构对出水pH、COD、BOD5、SS、氨氮、总氮、总磷等</w:t>
      </w:r>
      <w:r>
        <w:rPr>
          <w:rFonts w:hint="eastAsia" w:ascii="宋体" w:hAnsi="宋体" w:cs="宋体"/>
          <w:color w:val="auto"/>
          <w:spacing w:val="2"/>
          <w:sz w:val="24"/>
          <w:highlight w:val="none"/>
          <w:lang w:val="en-US" w:eastAsia="zh-CN"/>
        </w:rPr>
        <w:t>各类监管污染</w:t>
      </w:r>
      <w:r>
        <w:rPr>
          <w:rFonts w:hint="eastAsia" w:ascii="宋体" w:hAnsi="宋体" w:cs="宋体"/>
          <w:color w:val="auto"/>
          <w:spacing w:val="2"/>
          <w:sz w:val="24"/>
          <w:highlight w:val="none"/>
        </w:rPr>
        <w:t>进行检测。若一个月内出现3次(及以上)水质检测不达标，甲方拒绝支付当月服务费用，导致甲方受到处罚的，产生的罚款由乙方承担。若连续两个月出现3次(及以上)水质检测不达标，甲方除拒付服务费外还可以进行罚款，罚款为2倍应付服务费。</w:t>
      </w:r>
    </w:p>
    <w:p w14:paraId="110DDFE2">
      <w:pPr>
        <w:spacing w:line="360" w:lineRule="auto"/>
        <w:ind w:firstLine="488" w:firstLineChars="200"/>
        <w:rPr>
          <w:rFonts w:hint="eastAsia" w:ascii="宋体" w:hAnsi="宋体" w:cs="宋体"/>
          <w:color w:val="auto"/>
          <w:spacing w:val="2"/>
          <w:sz w:val="24"/>
          <w:highlight w:val="none"/>
        </w:rPr>
      </w:pPr>
      <w:r>
        <w:rPr>
          <w:rFonts w:hint="eastAsia" w:ascii="宋体" w:hAnsi="宋体" w:cs="宋体"/>
          <w:color w:val="auto"/>
          <w:spacing w:val="2"/>
          <w:sz w:val="24"/>
          <w:highlight w:val="none"/>
          <w:lang w:val="en-US" w:eastAsia="zh-CN"/>
        </w:rPr>
        <w:t>11</w:t>
      </w:r>
      <w:r>
        <w:rPr>
          <w:rFonts w:hint="eastAsia" w:ascii="宋体" w:hAnsi="宋体" w:cs="宋体"/>
          <w:color w:val="auto"/>
          <w:spacing w:val="2"/>
          <w:sz w:val="24"/>
          <w:highlight w:val="none"/>
        </w:rPr>
        <w:t>.5若连续出现3次(及以上)市级(及以上)检测部门水质检测不达标，甲方可单方面解除合同，由此产生的费用由乙方承担。导致甲方受到处罚的，产生的罚款由乙方承担。</w:t>
      </w:r>
    </w:p>
    <w:p w14:paraId="496A5C63">
      <w:pPr>
        <w:spacing w:line="360" w:lineRule="auto"/>
        <w:ind w:right="60" w:firstLine="456" w:firstLineChars="200"/>
        <w:rPr>
          <w:rFonts w:hint="eastAsia" w:ascii="宋体" w:hAnsi="宋体" w:cs="宋体"/>
          <w:color w:val="auto"/>
          <w:sz w:val="24"/>
          <w:highlight w:val="none"/>
        </w:rPr>
      </w:pPr>
      <w:r>
        <w:rPr>
          <w:rFonts w:hint="eastAsia" w:ascii="宋体" w:hAnsi="宋体" w:cs="宋体"/>
          <w:color w:val="auto"/>
          <w:spacing w:val="-6"/>
          <w:sz w:val="24"/>
          <w:highlight w:val="none"/>
          <w:lang w:val="en-US" w:eastAsia="zh-CN"/>
        </w:rPr>
        <w:t>11</w:t>
      </w:r>
      <w:r>
        <w:rPr>
          <w:rFonts w:hint="eastAsia" w:ascii="宋体" w:hAnsi="宋体" w:cs="宋体"/>
          <w:color w:val="auto"/>
          <w:spacing w:val="-6"/>
          <w:sz w:val="24"/>
          <w:highlight w:val="none"/>
        </w:rPr>
        <w:t>.</w:t>
      </w:r>
      <w:r>
        <w:rPr>
          <w:rFonts w:hint="eastAsia" w:ascii="宋体" w:hAnsi="宋体" w:cs="宋体"/>
          <w:color w:val="auto"/>
          <w:spacing w:val="-6"/>
          <w:sz w:val="24"/>
          <w:highlight w:val="none"/>
          <w:lang w:val="en-US" w:eastAsia="zh-CN"/>
        </w:rPr>
        <w:t>6</w:t>
      </w:r>
      <w:r>
        <w:rPr>
          <w:rFonts w:hint="eastAsia" w:ascii="宋体" w:hAnsi="宋体" w:cs="宋体"/>
          <w:color w:val="auto"/>
          <w:spacing w:val="-6"/>
          <w:sz w:val="24"/>
          <w:highlight w:val="none"/>
        </w:rPr>
        <w:t>若因外部停电等第三方原因导致服务暂停的，乙方不承担</w:t>
      </w:r>
      <w:r>
        <w:rPr>
          <w:rFonts w:hint="eastAsia" w:ascii="宋体" w:hAnsi="宋体" w:cs="宋体"/>
          <w:color w:val="auto"/>
          <w:spacing w:val="-11"/>
          <w:sz w:val="24"/>
          <w:highlight w:val="none"/>
        </w:rPr>
        <w:t>违约责任。</w:t>
      </w:r>
    </w:p>
    <w:p w14:paraId="1ECE4033">
      <w:pPr>
        <w:spacing w:line="360" w:lineRule="auto"/>
        <w:ind w:right="97" w:firstLine="452" w:firstLineChars="200"/>
        <w:rPr>
          <w:rFonts w:hint="eastAsia" w:ascii="宋体" w:hAnsi="宋体" w:cs="宋体"/>
          <w:color w:val="auto"/>
          <w:sz w:val="24"/>
          <w:highlight w:val="none"/>
        </w:rPr>
      </w:pPr>
      <w:r>
        <w:rPr>
          <w:rFonts w:hint="eastAsia" w:ascii="宋体" w:hAnsi="宋体" w:cs="宋体"/>
          <w:color w:val="auto"/>
          <w:spacing w:val="-7"/>
          <w:sz w:val="24"/>
          <w:highlight w:val="none"/>
          <w:lang w:val="en-US" w:eastAsia="zh-CN"/>
        </w:rPr>
        <w:t>11</w:t>
      </w:r>
      <w:r>
        <w:rPr>
          <w:rFonts w:hint="eastAsia" w:ascii="宋体" w:hAnsi="宋体" w:cs="宋体"/>
          <w:color w:val="auto"/>
          <w:spacing w:val="-7"/>
          <w:sz w:val="24"/>
          <w:highlight w:val="none"/>
        </w:rPr>
        <w:t>.</w:t>
      </w:r>
      <w:r>
        <w:rPr>
          <w:rFonts w:hint="eastAsia" w:ascii="宋体" w:hAnsi="宋体" w:cs="宋体"/>
          <w:color w:val="auto"/>
          <w:spacing w:val="-7"/>
          <w:sz w:val="24"/>
          <w:highlight w:val="none"/>
          <w:lang w:val="en-US" w:eastAsia="zh-CN"/>
        </w:rPr>
        <w:t>7</w:t>
      </w:r>
      <w:r>
        <w:rPr>
          <w:rFonts w:hint="eastAsia" w:ascii="宋体" w:hAnsi="宋体" w:cs="宋体"/>
          <w:color w:val="auto"/>
          <w:spacing w:val="-7"/>
          <w:sz w:val="24"/>
          <w:highlight w:val="none"/>
        </w:rPr>
        <w:t>若因乙方原因，导致合同终止的，乙方应在双方协商确定</w:t>
      </w:r>
      <w:r>
        <w:rPr>
          <w:rFonts w:hint="eastAsia" w:ascii="宋体" w:hAnsi="宋体" w:cs="宋体"/>
          <w:color w:val="auto"/>
          <w:spacing w:val="-8"/>
          <w:sz w:val="24"/>
          <w:highlight w:val="none"/>
        </w:rPr>
        <w:t>的期限内搬离，并恢复原状。</w:t>
      </w:r>
    </w:p>
    <w:p w14:paraId="0429ECFC">
      <w:pPr>
        <w:spacing w:line="360" w:lineRule="auto"/>
        <w:ind w:firstLine="464" w:firstLineChars="200"/>
        <w:rPr>
          <w:rFonts w:hint="eastAsia" w:ascii="宋体" w:hAnsi="宋体" w:cs="宋体"/>
          <w:color w:val="auto"/>
          <w:spacing w:val="-5"/>
          <w:sz w:val="24"/>
          <w:highlight w:val="none"/>
        </w:rPr>
      </w:pPr>
      <w:r>
        <w:rPr>
          <w:rFonts w:hint="eastAsia" w:ascii="宋体" w:hAnsi="宋体" w:cs="宋体"/>
          <w:color w:val="auto"/>
          <w:spacing w:val="-4"/>
          <w:sz w:val="24"/>
          <w:highlight w:val="none"/>
          <w:lang w:val="en-US" w:eastAsia="zh-CN"/>
        </w:rPr>
        <w:t>11</w:t>
      </w:r>
      <w:r>
        <w:rPr>
          <w:rFonts w:hint="eastAsia" w:ascii="宋体" w:hAnsi="宋体" w:cs="宋体"/>
          <w:color w:val="auto"/>
          <w:spacing w:val="-4"/>
          <w:sz w:val="24"/>
          <w:highlight w:val="none"/>
        </w:rPr>
        <w:t>.</w:t>
      </w:r>
      <w:r>
        <w:rPr>
          <w:rFonts w:hint="eastAsia" w:ascii="宋体" w:hAnsi="宋体" w:cs="宋体"/>
          <w:color w:val="auto"/>
          <w:spacing w:val="-4"/>
          <w:sz w:val="24"/>
          <w:highlight w:val="none"/>
          <w:lang w:val="en-US" w:eastAsia="zh-CN"/>
        </w:rPr>
        <w:t>8</w:t>
      </w:r>
      <w:r>
        <w:rPr>
          <w:rFonts w:hint="eastAsia" w:ascii="宋体" w:hAnsi="宋体" w:cs="宋体"/>
          <w:color w:val="auto"/>
          <w:spacing w:val="-4"/>
          <w:sz w:val="24"/>
          <w:highlight w:val="none"/>
        </w:rPr>
        <w:t>若乙方违反国家及厦门市相关规定污泥、余渣废物处理，</w:t>
      </w:r>
      <w:r>
        <w:rPr>
          <w:rFonts w:hint="eastAsia" w:ascii="宋体" w:hAnsi="宋体" w:cs="宋体"/>
          <w:color w:val="auto"/>
          <w:spacing w:val="-5"/>
          <w:sz w:val="24"/>
          <w:highlight w:val="none"/>
        </w:rPr>
        <w:t>造成的经济损失和法律责任由乙方承担。</w:t>
      </w:r>
    </w:p>
    <w:p w14:paraId="47D984EF">
      <w:pPr>
        <w:spacing w:line="360" w:lineRule="auto"/>
        <w:ind w:firstLine="464" w:firstLineChars="200"/>
        <w:rPr>
          <w:rFonts w:hint="eastAsia" w:ascii="宋体" w:hAnsi="宋体" w:cs="宋体"/>
          <w:color w:val="auto"/>
          <w:spacing w:val="-5"/>
          <w:sz w:val="24"/>
          <w:highlight w:val="none"/>
        </w:rPr>
      </w:pPr>
      <w:r>
        <w:rPr>
          <w:rFonts w:hint="eastAsia" w:ascii="宋体" w:hAnsi="宋体" w:cs="宋体"/>
          <w:color w:val="auto"/>
          <w:spacing w:val="-4"/>
          <w:sz w:val="24"/>
          <w:highlight w:val="none"/>
          <w:lang w:val="en-US" w:eastAsia="zh-CN"/>
        </w:rPr>
        <w:t>11</w:t>
      </w:r>
      <w:r>
        <w:rPr>
          <w:rFonts w:hint="eastAsia" w:ascii="宋体" w:hAnsi="宋体" w:cs="宋体"/>
          <w:color w:val="auto"/>
          <w:spacing w:val="-4"/>
          <w:sz w:val="24"/>
          <w:highlight w:val="none"/>
        </w:rPr>
        <w:t>.</w:t>
      </w:r>
      <w:r>
        <w:rPr>
          <w:rFonts w:hint="eastAsia" w:ascii="宋体" w:hAnsi="宋体" w:cs="宋体"/>
          <w:color w:val="auto"/>
          <w:spacing w:val="-4"/>
          <w:sz w:val="24"/>
          <w:highlight w:val="none"/>
          <w:lang w:val="en-US" w:eastAsia="zh-CN"/>
        </w:rPr>
        <w:t>9</w:t>
      </w:r>
      <w:r>
        <w:rPr>
          <w:rFonts w:hint="eastAsia" w:ascii="宋体" w:hAnsi="宋体" w:cs="宋体"/>
          <w:color w:val="auto"/>
          <w:spacing w:val="-4"/>
          <w:sz w:val="24"/>
          <w:highlight w:val="none"/>
        </w:rPr>
        <w:t>若乙方</w:t>
      </w:r>
      <w:r>
        <w:rPr>
          <w:rFonts w:hint="eastAsia" w:ascii="宋体" w:hAnsi="宋体" w:cs="宋体"/>
          <w:color w:val="auto"/>
          <w:spacing w:val="-4"/>
          <w:sz w:val="24"/>
          <w:highlight w:val="none"/>
          <w:lang w:val="en-US" w:eastAsia="zh-CN"/>
        </w:rPr>
        <w:t>运营管理过程中，</w:t>
      </w:r>
      <w:r>
        <w:rPr>
          <w:rFonts w:hint="eastAsia" w:ascii="宋体" w:hAnsi="宋体" w:cs="宋体"/>
          <w:color w:val="auto"/>
          <w:spacing w:val="-4"/>
          <w:sz w:val="24"/>
          <w:highlight w:val="none"/>
        </w:rPr>
        <w:t>违反国家及</w:t>
      </w:r>
      <w:r>
        <w:rPr>
          <w:rFonts w:hint="eastAsia" w:ascii="宋体" w:hAnsi="宋体" w:cs="宋体"/>
          <w:color w:val="auto"/>
          <w:spacing w:val="-4"/>
          <w:sz w:val="24"/>
          <w:highlight w:val="none"/>
          <w:lang w:eastAsia="zh-CN"/>
        </w:rPr>
        <w:t>、</w:t>
      </w:r>
      <w:r>
        <w:rPr>
          <w:rFonts w:hint="eastAsia" w:ascii="宋体" w:hAnsi="宋体" w:cs="宋体"/>
          <w:color w:val="auto"/>
          <w:spacing w:val="-4"/>
          <w:sz w:val="24"/>
          <w:highlight w:val="none"/>
          <w:lang w:val="en-US" w:eastAsia="zh-CN"/>
        </w:rPr>
        <w:t>省、</w:t>
      </w:r>
      <w:r>
        <w:rPr>
          <w:rFonts w:hint="eastAsia" w:ascii="宋体" w:hAnsi="宋体" w:cs="宋体"/>
          <w:color w:val="auto"/>
          <w:spacing w:val="-4"/>
          <w:sz w:val="24"/>
          <w:highlight w:val="none"/>
        </w:rPr>
        <w:t>厦门市相关</w:t>
      </w:r>
      <w:r>
        <w:rPr>
          <w:rFonts w:hint="eastAsia" w:ascii="宋体" w:hAnsi="宋体" w:cs="宋体"/>
          <w:color w:val="auto"/>
          <w:spacing w:val="-4"/>
          <w:sz w:val="24"/>
          <w:highlight w:val="none"/>
          <w:lang w:val="en-US" w:eastAsia="zh-CN"/>
        </w:rPr>
        <w:t>环保法律法规及相关规定</w:t>
      </w:r>
      <w:r>
        <w:rPr>
          <w:rFonts w:hint="eastAsia" w:ascii="宋体" w:hAnsi="宋体" w:cs="宋体"/>
          <w:color w:val="auto"/>
          <w:spacing w:val="-4"/>
          <w:sz w:val="24"/>
          <w:highlight w:val="none"/>
        </w:rPr>
        <w:t>，</w:t>
      </w:r>
      <w:r>
        <w:rPr>
          <w:rFonts w:hint="eastAsia" w:ascii="宋体" w:hAnsi="宋体" w:cs="宋体"/>
          <w:color w:val="auto"/>
          <w:spacing w:val="-5"/>
          <w:sz w:val="24"/>
          <w:highlight w:val="none"/>
        </w:rPr>
        <w:t>造成的经济损失和法律责任由乙方承担。</w:t>
      </w:r>
    </w:p>
    <w:p w14:paraId="5E7FFE11">
      <w:pPr>
        <w:spacing w:line="360" w:lineRule="auto"/>
        <w:ind w:left="474"/>
        <w:outlineLvl w:val="0"/>
        <w:rPr>
          <w:rFonts w:hint="eastAsia" w:ascii="宋体" w:hAnsi="宋体" w:cs="宋体"/>
          <w:color w:val="auto"/>
          <w:sz w:val="24"/>
          <w:highlight w:val="none"/>
        </w:rPr>
      </w:pPr>
      <w:bookmarkStart w:id="204" w:name="_Toc173848276"/>
      <w:r>
        <w:rPr>
          <w:rFonts w:hint="eastAsia" w:ascii="宋体" w:hAnsi="宋体" w:cs="宋体"/>
          <w:b/>
          <w:bCs/>
          <w:color w:val="auto"/>
          <w:spacing w:val="-2"/>
          <w:sz w:val="24"/>
          <w:highlight w:val="none"/>
          <w:lang w:val="en-US" w:eastAsia="zh-CN"/>
        </w:rPr>
        <w:t>12</w:t>
      </w:r>
      <w:r>
        <w:rPr>
          <w:rFonts w:hint="eastAsia" w:ascii="宋体" w:hAnsi="宋体" w:cs="宋体"/>
          <w:b/>
          <w:bCs/>
          <w:color w:val="auto"/>
          <w:spacing w:val="-2"/>
          <w:sz w:val="24"/>
          <w:highlight w:val="none"/>
        </w:rPr>
        <w:t>.知识产权</w:t>
      </w:r>
      <w:bookmarkEnd w:id="204"/>
    </w:p>
    <w:p w14:paraId="64D3E969">
      <w:pPr>
        <w:spacing w:line="360" w:lineRule="auto"/>
        <w:ind w:firstLine="519"/>
        <w:rPr>
          <w:rFonts w:hint="eastAsia" w:ascii="宋体" w:hAnsi="宋体" w:cs="宋体"/>
          <w:color w:val="auto"/>
          <w:sz w:val="24"/>
          <w:highlight w:val="none"/>
        </w:rPr>
      </w:pPr>
      <w:r>
        <w:rPr>
          <w:rFonts w:hint="eastAsia" w:ascii="宋体" w:hAnsi="宋体" w:cs="宋体"/>
          <w:color w:val="auto"/>
          <w:spacing w:val="-16"/>
          <w:sz w:val="24"/>
          <w:highlight w:val="none"/>
        </w:rPr>
        <w:t>乙方提供的服务、设备应符合国家知识产权法律、法规的规定；</w:t>
      </w:r>
      <w:r>
        <w:rPr>
          <w:rFonts w:hint="eastAsia" w:ascii="宋体" w:hAnsi="宋体" w:cs="宋体"/>
          <w:color w:val="auto"/>
          <w:spacing w:val="-3"/>
          <w:sz w:val="24"/>
          <w:highlight w:val="none"/>
        </w:rPr>
        <w:t>乙方还应保证甲方不受到第三方关于侵犯知识产权及专利权、商</w:t>
      </w:r>
      <w:r>
        <w:rPr>
          <w:rFonts w:hint="eastAsia" w:ascii="宋体" w:hAnsi="宋体" w:cs="宋体"/>
          <w:color w:val="auto"/>
          <w:spacing w:val="-1"/>
          <w:sz w:val="24"/>
          <w:highlight w:val="none"/>
        </w:rPr>
        <w:t>标权或工业设计权等知识产权方面的指控，任何第三方如果提出</w:t>
      </w:r>
      <w:r>
        <w:rPr>
          <w:rFonts w:hint="eastAsia" w:ascii="宋体" w:hAnsi="宋体" w:cs="宋体"/>
          <w:color w:val="auto"/>
          <w:spacing w:val="-2"/>
          <w:sz w:val="24"/>
          <w:highlight w:val="none"/>
        </w:rPr>
        <w:t>此方面指控均与甲方无关，乙方应与第三方交涉，并承担可能发生的一切法律责任、费用和后果；若甲方因此而遭致损失，则乙</w:t>
      </w:r>
      <w:r>
        <w:rPr>
          <w:rFonts w:hint="eastAsia" w:ascii="宋体" w:hAnsi="宋体" w:cs="宋体"/>
          <w:color w:val="auto"/>
          <w:spacing w:val="-8"/>
          <w:sz w:val="24"/>
          <w:highlight w:val="none"/>
        </w:rPr>
        <w:t>方应赔偿该损失。</w:t>
      </w:r>
    </w:p>
    <w:p w14:paraId="58493994">
      <w:pPr>
        <w:spacing w:line="360" w:lineRule="auto"/>
        <w:ind w:left="494"/>
        <w:outlineLvl w:val="0"/>
        <w:rPr>
          <w:rFonts w:hint="eastAsia" w:ascii="宋体" w:hAnsi="宋体" w:cs="宋体"/>
          <w:color w:val="auto"/>
          <w:sz w:val="24"/>
          <w:highlight w:val="none"/>
        </w:rPr>
      </w:pPr>
      <w:bookmarkStart w:id="205" w:name="_Toc173848277"/>
      <w:r>
        <w:rPr>
          <w:rFonts w:hint="eastAsia" w:ascii="宋体" w:hAnsi="宋体" w:cs="宋体"/>
          <w:b/>
          <w:bCs/>
          <w:color w:val="auto"/>
          <w:spacing w:val="-7"/>
          <w:sz w:val="24"/>
          <w:highlight w:val="none"/>
        </w:rPr>
        <w:t>1</w:t>
      </w:r>
      <w:r>
        <w:rPr>
          <w:rFonts w:hint="eastAsia" w:ascii="宋体" w:hAnsi="宋体" w:cs="宋体"/>
          <w:b/>
          <w:bCs/>
          <w:color w:val="auto"/>
          <w:spacing w:val="-7"/>
          <w:sz w:val="24"/>
          <w:highlight w:val="none"/>
          <w:lang w:val="en-US" w:eastAsia="zh-CN"/>
        </w:rPr>
        <w:t>3</w:t>
      </w:r>
      <w:r>
        <w:rPr>
          <w:rFonts w:hint="eastAsia" w:ascii="宋体" w:hAnsi="宋体" w:cs="宋体"/>
          <w:b/>
          <w:bCs/>
          <w:color w:val="auto"/>
          <w:spacing w:val="-7"/>
          <w:sz w:val="24"/>
          <w:highlight w:val="none"/>
        </w:rPr>
        <w:t>.解决争议的方法</w:t>
      </w:r>
      <w:bookmarkEnd w:id="205"/>
    </w:p>
    <w:p w14:paraId="2AA89EF1">
      <w:pPr>
        <w:spacing w:line="360" w:lineRule="auto"/>
        <w:ind w:right="159" w:firstLine="639"/>
        <w:rPr>
          <w:rFonts w:hint="eastAsia" w:ascii="宋体" w:hAnsi="宋体" w:cs="宋体"/>
          <w:color w:val="auto"/>
          <w:sz w:val="24"/>
          <w:highlight w:val="none"/>
        </w:rPr>
      </w:pPr>
      <w:r>
        <w:rPr>
          <w:rFonts w:hint="eastAsia" w:ascii="宋体" w:hAnsi="宋体" w:cs="宋体"/>
          <w:color w:val="auto"/>
          <w:spacing w:val="8"/>
          <w:sz w:val="24"/>
          <w:highlight w:val="none"/>
        </w:rPr>
        <w:t>双方如有发生争议，应即时协商解决，如协商不成，任何一</w:t>
      </w:r>
      <w:r>
        <w:rPr>
          <w:rFonts w:hint="eastAsia" w:ascii="宋体" w:hAnsi="宋体" w:cs="宋体"/>
          <w:color w:val="auto"/>
          <w:spacing w:val="3"/>
          <w:sz w:val="24"/>
          <w:highlight w:val="none"/>
        </w:rPr>
        <w:t>方可向厦门市海沧区人民法院提起诉讼。</w:t>
      </w:r>
    </w:p>
    <w:p w14:paraId="6496C641">
      <w:pPr>
        <w:spacing w:line="360" w:lineRule="auto"/>
        <w:ind w:firstLine="519"/>
        <w:rPr>
          <w:rFonts w:hint="eastAsia" w:ascii="宋体" w:hAnsi="宋体" w:eastAsia="宋体" w:cs="宋体"/>
          <w:b/>
          <w:bCs/>
          <w:color w:val="auto"/>
          <w:spacing w:val="-2"/>
          <w:sz w:val="24"/>
          <w:highlight w:val="none"/>
        </w:rPr>
      </w:pPr>
      <w:bookmarkStart w:id="206" w:name="_Toc173848278"/>
      <w:r>
        <w:rPr>
          <w:rFonts w:hint="eastAsia" w:ascii="宋体" w:hAnsi="宋体" w:eastAsia="宋体" w:cs="宋体"/>
          <w:b/>
          <w:bCs/>
          <w:color w:val="auto"/>
          <w:spacing w:val="-2"/>
          <w:sz w:val="24"/>
          <w:highlight w:val="none"/>
        </w:rPr>
        <w:t>1</w:t>
      </w:r>
      <w:r>
        <w:rPr>
          <w:rFonts w:hint="eastAsia" w:ascii="宋体" w:hAnsi="宋体" w:cs="宋体"/>
          <w:b/>
          <w:bCs/>
          <w:color w:val="auto"/>
          <w:spacing w:val="-2"/>
          <w:sz w:val="24"/>
          <w:highlight w:val="none"/>
          <w:lang w:val="en-US" w:eastAsia="zh-CN"/>
        </w:rPr>
        <w:t>4</w:t>
      </w:r>
      <w:r>
        <w:rPr>
          <w:rFonts w:hint="eastAsia" w:ascii="宋体" w:hAnsi="宋体" w:eastAsia="宋体" w:cs="宋体"/>
          <w:b/>
          <w:bCs/>
          <w:color w:val="auto"/>
          <w:spacing w:val="-2"/>
          <w:sz w:val="24"/>
          <w:highlight w:val="none"/>
        </w:rPr>
        <w:t>.不可抗力</w:t>
      </w:r>
      <w:bookmarkEnd w:id="206"/>
    </w:p>
    <w:p w14:paraId="7CA941AA">
      <w:pPr>
        <w:spacing w:line="360" w:lineRule="auto"/>
        <w:ind w:firstLine="519"/>
        <w:rPr>
          <w:rFonts w:hint="eastAsia" w:ascii="宋体" w:hAnsi="宋体" w:eastAsia="宋体" w:cs="宋体"/>
          <w:color w:val="auto"/>
          <w:spacing w:val="-16"/>
          <w:sz w:val="24"/>
          <w:highlight w:val="none"/>
        </w:rPr>
      </w:pPr>
      <w:r>
        <w:rPr>
          <w:rFonts w:hint="eastAsia" w:ascii="宋体" w:hAnsi="宋体" w:eastAsia="宋体" w:cs="宋体"/>
          <w:color w:val="auto"/>
          <w:spacing w:val="-16"/>
          <w:sz w:val="24"/>
          <w:highlight w:val="none"/>
        </w:rPr>
        <w:t>1</w:t>
      </w:r>
      <w:r>
        <w:rPr>
          <w:rFonts w:hint="eastAsia" w:ascii="宋体" w:hAnsi="宋体" w:cs="宋体"/>
          <w:color w:val="auto"/>
          <w:spacing w:val="-16"/>
          <w:sz w:val="24"/>
          <w:highlight w:val="none"/>
          <w:lang w:val="en-US" w:eastAsia="zh-CN"/>
        </w:rPr>
        <w:t>4</w:t>
      </w:r>
      <w:r>
        <w:rPr>
          <w:rFonts w:hint="eastAsia" w:ascii="宋体" w:hAnsi="宋体" w:eastAsia="宋体" w:cs="宋体"/>
          <w:color w:val="auto"/>
          <w:spacing w:val="-16"/>
          <w:sz w:val="24"/>
          <w:highlight w:val="none"/>
        </w:rPr>
        <w:t>.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37F9C18A">
      <w:pPr>
        <w:spacing w:line="360" w:lineRule="auto"/>
        <w:ind w:firstLine="519"/>
        <w:rPr>
          <w:rFonts w:hint="eastAsia" w:ascii="宋体" w:hAnsi="宋体" w:eastAsia="宋体" w:cs="宋体"/>
          <w:color w:val="auto"/>
          <w:spacing w:val="-16"/>
          <w:sz w:val="24"/>
          <w:highlight w:val="none"/>
        </w:rPr>
      </w:pPr>
      <w:r>
        <w:rPr>
          <w:rFonts w:hint="eastAsia" w:ascii="宋体" w:hAnsi="宋体" w:eastAsia="宋体" w:cs="宋体"/>
          <w:color w:val="auto"/>
          <w:spacing w:val="-16"/>
          <w:sz w:val="24"/>
          <w:highlight w:val="none"/>
        </w:rPr>
        <w:t>1</w:t>
      </w:r>
      <w:r>
        <w:rPr>
          <w:rFonts w:hint="eastAsia" w:ascii="宋体" w:hAnsi="宋体" w:cs="宋体"/>
          <w:color w:val="auto"/>
          <w:spacing w:val="-16"/>
          <w:sz w:val="24"/>
          <w:highlight w:val="none"/>
          <w:lang w:val="en-US" w:eastAsia="zh-CN"/>
        </w:rPr>
        <w:t>4</w:t>
      </w:r>
      <w:r>
        <w:rPr>
          <w:rFonts w:hint="eastAsia" w:ascii="宋体" w:hAnsi="宋体" w:eastAsia="宋体" w:cs="宋体"/>
          <w:color w:val="auto"/>
          <w:spacing w:val="-16"/>
          <w:sz w:val="24"/>
          <w:highlight w:val="none"/>
        </w:rPr>
        <w:t>.2本合同中的不可抗力指不能预见、不能避免、不能克服的客观情况，包括但不限于：自然灾害如地震、台风、洪水、火灾及政府行为、法律规定或其适用的变化或其他任何无法预见、避免或控制的事件。</w:t>
      </w:r>
    </w:p>
    <w:p w14:paraId="01AAF405">
      <w:pPr>
        <w:spacing w:line="360" w:lineRule="auto"/>
        <w:ind w:firstLine="519"/>
        <w:rPr>
          <w:rFonts w:hint="eastAsia" w:ascii="宋体" w:hAnsi="宋体" w:eastAsia="宋体" w:cs="宋体"/>
          <w:b/>
          <w:bCs/>
          <w:color w:val="auto"/>
          <w:spacing w:val="-2"/>
          <w:sz w:val="24"/>
          <w:highlight w:val="none"/>
        </w:rPr>
      </w:pPr>
      <w:bookmarkStart w:id="207" w:name="_Toc173848279"/>
      <w:r>
        <w:rPr>
          <w:rFonts w:hint="eastAsia" w:ascii="宋体" w:hAnsi="宋体" w:eastAsia="宋体" w:cs="宋体"/>
          <w:b/>
          <w:bCs/>
          <w:color w:val="auto"/>
          <w:spacing w:val="-2"/>
          <w:sz w:val="24"/>
          <w:highlight w:val="none"/>
        </w:rPr>
        <w:t>1</w:t>
      </w:r>
      <w:r>
        <w:rPr>
          <w:rFonts w:hint="eastAsia" w:ascii="宋体" w:hAnsi="宋体" w:cs="宋体"/>
          <w:b/>
          <w:bCs/>
          <w:color w:val="auto"/>
          <w:spacing w:val="-2"/>
          <w:sz w:val="24"/>
          <w:highlight w:val="none"/>
          <w:lang w:val="en-US" w:eastAsia="zh-CN"/>
        </w:rPr>
        <w:t>5</w:t>
      </w:r>
      <w:r>
        <w:rPr>
          <w:rFonts w:hint="eastAsia" w:ascii="宋体" w:hAnsi="宋体" w:eastAsia="宋体" w:cs="宋体"/>
          <w:b/>
          <w:bCs/>
          <w:color w:val="auto"/>
          <w:spacing w:val="-2"/>
          <w:sz w:val="24"/>
          <w:highlight w:val="none"/>
        </w:rPr>
        <w:t>.其他约定</w:t>
      </w:r>
      <w:bookmarkEnd w:id="207"/>
    </w:p>
    <w:p w14:paraId="69C35DA5">
      <w:pPr>
        <w:spacing w:line="360" w:lineRule="auto"/>
        <w:ind w:firstLine="519"/>
        <w:rPr>
          <w:rFonts w:hint="eastAsia" w:ascii="宋体" w:hAnsi="宋体" w:eastAsia="宋体" w:cs="宋体"/>
          <w:color w:val="auto"/>
          <w:spacing w:val="-16"/>
          <w:sz w:val="24"/>
          <w:highlight w:val="none"/>
        </w:rPr>
      </w:pPr>
      <w:r>
        <w:rPr>
          <w:rFonts w:hint="eastAsia" w:ascii="宋体" w:hAnsi="宋体" w:eastAsia="宋体" w:cs="宋体"/>
          <w:color w:val="auto"/>
          <w:spacing w:val="-16"/>
          <w:sz w:val="24"/>
          <w:highlight w:val="none"/>
        </w:rPr>
        <w:t>1</w:t>
      </w:r>
      <w:r>
        <w:rPr>
          <w:rFonts w:hint="eastAsia" w:ascii="宋体" w:hAnsi="宋体" w:cs="宋体"/>
          <w:color w:val="auto"/>
          <w:spacing w:val="-16"/>
          <w:sz w:val="24"/>
          <w:highlight w:val="none"/>
          <w:lang w:val="en-US" w:eastAsia="zh-CN"/>
        </w:rPr>
        <w:t>5</w:t>
      </w:r>
      <w:r>
        <w:rPr>
          <w:rFonts w:hint="eastAsia" w:ascii="宋体" w:hAnsi="宋体" w:eastAsia="宋体" w:cs="宋体"/>
          <w:color w:val="auto"/>
          <w:spacing w:val="-16"/>
          <w:sz w:val="24"/>
          <w:highlight w:val="none"/>
        </w:rPr>
        <w:t>.1本合同未尽事宜，双方可另行补充。</w:t>
      </w:r>
    </w:p>
    <w:p w14:paraId="4BBBADE0">
      <w:pPr>
        <w:spacing w:line="360" w:lineRule="auto"/>
        <w:ind w:firstLine="519"/>
        <w:rPr>
          <w:rFonts w:hint="eastAsia" w:ascii="宋体" w:hAnsi="宋体" w:eastAsia="宋体" w:cs="宋体"/>
          <w:color w:val="auto"/>
          <w:spacing w:val="-16"/>
          <w:sz w:val="24"/>
          <w:highlight w:val="none"/>
        </w:rPr>
      </w:pPr>
      <w:r>
        <w:rPr>
          <w:rFonts w:hint="eastAsia" w:ascii="宋体" w:hAnsi="宋体" w:eastAsia="宋体" w:cs="宋体"/>
          <w:color w:val="auto"/>
          <w:spacing w:val="-16"/>
          <w:sz w:val="24"/>
          <w:highlight w:val="none"/>
        </w:rPr>
        <w:t>1</w:t>
      </w:r>
      <w:r>
        <w:rPr>
          <w:rFonts w:hint="eastAsia" w:ascii="宋体" w:hAnsi="宋体" w:cs="宋体"/>
          <w:color w:val="auto"/>
          <w:spacing w:val="-16"/>
          <w:sz w:val="24"/>
          <w:highlight w:val="none"/>
          <w:lang w:val="en-US" w:eastAsia="zh-CN"/>
        </w:rPr>
        <w:t>5</w:t>
      </w:r>
      <w:r>
        <w:rPr>
          <w:rFonts w:hint="eastAsia" w:ascii="宋体" w:hAnsi="宋体" w:eastAsia="宋体" w:cs="宋体"/>
          <w:color w:val="auto"/>
          <w:spacing w:val="-16"/>
          <w:sz w:val="24"/>
          <w:highlight w:val="none"/>
        </w:rPr>
        <w:t>.2本合同自签订之日起生效。</w:t>
      </w:r>
    </w:p>
    <w:p w14:paraId="2596DC08">
      <w:pPr>
        <w:spacing w:line="360" w:lineRule="auto"/>
        <w:ind w:firstLine="519"/>
        <w:rPr>
          <w:rFonts w:hint="eastAsia" w:ascii="宋体" w:hAnsi="宋体" w:eastAsia="宋体" w:cs="宋体"/>
          <w:color w:val="auto"/>
          <w:spacing w:val="-16"/>
          <w:sz w:val="24"/>
          <w:highlight w:val="none"/>
        </w:rPr>
      </w:pPr>
      <w:r>
        <w:rPr>
          <w:rFonts w:hint="eastAsia" w:ascii="宋体" w:hAnsi="宋体" w:eastAsia="宋体" w:cs="宋体"/>
          <w:color w:val="auto"/>
          <w:spacing w:val="-16"/>
          <w:sz w:val="24"/>
          <w:highlight w:val="none"/>
        </w:rPr>
        <w:t>1</w:t>
      </w:r>
      <w:r>
        <w:rPr>
          <w:rFonts w:hint="eastAsia" w:ascii="宋体" w:hAnsi="宋体" w:cs="宋体"/>
          <w:color w:val="auto"/>
          <w:spacing w:val="-16"/>
          <w:sz w:val="24"/>
          <w:highlight w:val="none"/>
          <w:lang w:val="en-US" w:eastAsia="zh-CN"/>
        </w:rPr>
        <w:t>5</w:t>
      </w:r>
      <w:r>
        <w:rPr>
          <w:rFonts w:hint="eastAsia" w:ascii="宋体" w:hAnsi="宋体" w:eastAsia="宋体" w:cs="宋体"/>
          <w:color w:val="auto"/>
          <w:spacing w:val="-16"/>
          <w:sz w:val="24"/>
          <w:highlight w:val="none"/>
        </w:rPr>
        <w:t>.3本合同一式</w:t>
      </w:r>
      <w:r>
        <w:rPr>
          <w:rFonts w:hint="eastAsia" w:ascii="宋体" w:hAnsi="宋体" w:eastAsia="宋体" w:cs="宋体"/>
          <w:color w:val="auto"/>
          <w:spacing w:val="-16"/>
          <w:sz w:val="24"/>
          <w:highlight w:val="none"/>
          <w:lang w:val="en-US" w:eastAsia="zh-CN"/>
        </w:rPr>
        <w:t>陆</w:t>
      </w:r>
      <w:r>
        <w:rPr>
          <w:rFonts w:hint="eastAsia" w:ascii="宋体" w:hAnsi="宋体" w:eastAsia="宋体" w:cs="宋体"/>
          <w:color w:val="auto"/>
          <w:spacing w:val="-16"/>
          <w:sz w:val="24"/>
          <w:highlight w:val="none"/>
        </w:rPr>
        <w:t>份，甲</w:t>
      </w:r>
      <w:r>
        <w:rPr>
          <w:rFonts w:hint="eastAsia" w:ascii="宋体" w:hAnsi="宋体" w:eastAsia="宋体" w:cs="宋体"/>
          <w:color w:val="auto"/>
          <w:spacing w:val="-16"/>
          <w:sz w:val="24"/>
          <w:highlight w:val="none"/>
          <w:lang w:val="en-US" w:eastAsia="zh-CN"/>
        </w:rPr>
        <w:t>方</w:t>
      </w:r>
      <w:r>
        <w:rPr>
          <w:rFonts w:hint="eastAsia" w:ascii="宋体" w:hAnsi="宋体" w:eastAsia="宋体" w:cs="宋体"/>
          <w:color w:val="auto"/>
          <w:spacing w:val="-16"/>
          <w:sz w:val="24"/>
          <w:highlight w:val="none"/>
        </w:rPr>
        <w:t>执</w:t>
      </w:r>
      <w:r>
        <w:rPr>
          <w:rFonts w:hint="eastAsia" w:ascii="宋体" w:hAnsi="宋体" w:eastAsia="宋体" w:cs="宋体"/>
          <w:color w:val="auto"/>
          <w:spacing w:val="-16"/>
          <w:sz w:val="24"/>
          <w:highlight w:val="none"/>
          <w:lang w:val="en-US" w:eastAsia="zh-CN"/>
        </w:rPr>
        <w:t>肆</w:t>
      </w:r>
      <w:r>
        <w:rPr>
          <w:rFonts w:hint="eastAsia" w:ascii="宋体" w:hAnsi="宋体" w:eastAsia="宋体" w:cs="宋体"/>
          <w:color w:val="auto"/>
          <w:spacing w:val="-16"/>
          <w:sz w:val="24"/>
          <w:highlight w:val="none"/>
        </w:rPr>
        <w:t>份</w:t>
      </w:r>
      <w:r>
        <w:rPr>
          <w:rFonts w:hint="eastAsia" w:ascii="宋体" w:hAnsi="宋体" w:eastAsia="宋体" w:cs="宋体"/>
          <w:color w:val="auto"/>
          <w:spacing w:val="-16"/>
          <w:sz w:val="24"/>
          <w:highlight w:val="none"/>
          <w:lang w:eastAsia="zh-CN"/>
        </w:rPr>
        <w:t>，</w:t>
      </w:r>
      <w:r>
        <w:rPr>
          <w:rFonts w:hint="eastAsia" w:ascii="宋体" w:hAnsi="宋体" w:eastAsia="宋体" w:cs="宋体"/>
          <w:color w:val="auto"/>
          <w:spacing w:val="-16"/>
          <w:sz w:val="24"/>
          <w:highlight w:val="none"/>
        </w:rPr>
        <w:t>乙双执贰份，具备同等法律效力。</w:t>
      </w:r>
    </w:p>
    <w:p w14:paraId="14F5249A">
      <w:pPr>
        <w:spacing w:line="360" w:lineRule="auto"/>
        <w:ind w:firstLine="480" w:firstLineChars="200"/>
        <w:rPr>
          <w:rFonts w:hint="eastAsia" w:ascii="宋体" w:hAnsi="宋体" w:cs="宋体"/>
          <w:color w:val="auto"/>
          <w:sz w:val="24"/>
          <w:highlight w:val="none"/>
        </w:rPr>
      </w:pPr>
    </w:p>
    <w:p w14:paraId="5F2ED292">
      <w:pPr>
        <w:spacing w:line="360" w:lineRule="auto"/>
        <w:rPr>
          <w:rFonts w:hint="eastAsia" w:ascii="宋体" w:hAnsi="宋体" w:cs="宋体"/>
          <w:color w:val="auto"/>
          <w:sz w:val="24"/>
          <w:highlight w:val="none"/>
        </w:rPr>
      </w:pPr>
    </w:p>
    <w:p w14:paraId="14475D54">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    方：                            乙    方：</w:t>
      </w:r>
    </w:p>
    <w:p w14:paraId="443BECCA">
      <w:pPr>
        <w:spacing w:line="360" w:lineRule="auto"/>
        <w:rPr>
          <w:rFonts w:hint="eastAsia" w:ascii="宋体" w:hAnsi="宋体" w:cs="宋体"/>
          <w:color w:val="auto"/>
          <w:sz w:val="24"/>
          <w:highlight w:val="none"/>
        </w:rPr>
      </w:pPr>
      <w:r>
        <w:rPr>
          <w:rFonts w:hint="eastAsia" w:ascii="宋体" w:hAnsi="宋体" w:cs="宋体"/>
          <w:color w:val="auto"/>
          <w:sz w:val="24"/>
          <w:highlight w:val="none"/>
        </w:rPr>
        <w:t>单位地址：                            单位地址：</w:t>
      </w:r>
    </w:p>
    <w:p w14:paraId="6329B57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法定代表人：                          法定代表人：</w:t>
      </w:r>
    </w:p>
    <w:p w14:paraId="1C57504D">
      <w:pPr>
        <w:spacing w:line="360" w:lineRule="auto"/>
        <w:rPr>
          <w:rFonts w:hint="eastAsia" w:ascii="宋体" w:hAnsi="宋体" w:cs="宋体"/>
          <w:color w:val="auto"/>
          <w:sz w:val="24"/>
          <w:highlight w:val="none"/>
        </w:rPr>
      </w:pPr>
      <w:r>
        <w:rPr>
          <w:rFonts w:hint="eastAsia" w:ascii="宋体" w:hAnsi="宋体" w:cs="宋体"/>
          <w:color w:val="auto"/>
          <w:sz w:val="24"/>
          <w:highlight w:val="none"/>
        </w:rPr>
        <w:t>委托代理人：                          委托代理人：</w:t>
      </w:r>
    </w:p>
    <w:p w14:paraId="3DA96A21">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电    话：                            电    话：</w:t>
      </w:r>
    </w:p>
    <w:p w14:paraId="040E9F57">
      <w:pPr>
        <w:spacing w:line="360" w:lineRule="auto"/>
        <w:rPr>
          <w:rFonts w:hint="eastAsia" w:ascii="宋体" w:hAnsi="宋体" w:cs="宋体"/>
          <w:color w:val="auto"/>
          <w:sz w:val="24"/>
          <w:highlight w:val="none"/>
        </w:rPr>
      </w:pPr>
      <w:r>
        <w:rPr>
          <w:rFonts w:hint="eastAsia" w:ascii="宋体" w:hAnsi="宋体" w:cs="宋体"/>
          <w:color w:val="auto"/>
          <w:sz w:val="24"/>
          <w:highlight w:val="none"/>
        </w:rPr>
        <w:t>开户银行：                            开户银行：</w:t>
      </w:r>
    </w:p>
    <w:p w14:paraId="27027E14">
      <w:pPr>
        <w:spacing w:line="360" w:lineRule="auto"/>
        <w:ind w:left="-17" w:leftChars="-8" w:firstLine="19"/>
        <w:rPr>
          <w:rFonts w:hint="eastAsia" w:ascii="宋体" w:hAnsi="宋体" w:cs="宋体"/>
          <w:color w:val="auto"/>
          <w:sz w:val="24"/>
          <w:highlight w:val="none"/>
        </w:rPr>
      </w:pPr>
      <w:r>
        <w:rPr>
          <w:rFonts w:hint="eastAsia" w:ascii="宋体" w:hAnsi="宋体" w:cs="宋体"/>
          <w:color w:val="auto"/>
          <w:sz w:val="24"/>
          <w:highlight w:val="none"/>
        </w:rPr>
        <w:t>账  号：                              账    号：</w:t>
      </w:r>
    </w:p>
    <w:p w14:paraId="23B40166">
      <w:pPr>
        <w:spacing w:line="360" w:lineRule="auto"/>
        <w:rPr>
          <w:rFonts w:asciiTheme="majorEastAsia" w:hAnsiTheme="majorEastAsia" w:eastAsiaTheme="majorEastAsia"/>
          <w:color w:val="auto"/>
          <w:highlight w:val="none"/>
        </w:rPr>
      </w:pPr>
      <w:r>
        <w:rPr>
          <w:rFonts w:hint="eastAsia" w:ascii="宋体" w:hAnsi="宋体" w:cs="宋体"/>
          <w:color w:val="auto"/>
          <w:sz w:val="24"/>
          <w:highlight w:val="none"/>
        </w:rPr>
        <w:br w:type="page"/>
      </w:r>
    </w:p>
    <w:p w14:paraId="142A1AF2">
      <w:pPr>
        <w:pStyle w:val="3"/>
        <w:pageBreakBefore/>
        <w:numPr>
          <w:ilvl w:val="1"/>
          <w:numId w:val="0"/>
        </w:numPr>
        <w:spacing w:before="0" w:after="0" w:line="360" w:lineRule="auto"/>
        <w:rPr>
          <w:rFonts w:asciiTheme="majorEastAsia" w:hAnsiTheme="majorEastAsia" w:eastAsiaTheme="majorEastAsia"/>
          <w:color w:val="auto"/>
          <w:sz w:val="28"/>
          <w:szCs w:val="28"/>
          <w:highlight w:val="none"/>
        </w:rPr>
      </w:pPr>
      <w:bookmarkStart w:id="208" w:name="_Toc18069"/>
      <w:bookmarkStart w:id="209" w:name="_Toc30596"/>
      <w:r>
        <w:rPr>
          <w:rFonts w:hint="eastAsia" w:asciiTheme="majorEastAsia" w:hAnsiTheme="majorEastAsia" w:eastAsiaTheme="majorEastAsia"/>
          <w:color w:val="auto"/>
          <w:sz w:val="28"/>
          <w:szCs w:val="28"/>
          <w:highlight w:val="none"/>
        </w:rPr>
        <w:t>第五章投标文件格式</w:t>
      </w:r>
      <w:bookmarkEnd w:id="208"/>
      <w:bookmarkEnd w:id="209"/>
    </w:p>
    <w:p w14:paraId="6D0353EB">
      <w:pPr>
        <w:pStyle w:val="6"/>
        <w:rPr>
          <w:rFonts w:asciiTheme="majorEastAsia" w:hAnsiTheme="majorEastAsia" w:eastAsiaTheme="majorEastAsia"/>
          <w:color w:val="auto"/>
          <w:highlight w:val="none"/>
        </w:rPr>
      </w:pPr>
    </w:p>
    <w:tbl>
      <w:tblPr>
        <w:tblStyle w:val="51"/>
        <w:tblW w:w="95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0"/>
      </w:tblGrid>
      <w:tr w14:paraId="5186E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9540" w:type="dxa"/>
            <w:tcBorders>
              <w:top w:val="single" w:color="auto" w:sz="4" w:space="0"/>
              <w:left w:val="single" w:color="auto" w:sz="4" w:space="0"/>
              <w:bottom w:val="single" w:color="auto" w:sz="4" w:space="0"/>
              <w:right w:val="single" w:color="auto" w:sz="4" w:space="0"/>
            </w:tcBorders>
          </w:tcPr>
          <w:p w14:paraId="7F36BA5E">
            <w:pPr>
              <w:spacing w:before="120" w:line="360" w:lineRule="auto"/>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注释：</w:t>
            </w:r>
          </w:p>
          <w:p w14:paraId="4ECD71D0">
            <w:pPr>
              <w:spacing w:before="120" w:line="360" w:lineRule="auto"/>
              <w:ind w:firstLine="480" w:firstLineChars="200"/>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《投标文件格式》是投标人的部分投标文件格式和签订合同时所需文件的格式。投标人应参照这些格式文件制作投标文件，未提供格式的，投标人可自拟。</w:t>
            </w:r>
          </w:p>
        </w:tc>
      </w:tr>
    </w:tbl>
    <w:p w14:paraId="3327D20A">
      <w:pPr>
        <w:keepLines/>
        <w:pageBreakBefore/>
        <w:jc w:val="center"/>
        <w:rPr>
          <w:rFonts w:asciiTheme="majorEastAsia" w:hAnsiTheme="majorEastAsia" w:eastAsiaTheme="majorEastAsia"/>
          <w:b/>
          <w:color w:val="auto"/>
          <w:sz w:val="72"/>
          <w:highlight w:val="none"/>
        </w:rPr>
      </w:pPr>
      <w:r>
        <w:rPr>
          <w:rFonts w:hint="eastAsia" w:asciiTheme="majorEastAsia" w:hAnsiTheme="majorEastAsia" w:eastAsiaTheme="majorEastAsia"/>
          <w:b/>
          <w:color w:val="auto"/>
          <w:sz w:val="72"/>
          <w:highlight w:val="none"/>
        </w:rPr>
        <w:t>招 标 项 目</w:t>
      </w:r>
    </w:p>
    <w:p w14:paraId="3E456607">
      <w:pPr>
        <w:jc w:val="center"/>
        <w:rPr>
          <w:rFonts w:asciiTheme="majorEastAsia" w:hAnsiTheme="majorEastAsia" w:eastAsiaTheme="majorEastAsia"/>
          <w:b/>
          <w:color w:val="auto"/>
          <w:sz w:val="72"/>
          <w:highlight w:val="none"/>
        </w:rPr>
      </w:pPr>
    </w:p>
    <w:p w14:paraId="7BCF6CF4">
      <w:pPr>
        <w:jc w:val="center"/>
        <w:rPr>
          <w:rFonts w:asciiTheme="majorEastAsia" w:hAnsiTheme="majorEastAsia" w:eastAsiaTheme="majorEastAsia"/>
          <w:b/>
          <w:color w:val="auto"/>
          <w:sz w:val="72"/>
          <w:highlight w:val="none"/>
        </w:rPr>
      </w:pPr>
      <w:r>
        <w:rPr>
          <w:rFonts w:hint="eastAsia" w:asciiTheme="majorEastAsia" w:hAnsiTheme="majorEastAsia" w:eastAsiaTheme="majorEastAsia"/>
          <w:b/>
          <w:color w:val="auto"/>
          <w:sz w:val="72"/>
          <w:highlight w:val="none"/>
        </w:rPr>
        <w:t>投 标 文 件</w:t>
      </w:r>
    </w:p>
    <w:p w14:paraId="6BFAB9D3">
      <w:pPr>
        <w:rPr>
          <w:rFonts w:asciiTheme="majorEastAsia" w:hAnsiTheme="majorEastAsia" w:eastAsiaTheme="majorEastAsia"/>
          <w:b/>
          <w:color w:val="auto"/>
          <w:sz w:val="72"/>
          <w:highlight w:val="none"/>
        </w:rPr>
      </w:pPr>
    </w:p>
    <w:p w14:paraId="1478515C">
      <w:pPr>
        <w:rPr>
          <w:rFonts w:asciiTheme="majorEastAsia" w:hAnsiTheme="majorEastAsia" w:eastAsiaTheme="majorEastAsia"/>
          <w:b/>
          <w:color w:val="auto"/>
          <w:sz w:val="72"/>
          <w:highlight w:val="none"/>
        </w:rPr>
      </w:pPr>
    </w:p>
    <w:p w14:paraId="1CC8D654">
      <w:pPr>
        <w:rPr>
          <w:rFonts w:asciiTheme="majorEastAsia" w:hAnsiTheme="majorEastAsia" w:eastAsiaTheme="majorEastAsia"/>
          <w:b/>
          <w:color w:val="auto"/>
          <w:sz w:val="36"/>
          <w:highlight w:val="none"/>
        </w:rPr>
      </w:pPr>
    </w:p>
    <w:p w14:paraId="50F4E427">
      <w:pPr>
        <w:rPr>
          <w:rFonts w:asciiTheme="majorEastAsia" w:hAnsiTheme="majorEastAsia" w:eastAsiaTheme="majorEastAsia"/>
          <w:b/>
          <w:color w:val="auto"/>
          <w:sz w:val="36"/>
          <w:highlight w:val="none"/>
        </w:rPr>
      </w:pPr>
    </w:p>
    <w:p w14:paraId="281DD70F">
      <w:pPr>
        <w:rPr>
          <w:rFonts w:asciiTheme="majorEastAsia" w:hAnsiTheme="majorEastAsia" w:eastAsiaTheme="majorEastAsia"/>
          <w:b/>
          <w:color w:val="auto"/>
          <w:sz w:val="36"/>
          <w:highlight w:val="none"/>
        </w:rPr>
      </w:pPr>
    </w:p>
    <w:p w14:paraId="71073CF5">
      <w:pPr>
        <w:ind w:firstLine="1988" w:firstLineChars="550"/>
        <w:rPr>
          <w:rFonts w:asciiTheme="majorEastAsia" w:hAnsiTheme="majorEastAsia" w:eastAsiaTheme="majorEastAsia"/>
          <w:b/>
          <w:color w:val="auto"/>
          <w:sz w:val="36"/>
          <w:highlight w:val="none"/>
          <w:u w:val="single"/>
        </w:rPr>
      </w:pPr>
      <w:r>
        <w:rPr>
          <w:rFonts w:hint="eastAsia" w:asciiTheme="majorEastAsia" w:hAnsiTheme="majorEastAsia" w:eastAsiaTheme="majorEastAsia"/>
          <w:b/>
          <w:color w:val="auto"/>
          <w:sz w:val="36"/>
          <w:highlight w:val="none"/>
        </w:rPr>
        <w:t>项目名称：</w:t>
      </w:r>
      <w:r>
        <w:rPr>
          <w:rFonts w:hint="eastAsia" w:asciiTheme="majorEastAsia" w:hAnsiTheme="majorEastAsia" w:eastAsiaTheme="majorEastAsia"/>
          <w:color w:val="auto"/>
          <w:sz w:val="24"/>
          <w:highlight w:val="none"/>
          <w:u w:val="single"/>
        </w:rPr>
        <w:t xml:space="preserve">                          </w:t>
      </w:r>
    </w:p>
    <w:p w14:paraId="187BC586">
      <w:pPr>
        <w:ind w:firstLine="1988" w:firstLineChars="550"/>
        <w:rPr>
          <w:rFonts w:asciiTheme="majorEastAsia" w:hAnsiTheme="majorEastAsia" w:eastAsiaTheme="majorEastAsia"/>
          <w:b/>
          <w:color w:val="auto"/>
          <w:sz w:val="36"/>
          <w:highlight w:val="none"/>
          <w:u w:val="single"/>
        </w:rPr>
      </w:pPr>
      <w:r>
        <w:rPr>
          <w:rFonts w:hint="eastAsia" w:asciiTheme="majorEastAsia" w:hAnsiTheme="majorEastAsia" w:eastAsiaTheme="majorEastAsia"/>
          <w:b/>
          <w:color w:val="auto"/>
          <w:sz w:val="36"/>
          <w:highlight w:val="none"/>
        </w:rPr>
        <w:t>项目编号：</w:t>
      </w:r>
      <w:r>
        <w:rPr>
          <w:rFonts w:hint="eastAsia" w:asciiTheme="majorEastAsia" w:hAnsiTheme="majorEastAsia" w:eastAsiaTheme="majorEastAsia"/>
          <w:color w:val="auto"/>
          <w:sz w:val="24"/>
          <w:highlight w:val="none"/>
          <w:u w:val="single"/>
        </w:rPr>
        <w:t xml:space="preserve">                          </w:t>
      </w:r>
    </w:p>
    <w:p w14:paraId="1E6FB002">
      <w:pPr>
        <w:rPr>
          <w:rFonts w:asciiTheme="majorEastAsia" w:hAnsiTheme="majorEastAsia" w:eastAsiaTheme="majorEastAsia"/>
          <w:b/>
          <w:color w:val="auto"/>
          <w:sz w:val="36"/>
          <w:highlight w:val="none"/>
        </w:rPr>
      </w:pPr>
    </w:p>
    <w:p w14:paraId="7AB8AC7F">
      <w:pPr>
        <w:rPr>
          <w:rFonts w:asciiTheme="majorEastAsia" w:hAnsiTheme="majorEastAsia" w:eastAsiaTheme="majorEastAsia"/>
          <w:b/>
          <w:color w:val="auto"/>
          <w:sz w:val="36"/>
          <w:highlight w:val="none"/>
        </w:rPr>
      </w:pPr>
    </w:p>
    <w:p w14:paraId="21E73928">
      <w:pPr>
        <w:rPr>
          <w:rFonts w:asciiTheme="majorEastAsia" w:hAnsiTheme="majorEastAsia" w:eastAsiaTheme="majorEastAsia"/>
          <w:b/>
          <w:color w:val="auto"/>
          <w:sz w:val="36"/>
          <w:highlight w:val="none"/>
        </w:rPr>
      </w:pPr>
    </w:p>
    <w:p w14:paraId="3B219CA6">
      <w:pPr>
        <w:rPr>
          <w:rFonts w:asciiTheme="majorEastAsia" w:hAnsiTheme="majorEastAsia" w:eastAsiaTheme="majorEastAsia"/>
          <w:b/>
          <w:color w:val="auto"/>
          <w:sz w:val="36"/>
          <w:highlight w:val="none"/>
        </w:rPr>
      </w:pPr>
    </w:p>
    <w:p w14:paraId="55A2AD97">
      <w:pPr>
        <w:rPr>
          <w:rFonts w:asciiTheme="majorEastAsia" w:hAnsiTheme="majorEastAsia" w:eastAsiaTheme="majorEastAsia"/>
          <w:b/>
          <w:color w:val="auto"/>
          <w:sz w:val="36"/>
          <w:highlight w:val="none"/>
        </w:rPr>
      </w:pPr>
    </w:p>
    <w:p w14:paraId="18C2EBD2">
      <w:pPr>
        <w:rPr>
          <w:rFonts w:asciiTheme="majorEastAsia" w:hAnsiTheme="majorEastAsia" w:eastAsiaTheme="majorEastAsia"/>
          <w:b/>
          <w:color w:val="auto"/>
          <w:sz w:val="36"/>
          <w:highlight w:val="none"/>
        </w:rPr>
      </w:pPr>
    </w:p>
    <w:p w14:paraId="3BDB97C9">
      <w:pPr>
        <w:rPr>
          <w:rFonts w:asciiTheme="majorEastAsia" w:hAnsiTheme="majorEastAsia" w:eastAsiaTheme="majorEastAsia"/>
          <w:b/>
          <w:color w:val="auto"/>
          <w:sz w:val="36"/>
          <w:highlight w:val="none"/>
        </w:rPr>
      </w:pPr>
    </w:p>
    <w:p w14:paraId="4919F442">
      <w:pPr>
        <w:rPr>
          <w:rFonts w:asciiTheme="majorEastAsia" w:hAnsiTheme="majorEastAsia" w:eastAsiaTheme="majorEastAsia"/>
          <w:b/>
          <w:color w:val="auto"/>
          <w:sz w:val="36"/>
          <w:highlight w:val="none"/>
        </w:rPr>
      </w:pPr>
    </w:p>
    <w:p w14:paraId="2A323E90">
      <w:pPr>
        <w:ind w:firstLine="1608" w:firstLineChars="445"/>
        <w:rPr>
          <w:rFonts w:asciiTheme="majorEastAsia" w:hAnsiTheme="majorEastAsia" w:eastAsiaTheme="majorEastAsia"/>
          <w:b/>
          <w:color w:val="auto"/>
          <w:sz w:val="36"/>
          <w:highlight w:val="none"/>
          <w:u w:val="single"/>
        </w:rPr>
      </w:pPr>
      <w:r>
        <w:rPr>
          <w:rFonts w:hint="eastAsia" w:asciiTheme="majorEastAsia" w:hAnsiTheme="majorEastAsia" w:eastAsiaTheme="majorEastAsia"/>
          <w:b/>
          <w:color w:val="auto"/>
          <w:sz w:val="36"/>
          <w:highlight w:val="none"/>
        </w:rPr>
        <w:t>投标人名称：</w:t>
      </w:r>
      <w:r>
        <w:rPr>
          <w:rFonts w:hint="eastAsia" w:asciiTheme="majorEastAsia" w:hAnsiTheme="majorEastAsia" w:eastAsiaTheme="majorEastAsia"/>
          <w:color w:val="auto"/>
          <w:sz w:val="24"/>
          <w:highlight w:val="none"/>
          <w:u w:val="single"/>
        </w:rPr>
        <w:t xml:space="preserve">                          </w:t>
      </w:r>
    </w:p>
    <w:p w14:paraId="39AA84B2">
      <w:pPr>
        <w:ind w:firstLine="1608" w:firstLineChars="445"/>
        <w:rPr>
          <w:rFonts w:asciiTheme="majorEastAsia" w:hAnsiTheme="majorEastAsia" w:eastAsiaTheme="majorEastAsia"/>
          <w:b/>
          <w:color w:val="auto"/>
          <w:sz w:val="36"/>
          <w:highlight w:val="none"/>
          <w:u w:val="single"/>
        </w:rPr>
      </w:pPr>
      <w:r>
        <w:rPr>
          <w:rFonts w:hint="eastAsia" w:asciiTheme="majorEastAsia" w:hAnsiTheme="majorEastAsia" w:eastAsiaTheme="majorEastAsia"/>
          <w:b/>
          <w:color w:val="auto"/>
          <w:sz w:val="36"/>
          <w:highlight w:val="none"/>
        </w:rPr>
        <w:t>日期：</w:t>
      </w:r>
      <w:r>
        <w:rPr>
          <w:rFonts w:hint="eastAsia" w:asciiTheme="majorEastAsia" w:hAnsiTheme="majorEastAsia" w:eastAsiaTheme="majorEastAsia"/>
          <w:color w:val="auto"/>
          <w:sz w:val="24"/>
          <w:highlight w:val="none"/>
          <w:u w:val="single"/>
        </w:rPr>
        <w:t xml:space="preserve">                          </w:t>
      </w:r>
    </w:p>
    <w:bookmarkEnd w:id="126"/>
    <w:bookmarkEnd w:id="127"/>
    <w:p w14:paraId="7762AC5F">
      <w:pPr>
        <w:rPr>
          <w:rFonts w:hint="eastAsia" w:hAnsi="宋体" w:cs="宋体"/>
          <w:b/>
          <w:bCs/>
          <w:color w:val="auto"/>
          <w:sz w:val="32"/>
          <w:szCs w:val="32"/>
          <w:highlight w:val="none"/>
        </w:rPr>
      </w:pPr>
      <w:r>
        <w:rPr>
          <w:rFonts w:hint="eastAsia" w:hAnsi="宋体" w:cs="宋体"/>
          <w:b/>
          <w:bCs/>
          <w:color w:val="auto"/>
          <w:sz w:val="32"/>
          <w:szCs w:val="32"/>
          <w:highlight w:val="none"/>
        </w:rPr>
        <w:br w:type="page"/>
      </w:r>
    </w:p>
    <w:p w14:paraId="3D0E1B03">
      <w:pPr>
        <w:pStyle w:val="6"/>
        <w:snapToGrid w:val="0"/>
        <w:ind w:firstLine="3929" w:firstLineChars="1223"/>
        <w:rPr>
          <w:rFonts w:hint="eastAsia" w:hAnsi="宋体" w:cs="宋体"/>
          <w:b/>
          <w:bCs/>
          <w:color w:val="auto"/>
          <w:sz w:val="32"/>
          <w:szCs w:val="32"/>
          <w:highlight w:val="none"/>
        </w:rPr>
      </w:pPr>
      <w:r>
        <w:rPr>
          <w:rFonts w:hint="eastAsia" w:hAnsi="宋体" w:cs="宋体"/>
          <w:b/>
          <w:bCs/>
          <w:color w:val="auto"/>
          <w:sz w:val="32"/>
          <w:szCs w:val="32"/>
          <w:highlight w:val="none"/>
        </w:rPr>
        <w:t>目    录</w:t>
      </w:r>
    </w:p>
    <w:p w14:paraId="55E96793">
      <w:pPr>
        <w:spacing w:line="360" w:lineRule="auto"/>
        <w:rPr>
          <w:rFonts w:hint="eastAsia" w:hAnsi="宋体" w:cs="宋体"/>
          <w:color w:val="auto"/>
          <w:highlight w:val="none"/>
        </w:rPr>
      </w:pPr>
    </w:p>
    <w:p w14:paraId="2F2E72E1">
      <w:pPr>
        <w:spacing w:line="360" w:lineRule="auto"/>
        <w:ind w:firstLine="480" w:firstLineChars="200"/>
        <w:rPr>
          <w:rFonts w:hint="eastAsia" w:ascii="宋体" w:hAnsi="宋体" w:cs="宋体"/>
          <w:color w:val="auto"/>
          <w:sz w:val="24"/>
          <w:highlight w:val="none"/>
        </w:rPr>
      </w:pPr>
      <w:bookmarkStart w:id="210" w:name="_Toc338926827"/>
      <w:bookmarkStart w:id="211" w:name="_Toc331778558"/>
      <w:bookmarkStart w:id="212" w:name="_Toc314838398"/>
      <w:bookmarkStart w:id="213" w:name="_Toc185762839"/>
      <w:bookmarkStart w:id="214" w:name="_Toc189832483"/>
      <w:bookmarkStart w:id="215" w:name="_Toc332809177"/>
      <w:bookmarkStart w:id="216" w:name="_Toc189829966"/>
      <w:r>
        <w:rPr>
          <w:rFonts w:hint="eastAsia" w:ascii="宋体" w:hAnsi="宋体" w:cs="宋体"/>
          <w:color w:val="auto"/>
          <w:sz w:val="24"/>
          <w:highlight w:val="none"/>
        </w:rPr>
        <w:t>(1) 投标书</w:t>
      </w:r>
    </w:p>
    <w:p w14:paraId="13CAE90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开标一览表</w:t>
      </w:r>
    </w:p>
    <w:p w14:paraId="04B5AAC3">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（3）费用明细表</w:t>
      </w:r>
    </w:p>
    <w:p w14:paraId="17D0C4B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 服务方案</w:t>
      </w:r>
    </w:p>
    <w:p w14:paraId="5DA6D10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 技术服务及商务偏离表</w:t>
      </w:r>
    </w:p>
    <w:p w14:paraId="2F1E7E0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拟投入本项目的人员配备一览表</w:t>
      </w:r>
    </w:p>
    <w:p w14:paraId="7EFE01D5">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拟投入本项目的设备情况表</w:t>
      </w:r>
    </w:p>
    <w:p w14:paraId="4A1B193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 拟投入本项目的易损件或备品备件清单表</w:t>
      </w:r>
    </w:p>
    <w:p w14:paraId="49912F5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 项目服务经验一览表</w:t>
      </w:r>
    </w:p>
    <w:p w14:paraId="1B66A21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 投标人资格证明文件</w:t>
      </w:r>
    </w:p>
    <w:p w14:paraId="3C3605A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 投标人的资格声明</w:t>
      </w:r>
    </w:p>
    <w:p w14:paraId="41B06DC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 法定代表人（或单位负责人）授权书</w:t>
      </w:r>
    </w:p>
    <w:p w14:paraId="0D08D4F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服务承诺书</w:t>
      </w:r>
    </w:p>
    <w:p w14:paraId="17CB496C">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 xml:space="preserve"> (1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 投标人提交的其他资料</w:t>
      </w:r>
    </w:p>
    <w:p w14:paraId="049CEA3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15</w:t>
      </w:r>
      <w:r>
        <w:rPr>
          <w:rFonts w:hint="eastAsia" w:ascii="宋体" w:hAnsi="宋体" w:cs="宋体"/>
          <w:color w:val="auto"/>
          <w:sz w:val="24"/>
          <w:highlight w:val="none"/>
        </w:rPr>
        <w:t>) 招标代理服务费承诺书</w:t>
      </w:r>
    </w:p>
    <w:p w14:paraId="47662C5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投标保证金缴交凭证</w:t>
      </w:r>
    </w:p>
    <w:p w14:paraId="195355F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 采购保证金退还申请书</w:t>
      </w:r>
    </w:p>
    <w:p w14:paraId="1DEBD5F3">
      <w:pPr>
        <w:pStyle w:val="46"/>
        <w:widowControl w:val="0"/>
        <w:spacing w:before="0" w:beforeAutospacing="0" w:after="0" w:afterAutospacing="0" w:line="0" w:lineRule="atLeast"/>
        <w:jc w:val="both"/>
        <w:rPr>
          <w:rFonts w:hint="eastAsia"/>
          <w:color w:val="auto"/>
          <w:sz w:val="24"/>
          <w:szCs w:val="24"/>
          <w:highlight w:val="none"/>
        </w:rPr>
        <w:sectPr>
          <w:headerReference r:id="rId7" w:type="first"/>
          <w:headerReference r:id="rId6" w:type="default"/>
          <w:footerReference r:id="rId8" w:type="default"/>
          <w:pgSz w:w="11915" w:h="16840"/>
          <w:pgMar w:top="1418" w:right="1135" w:bottom="1418" w:left="1400" w:header="680" w:footer="1134" w:gutter="0"/>
          <w:pgBorders>
            <w:top w:val="none" w:sz="0" w:space="0"/>
            <w:left w:val="none" w:sz="0" w:space="0"/>
            <w:bottom w:val="none" w:sz="0" w:space="0"/>
            <w:right w:val="none" w:sz="0" w:space="0"/>
          </w:pgBorders>
          <w:cols w:space="720" w:num="1"/>
          <w:docGrid w:linePitch="381" w:charSpace="0"/>
        </w:sectPr>
      </w:pPr>
    </w:p>
    <w:p w14:paraId="3ADBBA8F">
      <w:pPr>
        <w:pStyle w:val="3"/>
        <w:pageBreakBefore/>
        <w:spacing w:before="0" w:after="0" w:line="440" w:lineRule="exact"/>
        <w:jc w:val="both"/>
        <w:rPr>
          <w:rFonts w:hint="eastAsia" w:ascii="宋体" w:hAnsi="宋体" w:eastAsia="宋体" w:cs="宋体"/>
          <w:color w:val="auto"/>
          <w:sz w:val="28"/>
          <w:szCs w:val="28"/>
          <w:highlight w:val="none"/>
        </w:rPr>
      </w:pPr>
      <w:bookmarkStart w:id="217" w:name="_Toc20372"/>
      <w:bookmarkStart w:id="218" w:name="_Toc28827"/>
      <w:bookmarkStart w:id="219" w:name="_Toc25077278"/>
      <w:bookmarkStart w:id="220" w:name="_Toc28305"/>
      <w:bookmarkStart w:id="221" w:name="_Toc42854056"/>
      <w:bookmarkStart w:id="222" w:name="_Toc17740"/>
      <w:r>
        <w:rPr>
          <w:rFonts w:hint="eastAsia" w:ascii="宋体" w:hAnsi="宋体" w:eastAsia="宋体" w:cs="宋体"/>
          <w:color w:val="auto"/>
          <w:sz w:val="28"/>
          <w:szCs w:val="28"/>
          <w:highlight w:val="none"/>
        </w:rPr>
        <w:t>资格性及符合性审查表</w:t>
      </w:r>
      <w:bookmarkEnd w:id="217"/>
      <w:bookmarkEnd w:id="218"/>
      <w:bookmarkEnd w:id="219"/>
      <w:bookmarkEnd w:id="220"/>
      <w:bookmarkEnd w:id="221"/>
      <w:bookmarkEnd w:id="222"/>
    </w:p>
    <w:tbl>
      <w:tblPr>
        <w:tblStyle w:val="51"/>
        <w:tblW w:w="0" w:type="auto"/>
        <w:jc w:val="center"/>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04"/>
        <w:gridCol w:w="5937"/>
        <w:gridCol w:w="1701"/>
        <w:gridCol w:w="844"/>
      </w:tblGrid>
      <w:tr w14:paraId="03AAA983">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1B5600D1">
            <w:pPr>
              <w:spacing w:line="380" w:lineRule="atLeast"/>
              <w:jc w:val="center"/>
              <w:rPr>
                <w:rFonts w:hint="eastAsia" w:hAnsi="宋体" w:cs="宋体"/>
                <w:b/>
                <w:bCs/>
                <w:color w:val="auto"/>
                <w:sz w:val="24"/>
                <w:szCs w:val="24"/>
                <w:highlight w:val="none"/>
              </w:rPr>
            </w:pPr>
            <w:r>
              <w:rPr>
                <w:rFonts w:hint="eastAsia" w:hAnsi="宋体" w:cs="宋体"/>
                <w:b/>
                <w:bCs/>
                <w:color w:val="auto"/>
                <w:sz w:val="24"/>
                <w:szCs w:val="24"/>
                <w:highlight w:val="none"/>
              </w:rPr>
              <w:t>序号</w:t>
            </w:r>
          </w:p>
        </w:tc>
        <w:tc>
          <w:tcPr>
            <w:tcW w:w="5937" w:type="dxa"/>
            <w:noWrap w:val="0"/>
            <w:vAlign w:val="center"/>
          </w:tcPr>
          <w:p w14:paraId="1281CDF3">
            <w:pPr>
              <w:spacing w:line="380" w:lineRule="atLeast"/>
              <w:jc w:val="center"/>
              <w:rPr>
                <w:rFonts w:hint="eastAsia" w:hAnsi="宋体" w:cs="宋体"/>
                <w:b/>
                <w:bCs/>
                <w:color w:val="auto"/>
                <w:sz w:val="24"/>
                <w:szCs w:val="24"/>
                <w:highlight w:val="none"/>
              </w:rPr>
            </w:pPr>
            <w:r>
              <w:rPr>
                <w:rFonts w:hint="eastAsia" w:hAnsi="宋体" w:cs="宋体"/>
                <w:b/>
                <w:bCs/>
                <w:color w:val="auto"/>
                <w:sz w:val="24"/>
                <w:szCs w:val="24"/>
                <w:highlight w:val="none"/>
              </w:rPr>
              <w:t>资格证明文件</w:t>
            </w:r>
          </w:p>
        </w:tc>
        <w:tc>
          <w:tcPr>
            <w:tcW w:w="1701" w:type="dxa"/>
            <w:noWrap w:val="0"/>
            <w:vAlign w:val="center"/>
          </w:tcPr>
          <w:p w14:paraId="3D194CF1">
            <w:pPr>
              <w:spacing w:line="380" w:lineRule="atLeast"/>
              <w:jc w:val="center"/>
              <w:rPr>
                <w:rFonts w:hint="eastAsia" w:hAnsi="宋体" w:cs="宋体"/>
                <w:b/>
                <w:bCs/>
                <w:color w:val="auto"/>
                <w:sz w:val="24"/>
                <w:szCs w:val="24"/>
                <w:highlight w:val="none"/>
              </w:rPr>
            </w:pPr>
            <w:r>
              <w:rPr>
                <w:rFonts w:hint="eastAsia" w:hAnsi="宋体" w:cs="宋体"/>
                <w:b/>
                <w:bCs/>
                <w:color w:val="auto"/>
                <w:sz w:val="24"/>
                <w:szCs w:val="24"/>
                <w:highlight w:val="none"/>
              </w:rPr>
              <w:t>对应</w:t>
            </w:r>
            <w:r>
              <w:rPr>
                <w:rFonts w:hint="eastAsia" w:hAnsi="宋体" w:cs="宋体"/>
                <w:b/>
                <w:bCs/>
                <w:color w:val="auto"/>
                <w:sz w:val="24"/>
                <w:szCs w:val="24"/>
                <w:highlight w:val="none"/>
                <w:lang w:eastAsia="zh-CN"/>
              </w:rPr>
              <w:t>投标文件</w:t>
            </w:r>
            <w:r>
              <w:rPr>
                <w:rFonts w:hint="eastAsia" w:hAnsi="宋体" w:cs="宋体"/>
                <w:b/>
                <w:bCs/>
                <w:color w:val="auto"/>
                <w:sz w:val="24"/>
                <w:szCs w:val="24"/>
                <w:highlight w:val="none"/>
              </w:rPr>
              <w:t>页码</w:t>
            </w:r>
          </w:p>
        </w:tc>
        <w:tc>
          <w:tcPr>
            <w:tcW w:w="844" w:type="dxa"/>
            <w:noWrap w:val="0"/>
            <w:vAlign w:val="center"/>
          </w:tcPr>
          <w:p w14:paraId="0A17B95F">
            <w:pPr>
              <w:spacing w:line="380" w:lineRule="atLeast"/>
              <w:jc w:val="center"/>
              <w:rPr>
                <w:rFonts w:hint="eastAsia" w:hAnsi="宋体" w:cs="宋体"/>
                <w:b/>
                <w:bCs/>
                <w:color w:val="auto"/>
                <w:sz w:val="24"/>
                <w:szCs w:val="24"/>
                <w:highlight w:val="none"/>
              </w:rPr>
            </w:pPr>
            <w:r>
              <w:rPr>
                <w:rFonts w:hint="eastAsia" w:hAnsi="宋体" w:cs="宋体"/>
                <w:b/>
                <w:bCs/>
                <w:color w:val="auto"/>
                <w:sz w:val="24"/>
                <w:szCs w:val="24"/>
                <w:highlight w:val="none"/>
              </w:rPr>
              <w:t>说明</w:t>
            </w:r>
          </w:p>
        </w:tc>
      </w:tr>
      <w:tr w14:paraId="70CF606D">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563E951C">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1</w:t>
            </w:r>
          </w:p>
        </w:tc>
        <w:tc>
          <w:tcPr>
            <w:tcW w:w="5937" w:type="dxa"/>
            <w:noWrap w:val="0"/>
            <w:vAlign w:val="center"/>
          </w:tcPr>
          <w:p w14:paraId="33455E0C">
            <w:pPr>
              <w:spacing w:line="360" w:lineRule="auto"/>
              <w:rPr>
                <w:rFonts w:hint="eastAsia" w:hAnsi="宋体" w:cs="宋体"/>
                <w:bCs/>
                <w:color w:val="auto"/>
                <w:sz w:val="24"/>
                <w:szCs w:val="24"/>
                <w:highlight w:val="none"/>
              </w:rPr>
            </w:pPr>
          </w:p>
        </w:tc>
        <w:tc>
          <w:tcPr>
            <w:tcW w:w="1701" w:type="dxa"/>
            <w:noWrap w:val="0"/>
            <w:vAlign w:val="center"/>
          </w:tcPr>
          <w:p w14:paraId="0D70A71D">
            <w:pPr>
              <w:spacing w:line="380" w:lineRule="atLeast"/>
              <w:jc w:val="center"/>
              <w:rPr>
                <w:rFonts w:hint="eastAsia" w:hAnsi="宋体" w:cs="宋体"/>
                <w:b/>
                <w:bCs/>
                <w:color w:val="auto"/>
                <w:sz w:val="24"/>
                <w:szCs w:val="24"/>
                <w:highlight w:val="none"/>
              </w:rPr>
            </w:pPr>
          </w:p>
        </w:tc>
        <w:tc>
          <w:tcPr>
            <w:tcW w:w="844" w:type="dxa"/>
            <w:noWrap w:val="0"/>
            <w:vAlign w:val="center"/>
          </w:tcPr>
          <w:p w14:paraId="3E7DCC8C">
            <w:pPr>
              <w:spacing w:line="380" w:lineRule="atLeast"/>
              <w:jc w:val="center"/>
              <w:rPr>
                <w:rFonts w:hint="eastAsia" w:hAnsi="宋体" w:cs="宋体"/>
                <w:b/>
                <w:bCs/>
                <w:color w:val="auto"/>
                <w:sz w:val="24"/>
                <w:szCs w:val="24"/>
                <w:highlight w:val="none"/>
              </w:rPr>
            </w:pPr>
          </w:p>
        </w:tc>
      </w:tr>
      <w:tr w14:paraId="53D676F1">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28635736">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2</w:t>
            </w:r>
          </w:p>
        </w:tc>
        <w:tc>
          <w:tcPr>
            <w:tcW w:w="5937" w:type="dxa"/>
            <w:noWrap w:val="0"/>
            <w:vAlign w:val="center"/>
          </w:tcPr>
          <w:p w14:paraId="7DDC5796">
            <w:pPr>
              <w:spacing w:line="360" w:lineRule="auto"/>
              <w:rPr>
                <w:rFonts w:hint="eastAsia" w:hAnsi="宋体" w:cs="宋体"/>
                <w:bCs/>
                <w:color w:val="auto"/>
                <w:sz w:val="24"/>
                <w:szCs w:val="24"/>
                <w:highlight w:val="none"/>
              </w:rPr>
            </w:pPr>
          </w:p>
        </w:tc>
        <w:tc>
          <w:tcPr>
            <w:tcW w:w="1701" w:type="dxa"/>
            <w:noWrap w:val="0"/>
            <w:vAlign w:val="center"/>
          </w:tcPr>
          <w:p w14:paraId="367FC131">
            <w:pPr>
              <w:spacing w:line="380" w:lineRule="atLeast"/>
              <w:jc w:val="center"/>
              <w:rPr>
                <w:rFonts w:hint="eastAsia" w:hAnsi="宋体" w:cs="宋体"/>
                <w:b/>
                <w:bCs/>
                <w:color w:val="auto"/>
                <w:sz w:val="24"/>
                <w:szCs w:val="24"/>
                <w:highlight w:val="none"/>
              </w:rPr>
            </w:pPr>
          </w:p>
        </w:tc>
        <w:tc>
          <w:tcPr>
            <w:tcW w:w="844" w:type="dxa"/>
            <w:noWrap w:val="0"/>
            <w:vAlign w:val="center"/>
          </w:tcPr>
          <w:p w14:paraId="4B681406">
            <w:pPr>
              <w:spacing w:line="380" w:lineRule="atLeast"/>
              <w:jc w:val="center"/>
              <w:rPr>
                <w:rFonts w:hint="eastAsia" w:hAnsi="宋体" w:cs="宋体"/>
                <w:b/>
                <w:bCs/>
                <w:color w:val="auto"/>
                <w:sz w:val="24"/>
                <w:szCs w:val="24"/>
                <w:highlight w:val="none"/>
              </w:rPr>
            </w:pPr>
          </w:p>
        </w:tc>
      </w:tr>
      <w:tr w14:paraId="5AC2448B">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trHeight w:val="413" w:hRule="atLeast"/>
          <w:jc w:val="center"/>
        </w:trPr>
        <w:tc>
          <w:tcPr>
            <w:tcW w:w="804" w:type="dxa"/>
            <w:noWrap w:val="0"/>
            <w:vAlign w:val="center"/>
          </w:tcPr>
          <w:p w14:paraId="3DB447E4">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3</w:t>
            </w:r>
          </w:p>
        </w:tc>
        <w:tc>
          <w:tcPr>
            <w:tcW w:w="5937" w:type="dxa"/>
            <w:noWrap w:val="0"/>
            <w:vAlign w:val="center"/>
          </w:tcPr>
          <w:p w14:paraId="5253DB4C">
            <w:pPr>
              <w:spacing w:line="360" w:lineRule="auto"/>
              <w:rPr>
                <w:rFonts w:hint="eastAsia" w:hAnsi="宋体" w:cs="宋体"/>
                <w:bCs/>
                <w:color w:val="auto"/>
                <w:sz w:val="24"/>
                <w:szCs w:val="24"/>
                <w:highlight w:val="none"/>
              </w:rPr>
            </w:pPr>
          </w:p>
        </w:tc>
        <w:tc>
          <w:tcPr>
            <w:tcW w:w="1701" w:type="dxa"/>
            <w:noWrap w:val="0"/>
            <w:vAlign w:val="center"/>
          </w:tcPr>
          <w:p w14:paraId="02C5CC63">
            <w:pPr>
              <w:spacing w:line="380" w:lineRule="atLeast"/>
              <w:jc w:val="center"/>
              <w:rPr>
                <w:rFonts w:hint="eastAsia" w:hAnsi="宋体" w:cs="宋体"/>
                <w:b/>
                <w:bCs/>
                <w:color w:val="auto"/>
                <w:sz w:val="24"/>
                <w:szCs w:val="24"/>
                <w:highlight w:val="none"/>
              </w:rPr>
            </w:pPr>
          </w:p>
        </w:tc>
        <w:tc>
          <w:tcPr>
            <w:tcW w:w="844" w:type="dxa"/>
            <w:noWrap w:val="0"/>
            <w:vAlign w:val="center"/>
          </w:tcPr>
          <w:p w14:paraId="66AE5FE2">
            <w:pPr>
              <w:spacing w:line="380" w:lineRule="atLeast"/>
              <w:jc w:val="center"/>
              <w:rPr>
                <w:rFonts w:hint="eastAsia" w:hAnsi="宋体" w:cs="宋体"/>
                <w:b/>
                <w:bCs/>
                <w:color w:val="auto"/>
                <w:sz w:val="24"/>
                <w:szCs w:val="24"/>
                <w:highlight w:val="none"/>
              </w:rPr>
            </w:pPr>
          </w:p>
        </w:tc>
      </w:tr>
      <w:tr w14:paraId="2615FF87">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1686F052">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4</w:t>
            </w:r>
          </w:p>
        </w:tc>
        <w:tc>
          <w:tcPr>
            <w:tcW w:w="5937" w:type="dxa"/>
            <w:noWrap w:val="0"/>
            <w:vAlign w:val="center"/>
          </w:tcPr>
          <w:p w14:paraId="2AA49B1C">
            <w:pPr>
              <w:adjustRightInd w:val="0"/>
              <w:snapToGrid w:val="0"/>
              <w:rPr>
                <w:rFonts w:hint="eastAsia" w:hAnsi="宋体" w:cs="宋体"/>
                <w:color w:val="auto"/>
                <w:sz w:val="24"/>
                <w:szCs w:val="24"/>
                <w:highlight w:val="none"/>
              </w:rPr>
            </w:pPr>
          </w:p>
        </w:tc>
        <w:tc>
          <w:tcPr>
            <w:tcW w:w="1701" w:type="dxa"/>
            <w:noWrap w:val="0"/>
            <w:vAlign w:val="center"/>
          </w:tcPr>
          <w:p w14:paraId="1055359F">
            <w:pPr>
              <w:spacing w:line="380" w:lineRule="atLeast"/>
              <w:jc w:val="center"/>
              <w:rPr>
                <w:rFonts w:hint="eastAsia" w:hAnsi="宋体" w:cs="宋体"/>
                <w:b/>
                <w:bCs/>
                <w:color w:val="auto"/>
                <w:sz w:val="24"/>
                <w:szCs w:val="24"/>
                <w:highlight w:val="none"/>
              </w:rPr>
            </w:pPr>
          </w:p>
        </w:tc>
        <w:tc>
          <w:tcPr>
            <w:tcW w:w="844" w:type="dxa"/>
            <w:noWrap w:val="0"/>
            <w:vAlign w:val="center"/>
          </w:tcPr>
          <w:p w14:paraId="7CBFFBC5">
            <w:pPr>
              <w:spacing w:line="380" w:lineRule="atLeast"/>
              <w:jc w:val="center"/>
              <w:rPr>
                <w:rFonts w:hint="eastAsia" w:hAnsi="宋体" w:cs="宋体"/>
                <w:b/>
                <w:bCs/>
                <w:color w:val="auto"/>
                <w:sz w:val="24"/>
                <w:szCs w:val="24"/>
                <w:highlight w:val="none"/>
              </w:rPr>
            </w:pPr>
          </w:p>
        </w:tc>
      </w:tr>
      <w:tr w14:paraId="5DAA3067">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42C56B8D">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5</w:t>
            </w:r>
          </w:p>
        </w:tc>
        <w:tc>
          <w:tcPr>
            <w:tcW w:w="5937" w:type="dxa"/>
            <w:noWrap w:val="0"/>
            <w:vAlign w:val="center"/>
          </w:tcPr>
          <w:p w14:paraId="6C0014DA">
            <w:pPr>
              <w:spacing w:line="360" w:lineRule="auto"/>
              <w:rPr>
                <w:rFonts w:hint="eastAsia" w:hAnsi="宋体" w:cs="宋体"/>
                <w:color w:val="auto"/>
                <w:sz w:val="24"/>
                <w:szCs w:val="24"/>
                <w:highlight w:val="none"/>
              </w:rPr>
            </w:pPr>
          </w:p>
        </w:tc>
        <w:tc>
          <w:tcPr>
            <w:tcW w:w="1701" w:type="dxa"/>
            <w:noWrap w:val="0"/>
            <w:vAlign w:val="center"/>
          </w:tcPr>
          <w:p w14:paraId="6650D2B6">
            <w:pPr>
              <w:spacing w:line="380" w:lineRule="atLeast"/>
              <w:jc w:val="center"/>
              <w:rPr>
                <w:rFonts w:hint="eastAsia" w:hAnsi="宋体" w:cs="宋体"/>
                <w:b/>
                <w:bCs/>
                <w:color w:val="auto"/>
                <w:sz w:val="24"/>
                <w:szCs w:val="24"/>
                <w:highlight w:val="none"/>
              </w:rPr>
            </w:pPr>
          </w:p>
        </w:tc>
        <w:tc>
          <w:tcPr>
            <w:tcW w:w="844" w:type="dxa"/>
            <w:noWrap w:val="0"/>
            <w:vAlign w:val="center"/>
          </w:tcPr>
          <w:p w14:paraId="2146F77D">
            <w:pPr>
              <w:spacing w:line="380" w:lineRule="atLeast"/>
              <w:jc w:val="center"/>
              <w:rPr>
                <w:rFonts w:hint="eastAsia" w:hAnsi="宋体" w:cs="宋体"/>
                <w:b/>
                <w:bCs/>
                <w:color w:val="auto"/>
                <w:sz w:val="24"/>
                <w:szCs w:val="24"/>
                <w:highlight w:val="none"/>
              </w:rPr>
            </w:pPr>
          </w:p>
        </w:tc>
      </w:tr>
      <w:tr w14:paraId="2629A536">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4616C598">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6</w:t>
            </w:r>
          </w:p>
        </w:tc>
        <w:tc>
          <w:tcPr>
            <w:tcW w:w="5937" w:type="dxa"/>
            <w:noWrap w:val="0"/>
            <w:vAlign w:val="center"/>
          </w:tcPr>
          <w:p w14:paraId="0E644AA6">
            <w:pPr>
              <w:spacing w:line="360" w:lineRule="auto"/>
              <w:jc w:val="left"/>
              <w:rPr>
                <w:rFonts w:hint="eastAsia" w:hAnsi="宋体" w:cs="宋体"/>
                <w:color w:val="auto"/>
                <w:sz w:val="24"/>
                <w:szCs w:val="24"/>
                <w:highlight w:val="none"/>
              </w:rPr>
            </w:pPr>
          </w:p>
        </w:tc>
        <w:tc>
          <w:tcPr>
            <w:tcW w:w="1701" w:type="dxa"/>
            <w:noWrap w:val="0"/>
            <w:vAlign w:val="center"/>
          </w:tcPr>
          <w:p w14:paraId="502BEDC7">
            <w:pPr>
              <w:spacing w:line="380" w:lineRule="atLeast"/>
              <w:jc w:val="center"/>
              <w:rPr>
                <w:rFonts w:hint="eastAsia" w:hAnsi="宋体" w:cs="宋体"/>
                <w:b/>
                <w:bCs/>
                <w:color w:val="auto"/>
                <w:sz w:val="24"/>
                <w:szCs w:val="24"/>
                <w:highlight w:val="none"/>
              </w:rPr>
            </w:pPr>
          </w:p>
        </w:tc>
        <w:tc>
          <w:tcPr>
            <w:tcW w:w="844" w:type="dxa"/>
            <w:noWrap w:val="0"/>
            <w:vAlign w:val="center"/>
          </w:tcPr>
          <w:p w14:paraId="2C8707E9">
            <w:pPr>
              <w:spacing w:line="380" w:lineRule="atLeast"/>
              <w:jc w:val="center"/>
              <w:rPr>
                <w:rFonts w:hint="eastAsia" w:hAnsi="宋体" w:cs="宋体"/>
                <w:b/>
                <w:bCs/>
                <w:color w:val="auto"/>
                <w:sz w:val="24"/>
                <w:szCs w:val="24"/>
                <w:highlight w:val="none"/>
              </w:rPr>
            </w:pPr>
          </w:p>
        </w:tc>
      </w:tr>
      <w:tr w14:paraId="342F0ACB">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2239A3AB">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7</w:t>
            </w:r>
          </w:p>
        </w:tc>
        <w:tc>
          <w:tcPr>
            <w:tcW w:w="5937" w:type="dxa"/>
            <w:noWrap w:val="0"/>
            <w:vAlign w:val="center"/>
          </w:tcPr>
          <w:p w14:paraId="055CF8A6">
            <w:pPr>
              <w:tabs>
                <w:tab w:val="left" w:pos="-5801"/>
              </w:tabs>
              <w:spacing w:line="360" w:lineRule="auto"/>
              <w:jc w:val="left"/>
              <w:rPr>
                <w:rFonts w:hint="eastAsia" w:hAnsi="宋体" w:cs="宋体"/>
                <w:color w:val="auto"/>
                <w:sz w:val="24"/>
                <w:szCs w:val="24"/>
                <w:highlight w:val="none"/>
              </w:rPr>
            </w:pPr>
          </w:p>
        </w:tc>
        <w:tc>
          <w:tcPr>
            <w:tcW w:w="1701" w:type="dxa"/>
            <w:noWrap w:val="0"/>
            <w:vAlign w:val="center"/>
          </w:tcPr>
          <w:p w14:paraId="295251A4">
            <w:pPr>
              <w:spacing w:line="380" w:lineRule="atLeast"/>
              <w:jc w:val="center"/>
              <w:rPr>
                <w:rFonts w:hint="eastAsia" w:hAnsi="宋体" w:cs="宋体"/>
                <w:b/>
                <w:bCs/>
                <w:color w:val="auto"/>
                <w:sz w:val="24"/>
                <w:szCs w:val="24"/>
                <w:highlight w:val="none"/>
              </w:rPr>
            </w:pPr>
          </w:p>
        </w:tc>
        <w:tc>
          <w:tcPr>
            <w:tcW w:w="844" w:type="dxa"/>
            <w:noWrap w:val="0"/>
            <w:vAlign w:val="center"/>
          </w:tcPr>
          <w:p w14:paraId="25631A8A">
            <w:pPr>
              <w:spacing w:line="380" w:lineRule="atLeast"/>
              <w:jc w:val="center"/>
              <w:rPr>
                <w:rFonts w:hint="eastAsia" w:hAnsi="宋体" w:cs="宋体"/>
                <w:b/>
                <w:bCs/>
                <w:color w:val="auto"/>
                <w:sz w:val="24"/>
                <w:szCs w:val="24"/>
                <w:highlight w:val="none"/>
              </w:rPr>
            </w:pPr>
          </w:p>
        </w:tc>
      </w:tr>
      <w:tr w14:paraId="6C46445A">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117CD67A">
            <w:pPr>
              <w:spacing w:line="380" w:lineRule="atLeast"/>
              <w:jc w:val="center"/>
              <w:rPr>
                <w:rFonts w:hint="eastAsia" w:hAnsi="宋体" w:cs="宋体"/>
                <w:color w:val="auto"/>
                <w:sz w:val="24"/>
                <w:szCs w:val="24"/>
                <w:highlight w:val="none"/>
              </w:rPr>
            </w:pPr>
            <w:r>
              <w:rPr>
                <w:rFonts w:hint="eastAsia" w:hAnsi="宋体" w:cs="宋体"/>
                <w:color w:val="auto"/>
                <w:sz w:val="24"/>
                <w:szCs w:val="24"/>
                <w:highlight w:val="none"/>
              </w:rPr>
              <w:t>8</w:t>
            </w:r>
          </w:p>
        </w:tc>
        <w:tc>
          <w:tcPr>
            <w:tcW w:w="5937" w:type="dxa"/>
            <w:noWrap w:val="0"/>
            <w:vAlign w:val="center"/>
          </w:tcPr>
          <w:p w14:paraId="00EA9B99">
            <w:pPr>
              <w:adjustRightInd w:val="0"/>
              <w:snapToGrid w:val="0"/>
              <w:rPr>
                <w:rFonts w:hint="eastAsia" w:hAnsi="宋体" w:cs="宋体"/>
                <w:color w:val="auto"/>
                <w:sz w:val="24"/>
                <w:szCs w:val="24"/>
                <w:highlight w:val="none"/>
              </w:rPr>
            </w:pPr>
          </w:p>
        </w:tc>
        <w:tc>
          <w:tcPr>
            <w:tcW w:w="1701" w:type="dxa"/>
            <w:noWrap w:val="0"/>
            <w:vAlign w:val="center"/>
          </w:tcPr>
          <w:p w14:paraId="572107AE">
            <w:pPr>
              <w:spacing w:line="380" w:lineRule="atLeast"/>
              <w:jc w:val="center"/>
              <w:rPr>
                <w:rFonts w:hint="eastAsia" w:hAnsi="宋体" w:cs="宋体"/>
                <w:b/>
                <w:bCs/>
                <w:color w:val="auto"/>
                <w:sz w:val="24"/>
                <w:szCs w:val="24"/>
                <w:highlight w:val="none"/>
              </w:rPr>
            </w:pPr>
          </w:p>
        </w:tc>
        <w:tc>
          <w:tcPr>
            <w:tcW w:w="844" w:type="dxa"/>
            <w:noWrap w:val="0"/>
            <w:vAlign w:val="center"/>
          </w:tcPr>
          <w:p w14:paraId="05F36374">
            <w:pPr>
              <w:spacing w:line="380" w:lineRule="atLeast"/>
              <w:jc w:val="center"/>
              <w:rPr>
                <w:rFonts w:hint="eastAsia" w:hAnsi="宋体" w:cs="宋体"/>
                <w:b/>
                <w:bCs/>
                <w:color w:val="auto"/>
                <w:sz w:val="24"/>
                <w:szCs w:val="24"/>
                <w:highlight w:val="none"/>
              </w:rPr>
            </w:pPr>
          </w:p>
        </w:tc>
      </w:tr>
      <w:tr w14:paraId="2F47BED5">
        <w:tblPrEx>
          <w:tblBorders>
            <w:top w:val="thinThickSmallGap" w:color="auto" w:sz="12" w:space="0"/>
            <w:left w:val="thinThickSmallGap" w:color="auto" w:sz="12" w:space="0"/>
            <w:bottom w:val="thinThickSmallGap" w:color="auto" w:sz="12" w:space="0"/>
            <w:right w:val="thickThinSmallGap"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804" w:type="dxa"/>
            <w:noWrap w:val="0"/>
            <w:vAlign w:val="center"/>
          </w:tcPr>
          <w:p w14:paraId="07243CF3">
            <w:pPr>
              <w:adjustRightInd w:val="0"/>
              <w:snapToGrid w:val="0"/>
              <w:jc w:val="center"/>
              <w:rPr>
                <w:rFonts w:hint="eastAsia" w:hAnsi="宋体" w:cs="宋体"/>
                <w:bCs/>
                <w:color w:val="auto"/>
                <w:sz w:val="24"/>
                <w:szCs w:val="24"/>
                <w:highlight w:val="none"/>
              </w:rPr>
            </w:pPr>
            <w:r>
              <w:rPr>
                <w:rFonts w:hint="eastAsia" w:hAnsi="宋体" w:cs="宋体"/>
                <w:bCs/>
                <w:color w:val="auto"/>
                <w:sz w:val="24"/>
                <w:szCs w:val="24"/>
                <w:highlight w:val="none"/>
              </w:rPr>
              <w:t>……</w:t>
            </w:r>
          </w:p>
        </w:tc>
        <w:tc>
          <w:tcPr>
            <w:tcW w:w="5937" w:type="dxa"/>
            <w:noWrap w:val="0"/>
            <w:vAlign w:val="center"/>
          </w:tcPr>
          <w:p w14:paraId="40A26409">
            <w:pPr>
              <w:adjustRightInd w:val="0"/>
              <w:snapToGrid w:val="0"/>
              <w:jc w:val="left"/>
              <w:rPr>
                <w:rFonts w:hint="eastAsia" w:hAnsi="宋体" w:cs="宋体"/>
                <w:bCs/>
                <w:color w:val="auto"/>
                <w:sz w:val="24"/>
                <w:szCs w:val="24"/>
                <w:highlight w:val="none"/>
              </w:rPr>
            </w:pPr>
          </w:p>
        </w:tc>
        <w:tc>
          <w:tcPr>
            <w:tcW w:w="1701" w:type="dxa"/>
            <w:noWrap w:val="0"/>
            <w:vAlign w:val="center"/>
          </w:tcPr>
          <w:p w14:paraId="41F482E2">
            <w:pPr>
              <w:spacing w:line="380" w:lineRule="atLeast"/>
              <w:jc w:val="center"/>
              <w:rPr>
                <w:rFonts w:hint="eastAsia" w:hAnsi="宋体" w:cs="宋体"/>
                <w:b/>
                <w:bCs/>
                <w:color w:val="auto"/>
                <w:sz w:val="24"/>
                <w:szCs w:val="24"/>
                <w:highlight w:val="none"/>
              </w:rPr>
            </w:pPr>
          </w:p>
        </w:tc>
        <w:tc>
          <w:tcPr>
            <w:tcW w:w="844" w:type="dxa"/>
            <w:noWrap w:val="0"/>
            <w:vAlign w:val="center"/>
          </w:tcPr>
          <w:p w14:paraId="18273805">
            <w:pPr>
              <w:spacing w:line="380" w:lineRule="atLeast"/>
              <w:jc w:val="center"/>
              <w:rPr>
                <w:rFonts w:hint="eastAsia" w:hAnsi="宋体" w:cs="宋体"/>
                <w:b/>
                <w:bCs/>
                <w:color w:val="auto"/>
                <w:sz w:val="24"/>
                <w:szCs w:val="24"/>
                <w:highlight w:val="none"/>
              </w:rPr>
            </w:pPr>
          </w:p>
        </w:tc>
      </w:tr>
    </w:tbl>
    <w:p w14:paraId="465EBC3F">
      <w:pPr>
        <w:spacing w:line="380" w:lineRule="exact"/>
        <w:ind w:firstLine="3600" w:firstLineChars="1500"/>
        <w:rPr>
          <w:rFonts w:hint="eastAsia" w:hAnsi="宋体" w:cs="宋体"/>
          <w:color w:val="auto"/>
          <w:sz w:val="24"/>
          <w:szCs w:val="24"/>
          <w:highlight w:val="none"/>
        </w:rPr>
      </w:pPr>
    </w:p>
    <w:p w14:paraId="6AB265AB">
      <w:pPr>
        <w:spacing w:line="380" w:lineRule="exact"/>
        <w:ind w:firstLine="3600" w:firstLineChars="1500"/>
        <w:rPr>
          <w:rFonts w:hint="eastAsia" w:hAnsi="宋体" w:cs="宋体"/>
          <w:color w:val="auto"/>
          <w:sz w:val="24"/>
          <w:szCs w:val="24"/>
          <w:highlight w:val="none"/>
        </w:rPr>
      </w:pPr>
      <w:r>
        <w:rPr>
          <w:rFonts w:hint="eastAsia" w:hAnsi="宋体" w:cs="宋体"/>
          <w:color w:val="auto"/>
          <w:sz w:val="24"/>
          <w:szCs w:val="24"/>
          <w:highlight w:val="none"/>
          <w:lang w:eastAsia="zh-CN"/>
        </w:rPr>
        <w:t>投标人</w:t>
      </w:r>
      <w:r>
        <w:rPr>
          <w:rFonts w:hint="eastAsia" w:hAnsi="宋体" w:cs="宋体"/>
          <w:color w:val="auto"/>
          <w:sz w:val="24"/>
          <w:szCs w:val="24"/>
          <w:highlight w:val="none"/>
        </w:rPr>
        <w:t>（全称并加盖公章）：</w:t>
      </w:r>
      <w:r>
        <w:rPr>
          <w:rFonts w:hint="eastAsia" w:hAnsi="宋体" w:cs="宋体"/>
          <w:color w:val="auto"/>
          <w:sz w:val="24"/>
          <w:szCs w:val="24"/>
          <w:highlight w:val="none"/>
          <w:u w:val="single"/>
        </w:rPr>
        <w:t xml:space="preserve">                    </w:t>
      </w:r>
    </w:p>
    <w:p w14:paraId="75221478">
      <w:pPr>
        <w:spacing w:line="380" w:lineRule="exact"/>
        <w:rPr>
          <w:rFonts w:hint="eastAsia" w:hAnsi="宋体" w:cs="宋体"/>
          <w:color w:val="auto"/>
          <w:sz w:val="24"/>
          <w:szCs w:val="24"/>
          <w:highlight w:val="none"/>
        </w:rPr>
      </w:pPr>
      <w:r>
        <w:rPr>
          <w:rFonts w:hint="eastAsia" w:hAnsi="宋体" w:cs="宋体"/>
          <w:color w:val="auto"/>
          <w:sz w:val="24"/>
          <w:szCs w:val="24"/>
          <w:highlight w:val="none"/>
        </w:rPr>
        <w:t xml:space="preserve">                              </w:t>
      </w:r>
      <w:r>
        <w:rPr>
          <w:rFonts w:hint="eastAsia" w:hAnsi="宋体" w:cs="宋体"/>
          <w:color w:val="auto"/>
          <w:sz w:val="24"/>
          <w:szCs w:val="24"/>
          <w:highlight w:val="none"/>
          <w:lang w:eastAsia="zh-CN"/>
        </w:rPr>
        <w:t>投标人</w:t>
      </w:r>
      <w:r>
        <w:rPr>
          <w:rFonts w:hint="eastAsia" w:hAnsi="宋体" w:cs="宋体"/>
          <w:color w:val="auto"/>
          <w:sz w:val="24"/>
          <w:szCs w:val="24"/>
          <w:highlight w:val="none"/>
        </w:rPr>
        <w:t>代表签字：</w:t>
      </w:r>
      <w:r>
        <w:rPr>
          <w:rFonts w:hint="eastAsia" w:hAnsi="宋体" w:cs="宋体"/>
          <w:color w:val="auto"/>
          <w:sz w:val="24"/>
          <w:szCs w:val="24"/>
          <w:highlight w:val="none"/>
          <w:u w:val="single"/>
        </w:rPr>
        <w:t xml:space="preserve">                            </w:t>
      </w:r>
    </w:p>
    <w:p w14:paraId="77C9C201">
      <w:pPr>
        <w:spacing w:line="380" w:lineRule="exact"/>
        <w:rPr>
          <w:rFonts w:hint="eastAsia" w:hAnsi="宋体" w:cs="宋体"/>
          <w:color w:val="auto"/>
          <w:sz w:val="24"/>
          <w:szCs w:val="24"/>
          <w:highlight w:val="none"/>
          <w:u w:val="single"/>
        </w:rPr>
      </w:pPr>
      <w:r>
        <w:rPr>
          <w:rFonts w:hint="eastAsia" w:hAnsi="宋体" w:cs="宋体"/>
          <w:color w:val="auto"/>
          <w:sz w:val="24"/>
          <w:szCs w:val="24"/>
          <w:highlight w:val="none"/>
        </w:rPr>
        <w:t xml:space="preserve">                              日                 期：</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年</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月</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日</w:t>
      </w:r>
    </w:p>
    <w:p w14:paraId="38DFBDE1">
      <w:pPr>
        <w:pStyle w:val="3"/>
        <w:pageBreakBefore/>
        <w:spacing w:before="0" w:after="0" w:line="440" w:lineRule="exact"/>
        <w:jc w:val="both"/>
        <w:rPr>
          <w:rFonts w:hint="eastAsia" w:ascii="宋体" w:hAnsi="宋体" w:eastAsia="宋体" w:cs="宋体"/>
          <w:color w:val="auto"/>
          <w:sz w:val="28"/>
          <w:szCs w:val="28"/>
          <w:highlight w:val="none"/>
        </w:rPr>
      </w:pPr>
      <w:bookmarkStart w:id="223" w:name="_Toc22471"/>
      <w:bookmarkStart w:id="224" w:name="_Toc25077279"/>
      <w:bookmarkStart w:id="225" w:name="_Toc6407"/>
      <w:bookmarkStart w:id="226" w:name="_Toc18811"/>
      <w:bookmarkStart w:id="227" w:name="_Toc2501"/>
      <w:bookmarkStart w:id="228" w:name="_Toc16110623"/>
      <w:bookmarkStart w:id="229" w:name="_Toc42854057"/>
      <w:bookmarkStart w:id="230" w:name="_Toc29921"/>
      <w:r>
        <w:rPr>
          <w:rFonts w:hint="eastAsia" w:ascii="宋体" w:hAnsi="宋体" w:eastAsia="宋体" w:cs="宋体"/>
          <w:color w:val="auto"/>
          <w:sz w:val="28"/>
          <w:szCs w:val="28"/>
          <w:highlight w:val="none"/>
        </w:rPr>
        <w:t>技术商务评分响应表</w:t>
      </w:r>
      <w:bookmarkEnd w:id="223"/>
      <w:bookmarkEnd w:id="224"/>
      <w:bookmarkEnd w:id="225"/>
      <w:bookmarkEnd w:id="226"/>
      <w:bookmarkEnd w:id="227"/>
      <w:bookmarkEnd w:id="228"/>
      <w:bookmarkEnd w:id="229"/>
      <w:bookmarkEnd w:id="230"/>
    </w:p>
    <w:tbl>
      <w:tblPr>
        <w:tblStyle w:val="51"/>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992"/>
        <w:gridCol w:w="5728"/>
        <w:gridCol w:w="1506"/>
        <w:gridCol w:w="1505"/>
      </w:tblGrid>
      <w:tr w14:paraId="7A23FB3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992" w:type="dxa"/>
            <w:tcBorders>
              <w:left w:val="single" w:color="000000" w:sz="8" w:space="0"/>
              <w:bottom w:val="single" w:color="auto" w:sz="4" w:space="0"/>
              <w:right w:val="single" w:color="000000" w:sz="8" w:space="0"/>
            </w:tcBorders>
            <w:noWrap w:val="0"/>
            <w:vAlign w:val="center"/>
          </w:tcPr>
          <w:p w14:paraId="4CCBF182">
            <w:pPr>
              <w:pStyle w:val="165"/>
              <w:autoSpaceDE/>
              <w:adjustRightInd/>
              <w:spacing w:line="400" w:lineRule="atLeast"/>
              <w:ind w:firstLine="281"/>
              <w:jc w:val="both"/>
              <w:rPr>
                <w:rFonts w:hint="eastAsia" w:ascii="宋体" w:hAnsi="宋体" w:cs="宋体"/>
                <w:b w:val="0"/>
                <w:bCs/>
                <w:color w:val="auto"/>
                <w:kern w:val="10"/>
                <w:sz w:val="24"/>
                <w:szCs w:val="24"/>
                <w:highlight w:val="none"/>
              </w:rPr>
            </w:pPr>
            <w:r>
              <w:rPr>
                <w:rFonts w:hint="eastAsia" w:ascii="宋体" w:hAnsi="宋体" w:cs="宋体"/>
                <w:b w:val="0"/>
                <w:bCs/>
                <w:color w:val="auto"/>
                <w:kern w:val="10"/>
                <w:sz w:val="24"/>
                <w:szCs w:val="24"/>
                <w:highlight w:val="none"/>
              </w:rPr>
              <w:t>序号</w:t>
            </w:r>
          </w:p>
        </w:tc>
        <w:tc>
          <w:tcPr>
            <w:tcW w:w="5728" w:type="dxa"/>
            <w:tcBorders>
              <w:bottom w:val="single" w:color="auto" w:sz="4" w:space="0"/>
            </w:tcBorders>
            <w:noWrap w:val="0"/>
            <w:vAlign w:val="center"/>
          </w:tcPr>
          <w:p w14:paraId="036AE63C">
            <w:pPr>
              <w:pStyle w:val="165"/>
              <w:autoSpaceDE/>
              <w:adjustRightInd/>
              <w:spacing w:line="400" w:lineRule="atLeast"/>
              <w:ind w:firstLine="281"/>
              <w:rPr>
                <w:rFonts w:hint="eastAsia" w:ascii="宋体" w:hAnsi="宋体" w:cs="宋体"/>
                <w:b w:val="0"/>
                <w:bCs/>
                <w:color w:val="auto"/>
                <w:kern w:val="10"/>
                <w:sz w:val="24"/>
                <w:szCs w:val="24"/>
                <w:highlight w:val="none"/>
              </w:rPr>
            </w:pPr>
            <w:r>
              <w:rPr>
                <w:rFonts w:hint="eastAsia" w:ascii="宋体" w:hAnsi="宋体" w:cs="宋体"/>
                <w:b w:val="0"/>
                <w:bCs/>
                <w:color w:val="auto"/>
                <w:kern w:val="10"/>
                <w:sz w:val="24"/>
                <w:szCs w:val="24"/>
                <w:highlight w:val="none"/>
              </w:rPr>
              <w:t>评审内容</w:t>
            </w:r>
          </w:p>
        </w:tc>
        <w:tc>
          <w:tcPr>
            <w:tcW w:w="1506" w:type="dxa"/>
            <w:tcBorders>
              <w:left w:val="single" w:color="000000" w:sz="8" w:space="0"/>
              <w:bottom w:val="single" w:color="auto" w:sz="4" w:space="0"/>
              <w:right w:val="single" w:color="000000" w:sz="8" w:space="0"/>
            </w:tcBorders>
            <w:noWrap w:val="0"/>
            <w:vAlign w:val="center"/>
          </w:tcPr>
          <w:p w14:paraId="0A7AABD4">
            <w:pPr>
              <w:spacing w:before="120" w:beforeLines="50" w:after="120" w:afterLines="50"/>
              <w:jc w:val="center"/>
              <w:rPr>
                <w:rFonts w:hint="eastAsia" w:hAnsi="宋体" w:cs="宋体"/>
                <w:color w:val="auto"/>
                <w:sz w:val="24"/>
                <w:szCs w:val="24"/>
                <w:highlight w:val="none"/>
              </w:rPr>
            </w:pPr>
            <w:r>
              <w:rPr>
                <w:rFonts w:hint="eastAsia" w:hAnsi="宋体" w:cs="宋体"/>
                <w:color w:val="auto"/>
                <w:sz w:val="24"/>
                <w:szCs w:val="24"/>
                <w:highlight w:val="none"/>
              </w:rPr>
              <w:t>响应情况</w:t>
            </w:r>
          </w:p>
        </w:tc>
        <w:tc>
          <w:tcPr>
            <w:tcW w:w="1505" w:type="dxa"/>
            <w:tcBorders>
              <w:left w:val="single" w:color="000000" w:sz="8" w:space="0"/>
              <w:bottom w:val="single" w:color="auto" w:sz="4" w:space="0"/>
              <w:right w:val="single" w:color="000000" w:sz="8" w:space="0"/>
            </w:tcBorders>
            <w:noWrap w:val="0"/>
            <w:vAlign w:val="center"/>
          </w:tcPr>
          <w:p w14:paraId="6F3C3521">
            <w:pPr>
              <w:spacing w:before="120" w:beforeLines="50" w:after="120" w:afterLines="50"/>
              <w:jc w:val="center"/>
              <w:rPr>
                <w:rFonts w:hint="eastAsia" w:hAnsi="宋体" w:cs="宋体"/>
                <w:color w:val="auto"/>
                <w:sz w:val="24"/>
                <w:szCs w:val="24"/>
                <w:highlight w:val="none"/>
              </w:rPr>
            </w:pPr>
            <w:r>
              <w:rPr>
                <w:rFonts w:hint="eastAsia" w:hAnsi="宋体" w:cs="宋体"/>
                <w:color w:val="auto"/>
                <w:sz w:val="24"/>
                <w:szCs w:val="24"/>
                <w:highlight w:val="none"/>
              </w:rPr>
              <w:t>对应</w:t>
            </w:r>
            <w:r>
              <w:rPr>
                <w:rFonts w:hint="eastAsia" w:hAnsi="宋体" w:cs="宋体"/>
                <w:color w:val="auto"/>
                <w:sz w:val="24"/>
                <w:szCs w:val="24"/>
                <w:highlight w:val="none"/>
                <w:lang w:eastAsia="zh-CN"/>
              </w:rPr>
              <w:t>投标文件</w:t>
            </w:r>
            <w:r>
              <w:rPr>
                <w:rFonts w:hint="eastAsia" w:hAnsi="宋体" w:cs="宋体"/>
                <w:color w:val="auto"/>
                <w:sz w:val="24"/>
                <w:szCs w:val="24"/>
                <w:highlight w:val="none"/>
              </w:rPr>
              <w:t>页码</w:t>
            </w:r>
          </w:p>
        </w:tc>
      </w:tr>
      <w:tr w14:paraId="450481A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9731" w:type="dxa"/>
            <w:gridSpan w:val="4"/>
            <w:tcBorders>
              <w:left w:val="single" w:color="000000" w:sz="8" w:space="0"/>
              <w:bottom w:val="single" w:color="auto" w:sz="4" w:space="0"/>
              <w:right w:val="single" w:color="000000" w:sz="8" w:space="0"/>
            </w:tcBorders>
            <w:noWrap w:val="0"/>
            <w:vAlign w:val="center"/>
          </w:tcPr>
          <w:p w14:paraId="6A8E6B9E">
            <w:pPr>
              <w:pStyle w:val="165"/>
              <w:autoSpaceDE/>
              <w:adjustRightInd/>
              <w:spacing w:line="400" w:lineRule="atLeast"/>
              <w:jc w:val="left"/>
              <w:rPr>
                <w:rStyle w:val="54"/>
                <w:rFonts w:hint="eastAsia" w:ascii="宋体" w:hAnsi="宋体" w:cs="宋体"/>
                <w:b w:val="0"/>
                <w:color w:val="auto"/>
                <w:sz w:val="24"/>
                <w:szCs w:val="24"/>
                <w:highlight w:val="none"/>
              </w:rPr>
            </w:pPr>
            <w:r>
              <w:rPr>
                <w:rStyle w:val="54"/>
                <w:rFonts w:hint="eastAsia" w:ascii="宋体" w:hAnsi="宋体" w:cs="宋体"/>
                <w:b/>
                <w:bCs w:val="0"/>
                <w:color w:val="auto"/>
                <w:sz w:val="24"/>
                <w:szCs w:val="24"/>
                <w:highlight w:val="none"/>
              </w:rPr>
              <w:t>技术分F1</w:t>
            </w:r>
          </w:p>
        </w:tc>
      </w:tr>
      <w:tr w14:paraId="78D5F6FD">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auto" w:sz="4" w:space="0"/>
              <w:left w:val="single" w:color="000000" w:sz="8" w:space="0"/>
              <w:bottom w:val="single" w:color="auto" w:sz="4" w:space="0"/>
              <w:right w:val="single" w:color="000000" w:sz="8" w:space="0"/>
            </w:tcBorders>
            <w:noWrap w:val="0"/>
            <w:vAlign w:val="center"/>
          </w:tcPr>
          <w:p w14:paraId="6653E19C">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1-1</w:t>
            </w:r>
          </w:p>
        </w:tc>
        <w:tc>
          <w:tcPr>
            <w:tcW w:w="5728" w:type="dxa"/>
            <w:tcBorders>
              <w:top w:val="single" w:color="auto" w:sz="4" w:space="0"/>
              <w:bottom w:val="single" w:color="auto" w:sz="4" w:space="0"/>
            </w:tcBorders>
            <w:noWrap w:val="0"/>
            <w:vAlign w:val="center"/>
          </w:tcPr>
          <w:p w14:paraId="7417AAFD">
            <w:pPr>
              <w:spacing w:line="400" w:lineRule="atLeast"/>
              <w:ind w:left="4" w:leftChars="-4" w:hanging="12" w:hangingChars="5"/>
              <w:rPr>
                <w:rFonts w:hint="eastAsia" w:hAnsi="宋体" w:cs="宋体"/>
                <w:color w:val="auto"/>
                <w:sz w:val="24"/>
                <w:szCs w:val="24"/>
                <w:highlight w:val="none"/>
              </w:rPr>
            </w:pPr>
          </w:p>
        </w:tc>
        <w:tc>
          <w:tcPr>
            <w:tcW w:w="1506" w:type="dxa"/>
            <w:tcBorders>
              <w:top w:val="single" w:color="auto" w:sz="4" w:space="0"/>
              <w:left w:val="single" w:color="000000" w:sz="8" w:space="0"/>
              <w:bottom w:val="single" w:color="auto" w:sz="4" w:space="0"/>
              <w:right w:val="single" w:color="000000" w:sz="8" w:space="0"/>
            </w:tcBorders>
            <w:noWrap w:val="0"/>
            <w:vAlign w:val="center"/>
          </w:tcPr>
          <w:p w14:paraId="6531C162">
            <w:pPr>
              <w:spacing w:line="400" w:lineRule="atLeast"/>
              <w:ind w:left="250" w:leftChars="33" w:hanging="181"/>
              <w:jc w:val="center"/>
              <w:rPr>
                <w:rFonts w:hint="eastAsia" w:hAnsi="宋体" w:cs="宋体"/>
                <w:color w:val="auto"/>
                <w:sz w:val="24"/>
                <w:szCs w:val="24"/>
                <w:highlight w:val="none"/>
              </w:rPr>
            </w:pPr>
          </w:p>
        </w:tc>
        <w:tc>
          <w:tcPr>
            <w:tcW w:w="1505" w:type="dxa"/>
            <w:tcBorders>
              <w:top w:val="single" w:color="auto" w:sz="4" w:space="0"/>
              <w:left w:val="single" w:color="000000" w:sz="8" w:space="0"/>
              <w:bottom w:val="single" w:color="auto" w:sz="4" w:space="0"/>
              <w:right w:val="single" w:color="000000" w:sz="8" w:space="0"/>
            </w:tcBorders>
            <w:noWrap w:val="0"/>
            <w:vAlign w:val="top"/>
          </w:tcPr>
          <w:p w14:paraId="6D52B963">
            <w:pPr>
              <w:spacing w:line="400" w:lineRule="atLeast"/>
              <w:ind w:left="250" w:leftChars="33" w:hanging="181"/>
              <w:jc w:val="center"/>
              <w:rPr>
                <w:rFonts w:hint="eastAsia" w:hAnsi="宋体" w:cs="宋体"/>
                <w:color w:val="auto"/>
                <w:sz w:val="24"/>
                <w:szCs w:val="24"/>
                <w:highlight w:val="none"/>
              </w:rPr>
            </w:pPr>
          </w:p>
        </w:tc>
      </w:tr>
      <w:tr w14:paraId="44E6868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auto" w:sz="4" w:space="0"/>
              <w:left w:val="single" w:color="000000" w:sz="8" w:space="0"/>
              <w:right w:val="single" w:color="000000" w:sz="8" w:space="0"/>
            </w:tcBorders>
            <w:noWrap w:val="0"/>
            <w:vAlign w:val="center"/>
          </w:tcPr>
          <w:p w14:paraId="7F20BB35">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1-2</w:t>
            </w:r>
          </w:p>
        </w:tc>
        <w:tc>
          <w:tcPr>
            <w:tcW w:w="5728" w:type="dxa"/>
            <w:tcBorders>
              <w:top w:val="single" w:color="auto" w:sz="4" w:space="0"/>
            </w:tcBorders>
            <w:noWrap w:val="0"/>
            <w:vAlign w:val="center"/>
          </w:tcPr>
          <w:p w14:paraId="5EF5F05E">
            <w:pPr>
              <w:spacing w:line="400" w:lineRule="atLeast"/>
              <w:ind w:left="4" w:leftChars="-4" w:hanging="12" w:hangingChars="5"/>
              <w:rPr>
                <w:rFonts w:hint="eastAsia" w:hAnsi="宋体" w:cs="宋体"/>
                <w:color w:val="auto"/>
                <w:sz w:val="24"/>
                <w:szCs w:val="24"/>
                <w:highlight w:val="none"/>
              </w:rPr>
            </w:pPr>
          </w:p>
        </w:tc>
        <w:tc>
          <w:tcPr>
            <w:tcW w:w="1506" w:type="dxa"/>
            <w:tcBorders>
              <w:top w:val="single" w:color="auto" w:sz="4" w:space="0"/>
              <w:left w:val="single" w:color="000000" w:sz="8" w:space="0"/>
              <w:right w:val="single" w:color="000000" w:sz="8" w:space="0"/>
            </w:tcBorders>
            <w:noWrap w:val="0"/>
            <w:vAlign w:val="center"/>
          </w:tcPr>
          <w:p w14:paraId="6053047A">
            <w:pPr>
              <w:spacing w:line="400" w:lineRule="atLeast"/>
              <w:ind w:left="250" w:leftChars="33" w:hanging="181"/>
              <w:jc w:val="center"/>
              <w:rPr>
                <w:rFonts w:hint="eastAsia" w:hAnsi="宋体" w:cs="宋体"/>
                <w:color w:val="auto"/>
                <w:sz w:val="24"/>
                <w:szCs w:val="24"/>
                <w:highlight w:val="none"/>
              </w:rPr>
            </w:pPr>
          </w:p>
        </w:tc>
        <w:tc>
          <w:tcPr>
            <w:tcW w:w="1505" w:type="dxa"/>
            <w:tcBorders>
              <w:top w:val="single" w:color="auto" w:sz="4" w:space="0"/>
              <w:left w:val="single" w:color="000000" w:sz="8" w:space="0"/>
              <w:right w:val="single" w:color="000000" w:sz="8" w:space="0"/>
            </w:tcBorders>
            <w:noWrap w:val="0"/>
            <w:vAlign w:val="top"/>
          </w:tcPr>
          <w:p w14:paraId="58E9408C">
            <w:pPr>
              <w:spacing w:line="400" w:lineRule="atLeast"/>
              <w:ind w:left="250" w:leftChars="33" w:hanging="181"/>
              <w:jc w:val="center"/>
              <w:rPr>
                <w:rFonts w:hint="eastAsia" w:hAnsi="宋体" w:cs="宋体"/>
                <w:color w:val="auto"/>
                <w:sz w:val="24"/>
                <w:szCs w:val="24"/>
                <w:highlight w:val="none"/>
              </w:rPr>
            </w:pPr>
          </w:p>
        </w:tc>
      </w:tr>
      <w:tr w14:paraId="7D43F94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000000" w:sz="8" w:space="0"/>
              <w:left w:val="single" w:color="000000" w:sz="8" w:space="0"/>
              <w:bottom w:val="single" w:color="auto" w:sz="4" w:space="0"/>
              <w:right w:val="single" w:color="000000" w:sz="8" w:space="0"/>
            </w:tcBorders>
            <w:noWrap w:val="0"/>
            <w:vAlign w:val="center"/>
          </w:tcPr>
          <w:p w14:paraId="67D8C051">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1-3</w:t>
            </w:r>
          </w:p>
        </w:tc>
        <w:tc>
          <w:tcPr>
            <w:tcW w:w="5728" w:type="dxa"/>
            <w:tcBorders>
              <w:top w:val="single" w:color="000000" w:sz="8" w:space="0"/>
              <w:bottom w:val="single" w:color="auto" w:sz="4" w:space="0"/>
            </w:tcBorders>
            <w:noWrap w:val="0"/>
            <w:vAlign w:val="center"/>
          </w:tcPr>
          <w:p w14:paraId="26CA3980">
            <w:pPr>
              <w:spacing w:line="400" w:lineRule="atLeast"/>
              <w:jc w:val="left"/>
              <w:rPr>
                <w:rFonts w:hint="eastAsia" w:hAnsi="宋体" w:cs="宋体"/>
                <w:color w:val="auto"/>
                <w:sz w:val="24"/>
                <w:szCs w:val="24"/>
                <w:highlight w:val="none"/>
              </w:rPr>
            </w:pPr>
          </w:p>
        </w:tc>
        <w:tc>
          <w:tcPr>
            <w:tcW w:w="1506" w:type="dxa"/>
            <w:tcBorders>
              <w:top w:val="single" w:color="000000" w:sz="8" w:space="0"/>
              <w:left w:val="single" w:color="000000" w:sz="8" w:space="0"/>
              <w:bottom w:val="single" w:color="auto" w:sz="4" w:space="0"/>
              <w:right w:val="single" w:color="000000" w:sz="8" w:space="0"/>
            </w:tcBorders>
            <w:noWrap w:val="0"/>
            <w:vAlign w:val="center"/>
          </w:tcPr>
          <w:p w14:paraId="7F8579F6">
            <w:pPr>
              <w:spacing w:line="400" w:lineRule="atLeast"/>
              <w:ind w:left="249" w:leftChars="33" w:hanging="180"/>
              <w:jc w:val="center"/>
              <w:rPr>
                <w:rFonts w:hint="eastAsia" w:hAnsi="宋体" w:cs="宋体"/>
                <w:color w:val="auto"/>
                <w:sz w:val="24"/>
                <w:szCs w:val="24"/>
                <w:highlight w:val="none"/>
              </w:rPr>
            </w:pPr>
          </w:p>
        </w:tc>
        <w:tc>
          <w:tcPr>
            <w:tcW w:w="1505" w:type="dxa"/>
            <w:tcBorders>
              <w:top w:val="single" w:color="000000" w:sz="8" w:space="0"/>
              <w:left w:val="single" w:color="000000" w:sz="8" w:space="0"/>
              <w:bottom w:val="single" w:color="auto" w:sz="4" w:space="0"/>
              <w:right w:val="single" w:color="000000" w:sz="8" w:space="0"/>
            </w:tcBorders>
            <w:noWrap w:val="0"/>
            <w:vAlign w:val="top"/>
          </w:tcPr>
          <w:p w14:paraId="3F78C563">
            <w:pPr>
              <w:spacing w:line="400" w:lineRule="atLeast"/>
              <w:ind w:left="249" w:leftChars="33" w:hanging="180"/>
              <w:jc w:val="center"/>
              <w:rPr>
                <w:rFonts w:hint="eastAsia" w:hAnsi="宋体" w:cs="宋体"/>
                <w:color w:val="auto"/>
                <w:sz w:val="24"/>
                <w:szCs w:val="24"/>
                <w:highlight w:val="none"/>
              </w:rPr>
            </w:pPr>
          </w:p>
        </w:tc>
      </w:tr>
      <w:tr w14:paraId="69C03DB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000000" w:sz="8" w:space="0"/>
              <w:left w:val="single" w:color="000000" w:sz="8" w:space="0"/>
              <w:bottom w:val="single" w:color="auto" w:sz="4" w:space="0"/>
              <w:right w:val="single" w:color="000000" w:sz="8" w:space="0"/>
            </w:tcBorders>
            <w:noWrap w:val="0"/>
            <w:vAlign w:val="center"/>
          </w:tcPr>
          <w:p w14:paraId="77BC80F2">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1-4</w:t>
            </w:r>
          </w:p>
        </w:tc>
        <w:tc>
          <w:tcPr>
            <w:tcW w:w="5728" w:type="dxa"/>
            <w:tcBorders>
              <w:top w:val="single" w:color="000000" w:sz="8" w:space="0"/>
              <w:bottom w:val="single" w:color="auto" w:sz="4" w:space="0"/>
            </w:tcBorders>
            <w:noWrap w:val="0"/>
            <w:vAlign w:val="center"/>
          </w:tcPr>
          <w:p w14:paraId="443C8FCB">
            <w:pPr>
              <w:spacing w:line="400" w:lineRule="atLeast"/>
              <w:jc w:val="left"/>
              <w:rPr>
                <w:rFonts w:hint="eastAsia" w:hAnsi="宋体" w:cs="宋体"/>
                <w:color w:val="auto"/>
                <w:sz w:val="24"/>
                <w:szCs w:val="24"/>
                <w:highlight w:val="none"/>
              </w:rPr>
            </w:pPr>
          </w:p>
        </w:tc>
        <w:tc>
          <w:tcPr>
            <w:tcW w:w="1506" w:type="dxa"/>
            <w:tcBorders>
              <w:top w:val="single" w:color="000000" w:sz="8" w:space="0"/>
              <w:left w:val="single" w:color="000000" w:sz="8" w:space="0"/>
              <w:bottom w:val="single" w:color="auto" w:sz="4" w:space="0"/>
              <w:right w:val="single" w:color="000000" w:sz="8" w:space="0"/>
            </w:tcBorders>
            <w:noWrap w:val="0"/>
            <w:vAlign w:val="center"/>
          </w:tcPr>
          <w:p w14:paraId="5274C8D1">
            <w:pPr>
              <w:spacing w:line="400" w:lineRule="atLeast"/>
              <w:ind w:left="249" w:leftChars="33" w:hanging="180"/>
              <w:jc w:val="center"/>
              <w:rPr>
                <w:rFonts w:hint="eastAsia" w:hAnsi="宋体" w:cs="宋体"/>
                <w:color w:val="auto"/>
                <w:sz w:val="24"/>
                <w:szCs w:val="24"/>
                <w:highlight w:val="none"/>
              </w:rPr>
            </w:pPr>
          </w:p>
        </w:tc>
        <w:tc>
          <w:tcPr>
            <w:tcW w:w="1505" w:type="dxa"/>
            <w:tcBorders>
              <w:top w:val="single" w:color="000000" w:sz="8" w:space="0"/>
              <w:left w:val="single" w:color="000000" w:sz="8" w:space="0"/>
              <w:bottom w:val="single" w:color="auto" w:sz="4" w:space="0"/>
              <w:right w:val="single" w:color="000000" w:sz="8" w:space="0"/>
            </w:tcBorders>
            <w:noWrap w:val="0"/>
            <w:vAlign w:val="top"/>
          </w:tcPr>
          <w:p w14:paraId="5A05514B">
            <w:pPr>
              <w:spacing w:line="400" w:lineRule="atLeast"/>
              <w:ind w:left="249" w:leftChars="33" w:hanging="180"/>
              <w:jc w:val="center"/>
              <w:rPr>
                <w:rFonts w:hint="eastAsia" w:hAnsi="宋体" w:cs="宋体"/>
                <w:color w:val="auto"/>
                <w:sz w:val="24"/>
                <w:szCs w:val="24"/>
                <w:highlight w:val="none"/>
              </w:rPr>
            </w:pPr>
          </w:p>
        </w:tc>
      </w:tr>
      <w:tr w14:paraId="586E987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000000" w:sz="8" w:space="0"/>
              <w:left w:val="single" w:color="000000" w:sz="8" w:space="0"/>
              <w:bottom w:val="single" w:color="auto" w:sz="4" w:space="0"/>
              <w:right w:val="single" w:color="auto" w:sz="4" w:space="0"/>
            </w:tcBorders>
            <w:noWrap w:val="0"/>
            <w:vAlign w:val="center"/>
          </w:tcPr>
          <w:p w14:paraId="2F0C2DA2">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1-5</w:t>
            </w:r>
          </w:p>
        </w:tc>
        <w:tc>
          <w:tcPr>
            <w:tcW w:w="5728" w:type="dxa"/>
            <w:tcBorders>
              <w:top w:val="single" w:color="000000" w:sz="8" w:space="0"/>
              <w:left w:val="single" w:color="auto" w:sz="4" w:space="0"/>
              <w:bottom w:val="single" w:color="auto" w:sz="4" w:space="0"/>
              <w:right w:val="single" w:color="auto" w:sz="4" w:space="0"/>
            </w:tcBorders>
            <w:noWrap w:val="0"/>
            <w:vAlign w:val="center"/>
          </w:tcPr>
          <w:p w14:paraId="4162CEE8">
            <w:pPr>
              <w:spacing w:line="400" w:lineRule="atLeast"/>
              <w:rPr>
                <w:rFonts w:hint="eastAsia" w:hAnsi="宋体" w:cs="宋体"/>
                <w:color w:val="auto"/>
                <w:sz w:val="24"/>
                <w:szCs w:val="24"/>
                <w:highlight w:val="none"/>
              </w:rPr>
            </w:pPr>
          </w:p>
        </w:tc>
        <w:tc>
          <w:tcPr>
            <w:tcW w:w="1506" w:type="dxa"/>
            <w:tcBorders>
              <w:top w:val="single" w:color="000000" w:sz="8" w:space="0"/>
              <w:left w:val="single" w:color="auto" w:sz="4" w:space="0"/>
              <w:bottom w:val="single" w:color="auto" w:sz="4" w:space="0"/>
              <w:right w:val="single" w:color="auto" w:sz="4" w:space="0"/>
            </w:tcBorders>
            <w:noWrap w:val="0"/>
            <w:vAlign w:val="center"/>
          </w:tcPr>
          <w:p w14:paraId="3648A61F">
            <w:pPr>
              <w:spacing w:line="400" w:lineRule="atLeast"/>
              <w:ind w:left="249" w:leftChars="33" w:hanging="180"/>
              <w:jc w:val="center"/>
              <w:rPr>
                <w:rFonts w:hint="eastAsia" w:hAnsi="宋体" w:cs="宋体"/>
                <w:color w:val="auto"/>
                <w:sz w:val="24"/>
                <w:szCs w:val="24"/>
                <w:highlight w:val="none"/>
              </w:rPr>
            </w:pPr>
          </w:p>
        </w:tc>
        <w:tc>
          <w:tcPr>
            <w:tcW w:w="1505" w:type="dxa"/>
            <w:tcBorders>
              <w:top w:val="single" w:color="000000" w:sz="8" w:space="0"/>
              <w:left w:val="single" w:color="auto" w:sz="4" w:space="0"/>
              <w:bottom w:val="single" w:color="auto" w:sz="4" w:space="0"/>
              <w:right w:val="single" w:color="000000" w:sz="8" w:space="0"/>
            </w:tcBorders>
            <w:noWrap w:val="0"/>
            <w:vAlign w:val="top"/>
          </w:tcPr>
          <w:p w14:paraId="1DC96175">
            <w:pPr>
              <w:spacing w:line="400" w:lineRule="atLeast"/>
              <w:ind w:left="249" w:leftChars="33" w:hanging="180"/>
              <w:jc w:val="center"/>
              <w:rPr>
                <w:rFonts w:hint="eastAsia" w:hAnsi="宋体" w:cs="宋体"/>
                <w:color w:val="auto"/>
                <w:sz w:val="24"/>
                <w:szCs w:val="24"/>
                <w:highlight w:val="none"/>
              </w:rPr>
            </w:pPr>
          </w:p>
        </w:tc>
      </w:tr>
      <w:tr w14:paraId="61D2C92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636" w:hRule="atLeast"/>
          <w:jc w:val="center"/>
        </w:trPr>
        <w:tc>
          <w:tcPr>
            <w:tcW w:w="992" w:type="dxa"/>
            <w:tcBorders>
              <w:top w:val="single" w:color="auto" w:sz="4" w:space="0"/>
              <w:left w:val="single" w:color="000000" w:sz="8" w:space="0"/>
              <w:bottom w:val="single" w:color="000000" w:sz="8" w:space="0"/>
              <w:right w:val="single" w:color="auto" w:sz="4" w:space="0"/>
            </w:tcBorders>
            <w:noWrap w:val="0"/>
            <w:vAlign w:val="center"/>
          </w:tcPr>
          <w:p w14:paraId="724DD197">
            <w:pPr>
              <w:spacing w:line="400" w:lineRule="atLeast"/>
              <w:ind w:left="249" w:leftChars="33" w:hanging="180"/>
              <w:jc w:val="left"/>
              <w:rPr>
                <w:rFonts w:hint="eastAsia" w:hAnsi="宋体" w:cs="宋体"/>
                <w:color w:val="auto"/>
                <w:sz w:val="24"/>
                <w:szCs w:val="24"/>
                <w:highlight w:val="none"/>
              </w:rPr>
            </w:pPr>
            <w:r>
              <w:rPr>
                <w:rFonts w:hint="eastAsia" w:hAnsi="宋体" w:cs="宋体"/>
                <w:color w:val="auto"/>
                <w:sz w:val="24"/>
                <w:szCs w:val="24"/>
                <w:highlight w:val="none"/>
              </w:rPr>
              <w:t>……</w:t>
            </w:r>
          </w:p>
        </w:tc>
        <w:tc>
          <w:tcPr>
            <w:tcW w:w="5728" w:type="dxa"/>
            <w:tcBorders>
              <w:top w:val="single" w:color="auto" w:sz="4" w:space="0"/>
              <w:left w:val="single" w:color="auto" w:sz="4" w:space="0"/>
              <w:bottom w:val="single" w:color="000000" w:sz="8" w:space="0"/>
              <w:right w:val="single" w:color="auto" w:sz="4" w:space="0"/>
            </w:tcBorders>
            <w:noWrap w:val="0"/>
            <w:vAlign w:val="center"/>
          </w:tcPr>
          <w:p w14:paraId="5FC5F7FF">
            <w:pPr>
              <w:spacing w:line="400" w:lineRule="atLeast"/>
              <w:jc w:val="left"/>
              <w:rPr>
                <w:rFonts w:hint="eastAsia" w:hAnsi="宋体" w:cs="宋体"/>
                <w:color w:val="auto"/>
                <w:sz w:val="24"/>
                <w:szCs w:val="24"/>
                <w:highlight w:val="none"/>
              </w:rPr>
            </w:pPr>
          </w:p>
        </w:tc>
        <w:tc>
          <w:tcPr>
            <w:tcW w:w="1506" w:type="dxa"/>
            <w:tcBorders>
              <w:top w:val="single" w:color="auto" w:sz="4" w:space="0"/>
              <w:left w:val="single" w:color="auto" w:sz="4" w:space="0"/>
              <w:bottom w:val="single" w:color="000000" w:sz="8" w:space="0"/>
              <w:right w:val="single" w:color="auto" w:sz="4" w:space="0"/>
            </w:tcBorders>
            <w:noWrap w:val="0"/>
            <w:vAlign w:val="center"/>
          </w:tcPr>
          <w:p w14:paraId="358053FA">
            <w:pPr>
              <w:spacing w:line="400" w:lineRule="atLeast"/>
              <w:jc w:val="left"/>
              <w:rPr>
                <w:rFonts w:hint="eastAsia" w:hAnsi="宋体" w:cs="宋体"/>
                <w:color w:val="auto"/>
                <w:sz w:val="24"/>
                <w:szCs w:val="24"/>
                <w:highlight w:val="none"/>
              </w:rPr>
            </w:pPr>
          </w:p>
        </w:tc>
        <w:tc>
          <w:tcPr>
            <w:tcW w:w="1505" w:type="dxa"/>
            <w:tcBorders>
              <w:top w:val="single" w:color="auto" w:sz="4" w:space="0"/>
              <w:left w:val="single" w:color="auto" w:sz="4" w:space="0"/>
              <w:bottom w:val="single" w:color="000000" w:sz="8" w:space="0"/>
              <w:right w:val="single" w:color="000000" w:sz="8" w:space="0"/>
            </w:tcBorders>
            <w:noWrap w:val="0"/>
            <w:vAlign w:val="center"/>
          </w:tcPr>
          <w:p w14:paraId="1F94AEB0">
            <w:pPr>
              <w:spacing w:line="400" w:lineRule="atLeast"/>
              <w:jc w:val="left"/>
              <w:rPr>
                <w:rFonts w:hint="eastAsia" w:hAnsi="宋体" w:cs="宋体"/>
                <w:color w:val="auto"/>
                <w:sz w:val="24"/>
                <w:szCs w:val="24"/>
                <w:highlight w:val="none"/>
              </w:rPr>
            </w:pPr>
          </w:p>
        </w:tc>
      </w:tr>
      <w:tr w14:paraId="0EF685D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772" w:hRule="atLeast"/>
          <w:jc w:val="center"/>
        </w:trPr>
        <w:tc>
          <w:tcPr>
            <w:tcW w:w="9731" w:type="dxa"/>
            <w:gridSpan w:val="4"/>
            <w:tcBorders>
              <w:left w:val="single" w:color="000000" w:sz="8" w:space="0"/>
              <w:bottom w:val="single" w:color="auto" w:sz="4" w:space="0"/>
              <w:right w:val="single" w:color="000000" w:sz="8" w:space="0"/>
            </w:tcBorders>
            <w:noWrap w:val="0"/>
            <w:vAlign w:val="center"/>
          </w:tcPr>
          <w:p w14:paraId="67A31D01">
            <w:pPr>
              <w:spacing w:line="400" w:lineRule="atLeast"/>
              <w:ind w:left="249" w:leftChars="33" w:hanging="180"/>
              <w:jc w:val="left"/>
              <w:rPr>
                <w:rFonts w:hint="eastAsia" w:hAnsi="宋体" w:cs="宋体"/>
                <w:color w:val="auto"/>
                <w:sz w:val="24"/>
                <w:szCs w:val="24"/>
                <w:highlight w:val="none"/>
              </w:rPr>
            </w:pPr>
            <w:r>
              <w:rPr>
                <w:rStyle w:val="54"/>
                <w:rFonts w:hint="eastAsia" w:ascii="宋体" w:hAnsi="宋体" w:cs="宋体"/>
                <w:color w:val="auto"/>
                <w:sz w:val="24"/>
                <w:szCs w:val="24"/>
                <w:highlight w:val="none"/>
              </w:rPr>
              <w:t>商务分F2</w:t>
            </w:r>
          </w:p>
        </w:tc>
      </w:tr>
      <w:tr w14:paraId="53D348F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auto" w:sz="4" w:space="0"/>
              <w:left w:val="single" w:color="000000" w:sz="8" w:space="0"/>
              <w:right w:val="single" w:color="000000" w:sz="8" w:space="0"/>
            </w:tcBorders>
            <w:noWrap w:val="0"/>
            <w:vAlign w:val="center"/>
          </w:tcPr>
          <w:p w14:paraId="6ACD8AC1">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2-1</w:t>
            </w:r>
          </w:p>
        </w:tc>
        <w:tc>
          <w:tcPr>
            <w:tcW w:w="5728" w:type="dxa"/>
            <w:tcBorders>
              <w:top w:val="single" w:color="auto" w:sz="4" w:space="0"/>
            </w:tcBorders>
            <w:noWrap w:val="0"/>
            <w:vAlign w:val="center"/>
          </w:tcPr>
          <w:p w14:paraId="36C541AD">
            <w:pPr>
              <w:spacing w:line="400" w:lineRule="atLeast"/>
              <w:rPr>
                <w:rFonts w:hint="eastAsia" w:hAnsi="宋体" w:cs="宋体"/>
                <w:color w:val="auto"/>
                <w:sz w:val="24"/>
                <w:szCs w:val="24"/>
                <w:highlight w:val="none"/>
              </w:rPr>
            </w:pPr>
          </w:p>
        </w:tc>
        <w:tc>
          <w:tcPr>
            <w:tcW w:w="1506" w:type="dxa"/>
            <w:tcBorders>
              <w:top w:val="single" w:color="auto" w:sz="4" w:space="0"/>
              <w:left w:val="single" w:color="000000" w:sz="8" w:space="0"/>
              <w:right w:val="single" w:color="000000" w:sz="8" w:space="0"/>
            </w:tcBorders>
            <w:noWrap w:val="0"/>
            <w:vAlign w:val="center"/>
          </w:tcPr>
          <w:p w14:paraId="7B176066">
            <w:pPr>
              <w:spacing w:line="400" w:lineRule="atLeast"/>
              <w:ind w:left="249" w:leftChars="33" w:hanging="180"/>
              <w:jc w:val="center"/>
              <w:rPr>
                <w:rFonts w:hint="eastAsia" w:hAnsi="宋体" w:cs="宋体"/>
                <w:color w:val="auto"/>
                <w:sz w:val="24"/>
                <w:szCs w:val="24"/>
                <w:highlight w:val="none"/>
              </w:rPr>
            </w:pPr>
          </w:p>
        </w:tc>
        <w:tc>
          <w:tcPr>
            <w:tcW w:w="1505" w:type="dxa"/>
            <w:tcBorders>
              <w:top w:val="single" w:color="auto" w:sz="4" w:space="0"/>
              <w:left w:val="single" w:color="000000" w:sz="8" w:space="0"/>
              <w:right w:val="single" w:color="000000" w:sz="8" w:space="0"/>
            </w:tcBorders>
            <w:noWrap w:val="0"/>
            <w:vAlign w:val="top"/>
          </w:tcPr>
          <w:p w14:paraId="7CD53167">
            <w:pPr>
              <w:spacing w:line="400" w:lineRule="atLeast"/>
              <w:ind w:left="249" w:leftChars="33" w:hanging="180"/>
              <w:jc w:val="center"/>
              <w:rPr>
                <w:rFonts w:hint="eastAsia" w:hAnsi="宋体" w:cs="宋体"/>
                <w:color w:val="auto"/>
                <w:sz w:val="24"/>
                <w:szCs w:val="24"/>
                <w:highlight w:val="none"/>
              </w:rPr>
            </w:pPr>
          </w:p>
        </w:tc>
      </w:tr>
      <w:tr w14:paraId="1C9972A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auto" w:sz="4" w:space="0"/>
              <w:left w:val="single" w:color="000000" w:sz="8" w:space="0"/>
              <w:right w:val="single" w:color="000000" w:sz="8" w:space="0"/>
            </w:tcBorders>
            <w:noWrap w:val="0"/>
            <w:vAlign w:val="center"/>
          </w:tcPr>
          <w:p w14:paraId="4070ACB3">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2-2</w:t>
            </w:r>
          </w:p>
        </w:tc>
        <w:tc>
          <w:tcPr>
            <w:tcW w:w="5728" w:type="dxa"/>
            <w:tcBorders>
              <w:top w:val="single" w:color="auto" w:sz="4" w:space="0"/>
            </w:tcBorders>
            <w:noWrap w:val="0"/>
            <w:vAlign w:val="center"/>
          </w:tcPr>
          <w:p w14:paraId="2F54EF05">
            <w:pPr>
              <w:spacing w:line="400" w:lineRule="atLeast"/>
              <w:jc w:val="left"/>
              <w:rPr>
                <w:rFonts w:hint="eastAsia" w:hAnsi="宋体" w:cs="宋体"/>
                <w:color w:val="auto"/>
                <w:sz w:val="24"/>
                <w:szCs w:val="24"/>
                <w:highlight w:val="none"/>
              </w:rPr>
            </w:pPr>
          </w:p>
        </w:tc>
        <w:tc>
          <w:tcPr>
            <w:tcW w:w="1506" w:type="dxa"/>
            <w:tcBorders>
              <w:top w:val="single" w:color="auto" w:sz="4" w:space="0"/>
              <w:left w:val="single" w:color="000000" w:sz="8" w:space="0"/>
              <w:right w:val="single" w:color="000000" w:sz="8" w:space="0"/>
            </w:tcBorders>
            <w:noWrap w:val="0"/>
            <w:vAlign w:val="center"/>
          </w:tcPr>
          <w:p w14:paraId="53574DE4">
            <w:pPr>
              <w:spacing w:line="400" w:lineRule="atLeast"/>
              <w:jc w:val="center"/>
              <w:rPr>
                <w:rFonts w:hint="eastAsia" w:hAnsi="宋体" w:cs="宋体"/>
                <w:color w:val="auto"/>
                <w:sz w:val="24"/>
                <w:szCs w:val="24"/>
                <w:highlight w:val="none"/>
              </w:rPr>
            </w:pPr>
          </w:p>
        </w:tc>
        <w:tc>
          <w:tcPr>
            <w:tcW w:w="1505" w:type="dxa"/>
            <w:tcBorders>
              <w:top w:val="single" w:color="auto" w:sz="4" w:space="0"/>
              <w:left w:val="single" w:color="000000" w:sz="8" w:space="0"/>
              <w:right w:val="single" w:color="000000" w:sz="8" w:space="0"/>
            </w:tcBorders>
            <w:noWrap w:val="0"/>
            <w:vAlign w:val="top"/>
          </w:tcPr>
          <w:p w14:paraId="5F11FCD7">
            <w:pPr>
              <w:spacing w:line="400" w:lineRule="atLeast"/>
              <w:jc w:val="center"/>
              <w:rPr>
                <w:rFonts w:hint="eastAsia" w:hAnsi="宋体" w:cs="宋体"/>
                <w:color w:val="auto"/>
                <w:sz w:val="24"/>
                <w:szCs w:val="24"/>
                <w:highlight w:val="none"/>
              </w:rPr>
            </w:pPr>
          </w:p>
        </w:tc>
      </w:tr>
      <w:tr w14:paraId="4344D35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auto" w:sz="4" w:space="0"/>
              <w:left w:val="single" w:color="000000" w:sz="8" w:space="0"/>
              <w:right w:val="single" w:color="000000" w:sz="8" w:space="0"/>
            </w:tcBorders>
            <w:noWrap w:val="0"/>
            <w:vAlign w:val="center"/>
          </w:tcPr>
          <w:p w14:paraId="74D45836">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2-3</w:t>
            </w:r>
          </w:p>
        </w:tc>
        <w:tc>
          <w:tcPr>
            <w:tcW w:w="5728" w:type="dxa"/>
            <w:tcBorders>
              <w:top w:val="single" w:color="auto" w:sz="4" w:space="0"/>
            </w:tcBorders>
            <w:noWrap w:val="0"/>
            <w:vAlign w:val="center"/>
          </w:tcPr>
          <w:p w14:paraId="1271B1CE">
            <w:pPr>
              <w:spacing w:line="400" w:lineRule="atLeast"/>
              <w:rPr>
                <w:rFonts w:hint="eastAsia" w:hAnsi="宋体" w:cs="宋体"/>
                <w:color w:val="auto"/>
                <w:sz w:val="24"/>
                <w:szCs w:val="24"/>
                <w:highlight w:val="none"/>
              </w:rPr>
            </w:pPr>
          </w:p>
        </w:tc>
        <w:tc>
          <w:tcPr>
            <w:tcW w:w="1506" w:type="dxa"/>
            <w:tcBorders>
              <w:top w:val="single" w:color="auto" w:sz="4" w:space="0"/>
              <w:left w:val="single" w:color="000000" w:sz="8" w:space="0"/>
              <w:right w:val="single" w:color="000000" w:sz="8" w:space="0"/>
            </w:tcBorders>
            <w:noWrap w:val="0"/>
            <w:vAlign w:val="center"/>
          </w:tcPr>
          <w:p w14:paraId="0D09C2DA">
            <w:pPr>
              <w:spacing w:line="400" w:lineRule="atLeast"/>
              <w:ind w:left="249" w:leftChars="33" w:hanging="180"/>
              <w:jc w:val="center"/>
              <w:rPr>
                <w:rFonts w:hint="eastAsia" w:hAnsi="宋体" w:cs="宋体"/>
                <w:color w:val="auto"/>
                <w:sz w:val="24"/>
                <w:szCs w:val="24"/>
                <w:highlight w:val="none"/>
              </w:rPr>
            </w:pPr>
          </w:p>
        </w:tc>
        <w:tc>
          <w:tcPr>
            <w:tcW w:w="1505" w:type="dxa"/>
            <w:tcBorders>
              <w:top w:val="single" w:color="auto" w:sz="4" w:space="0"/>
              <w:left w:val="single" w:color="000000" w:sz="8" w:space="0"/>
              <w:right w:val="single" w:color="000000" w:sz="8" w:space="0"/>
            </w:tcBorders>
            <w:noWrap w:val="0"/>
            <w:vAlign w:val="top"/>
          </w:tcPr>
          <w:p w14:paraId="5C2797E5">
            <w:pPr>
              <w:spacing w:line="400" w:lineRule="atLeast"/>
              <w:ind w:left="249" w:leftChars="33" w:hanging="180"/>
              <w:jc w:val="center"/>
              <w:rPr>
                <w:rFonts w:hint="eastAsia" w:hAnsi="宋体" w:cs="宋体"/>
                <w:color w:val="auto"/>
                <w:sz w:val="24"/>
                <w:szCs w:val="24"/>
                <w:highlight w:val="none"/>
              </w:rPr>
            </w:pPr>
          </w:p>
        </w:tc>
      </w:tr>
      <w:tr w14:paraId="315C9FC3">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000000" w:sz="8" w:space="0"/>
              <w:left w:val="single" w:color="000000" w:sz="8" w:space="0"/>
              <w:bottom w:val="single" w:color="000000" w:sz="8" w:space="0"/>
              <w:right w:val="single" w:color="000000" w:sz="8" w:space="0"/>
            </w:tcBorders>
            <w:noWrap w:val="0"/>
            <w:vAlign w:val="center"/>
          </w:tcPr>
          <w:p w14:paraId="2808E3DA">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2-4</w:t>
            </w:r>
          </w:p>
        </w:tc>
        <w:tc>
          <w:tcPr>
            <w:tcW w:w="5728" w:type="dxa"/>
            <w:tcBorders>
              <w:top w:val="single" w:color="000000" w:sz="8" w:space="0"/>
              <w:bottom w:val="single" w:color="000000" w:sz="8" w:space="0"/>
            </w:tcBorders>
            <w:noWrap w:val="0"/>
            <w:vAlign w:val="center"/>
          </w:tcPr>
          <w:p w14:paraId="4DD17CB5">
            <w:pPr>
              <w:spacing w:line="400" w:lineRule="atLeast"/>
              <w:rPr>
                <w:rFonts w:hint="eastAsia" w:hAnsi="宋体" w:cs="宋体"/>
                <w:color w:val="auto"/>
                <w:sz w:val="24"/>
                <w:szCs w:val="24"/>
                <w:highlight w:val="none"/>
              </w:rPr>
            </w:pPr>
          </w:p>
        </w:tc>
        <w:tc>
          <w:tcPr>
            <w:tcW w:w="1506" w:type="dxa"/>
            <w:tcBorders>
              <w:top w:val="single" w:color="000000" w:sz="8" w:space="0"/>
              <w:left w:val="single" w:color="000000" w:sz="8" w:space="0"/>
              <w:bottom w:val="single" w:color="000000" w:sz="8" w:space="0"/>
              <w:right w:val="single" w:color="000000" w:sz="8" w:space="0"/>
            </w:tcBorders>
            <w:noWrap w:val="0"/>
            <w:vAlign w:val="center"/>
          </w:tcPr>
          <w:p w14:paraId="454EDFE4">
            <w:pPr>
              <w:spacing w:line="400" w:lineRule="atLeast"/>
              <w:jc w:val="center"/>
              <w:rPr>
                <w:rFonts w:hint="eastAsia" w:hAnsi="宋体" w:cs="宋体"/>
                <w:color w:val="auto"/>
                <w:sz w:val="24"/>
                <w:szCs w:val="24"/>
                <w:highlight w:val="none"/>
              </w:rPr>
            </w:pPr>
          </w:p>
        </w:tc>
        <w:tc>
          <w:tcPr>
            <w:tcW w:w="1505" w:type="dxa"/>
            <w:tcBorders>
              <w:top w:val="single" w:color="000000" w:sz="8" w:space="0"/>
              <w:left w:val="single" w:color="000000" w:sz="8" w:space="0"/>
              <w:bottom w:val="single" w:color="000000" w:sz="8" w:space="0"/>
              <w:right w:val="single" w:color="000000" w:sz="8" w:space="0"/>
            </w:tcBorders>
            <w:noWrap w:val="0"/>
            <w:vAlign w:val="top"/>
          </w:tcPr>
          <w:p w14:paraId="09C448C1">
            <w:pPr>
              <w:spacing w:line="400" w:lineRule="atLeast"/>
              <w:jc w:val="center"/>
              <w:rPr>
                <w:rFonts w:hint="eastAsia" w:hAnsi="宋体" w:cs="宋体"/>
                <w:color w:val="auto"/>
                <w:sz w:val="24"/>
                <w:szCs w:val="24"/>
                <w:highlight w:val="none"/>
              </w:rPr>
            </w:pPr>
          </w:p>
        </w:tc>
      </w:tr>
      <w:tr w14:paraId="2547B8D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000000" w:sz="8" w:space="0"/>
              <w:left w:val="single" w:color="000000" w:sz="8" w:space="0"/>
              <w:bottom w:val="single" w:color="000000" w:sz="8" w:space="0"/>
              <w:right w:val="single" w:color="000000" w:sz="8" w:space="0"/>
            </w:tcBorders>
            <w:noWrap w:val="0"/>
            <w:vAlign w:val="center"/>
          </w:tcPr>
          <w:p w14:paraId="748DE47A">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2-5</w:t>
            </w:r>
          </w:p>
        </w:tc>
        <w:tc>
          <w:tcPr>
            <w:tcW w:w="5728" w:type="dxa"/>
            <w:tcBorders>
              <w:top w:val="single" w:color="000000" w:sz="8" w:space="0"/>
              <w:bottom w:val="single" w:color="000000" w:sz="8" w:space="0"/>
            </w:tcBorders>
            <w:noWrap w:val="0"/>
            <w:vAlign w:val="center"/>
          </w:tcPr>
          <w:p w14:paraId="25051387">
            <w:pPr>
              <w:spacing w:line="400" w:lineRule="atLeast"/>
              <w:jc w:val="left"/>
              <w:rPr>
                <w:rFonts w:hint="eastAsia" w:hAnsi="宋体" w:cs="宋体"/>
                <w:color w:val="auto"/>
                <w:sz w:val="24"/>
                <w:szCs w:val="24"/>
                <w:highlight w:val="none"/>
              </w:rPr>
            </w:pPr>
          </w:p>
        </w:tc>
        <w:tc>
          <w:tcPr>
            <w:tcW w:w="1506" w:type="dxa"/>
            <w:tcBorders>
              <w:top w:val="single" w:color="000000" w:sz="8" w:space="0"/>
              <w:left w:val="single" w:color="000000" w:sz="8" w:space="0"/>
              <w:bottom w:val="single" w:color="000000" w:sz="8" w:space="0"/>
              <w:right w:val="single" w:color="000000" w:sz="8" w:space="0"/>
            </w:tcBorders>
            <w:noWrap w:val="0"/>
            <w:vAlign w:val="center"/>
          </w:tcPr>
          <w:p w14:paraId="30B48049">
            <w:pPr>
              <w:spacing w:line="400" w:lineRule="atLeast"/>
              <w:jc w:val="center"/>
              <w:rPr>
                <w:rFonts w:hint="eastAsia" w:hAnsi="宋体" w:cs="宋体"/>
                <w:color w:val="auto"/>
                <w:sz w:val="24"/>
                <w:szCs w:val="24"/>
                <w:highlight w:val="none"/>
              </w:rPr>
            </w:pPr>
          </w:p>
        </w:tc>
        <w:tc>
          <w:tcPr>
            <w:tcW w:w="1505" w:type="dxa"/>
            <w:tcBorders>
              <w:top w:val="single" w:color="000000" w:sz="8" w:space="0"/>
              <w:left w:val="single" w:color="000000" w:sz="8" w:space="0"/>
              <w:bottom w:val="single" w:color="000000" w:sz="8" w:space="0"/>
              <w:right w:val="single" w:color="000000" w:sz="8" w:space="0"/>
            </w:tcBorders>
            <w:noWrap w:val="0"/>
            <w:vAlign w:val="top"/>
          </w:tcPr>
          <w:p w14:paraId="72E0B8A5">
            <w:pPr>
              <w:spacing w:line="400" w:lineRule="atLeast"/>
              <w:jc w:val="center"/>
              <w:rPr>
                <w:rFonts w:hint="eastAsia" w:hAnsi="宋体" w:cs="宋体"/>
                <w:color w:val="auto"/>
                <w:sz w:val="24"/>
                <w:szCs w:val="24"/>
                <w:highlight w:val="none"/>
              </w:rPr>
            </w:pPr>
          </w:p>
        </w:tc>
      </w:tr>
      <w:tr w14:paraId="4CA9937D">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992" w:type="dxa"/>
            <w:tcBorders>
              <w:top w:val="single" w:color="000000" w:sz="8" w:space="0"/>
              <w:left w:val="single" w:color="000000" w:sz="8" w:space="0"/>
              <w:bottom w:val="single" w:color="000000" w:sz="8" w:space="0"/>
              <w:right w:val="single" w:color="000000" w:sz="8" w:space="0"/>
            </w:tcBorders>
            <w:noWrap w:val="0"/>
            <w:vAlign w:val="center"/>
          </w:tcPr>
          <w:p w14:paraId="75C42924">
            <w:pPr>
              <w:spacing w:line="400" w:lineRule="atLeast"/>
              <w:jc w:val="center"/>
              <w:rPr>
                <w:rFonts w:hint="eastAsia" w:hAnsi="宋体" w:cs="宋体"/>
                <w:color w:val="auto"/>
                <w:sz w:val="24"/>
                <w:szCs w:val="24"/>
                <w:highlight w:val="none"/>
              </w:rPr>
            </w:pPr>
            <w:r>
              <w:rPr>
                <w:rFonts w:hint="eastAsia" w:hAnsi="宋体" w:cs="宋体"/>
                <w:color w:val="auto"/>
                <w:sz w:val="24"/>
                <w:szCs w:val="24"/>
                <w:highlight w:val="none"/>
              </w:rPr>
              <w:t>……</w:t>
            </w:r>
          </w:p>
        </w:tc>
        <w:tc>
          <w:tcPr>
            <w:tcW w:w="5728" w:type="dxa"/>
            <w:tcBorders>
              <w:top w:val="single" w:color="000000" w:sz="8" w:space="0"/>
              <w:bottom w:val="single" w:color="000000" w:sz="8" w:space="0"/>
            </w:tcBorders>
            <w:noWrap w:val="0"/>
            <w:vAlign w:val="center"/>
          </w:tcPr>
          <w:p w14:paraId="3D1C5D87">
            <w:pPr>
              <w:spacing w:line="400" w:lineRule="atLeast"/>
              <w:jc w:val="left"/>
              <w:rPr>
                <w:rFonts w:hint="eastAsia" w:hAnsi="宋体" w:cs="宋体"/>
                <w:color w:val="auto"/>
                <w:sz w:val="24"/>
                <w:szCs w:val="24"/>
                <w:highlight w:val="none"/>
              </w:rPr>
            </w:pPr>
          </w:p>
        </w:tc>
        <w:tc>
          <w:tcPr>
            <w:tcW w:w="1506" w:type="dxa"/>
            <w:tcBorders>
              <w:top w:val="single" w:color="000000" w:sz="8" w:space="0"/>
              <w:left w:val="single" w:color="000000" w:sz="8" w:space="0"/>
              <w:bottom w:val="single" w:color="000000" w:sz="8" w:space="0"/>
              <w:right w:val="single" w:color="000000" w:sz="8" w:space="0"/>
            </w:tcBorders>
            <w:noWrap w:val="0"/>
            <w:vAlign w:val="center"/>
          </w:tcPr>
          <w:p w14:paraId="367B222B">
            <w:pPr>
              <w:spacing w:line="400" w:lineRule="atLeast"/>
              <w:jc w:val="center"/>
              <w:rPr>
                <w:rFonts w:hint="eastAsia" w:hAnsi="宋体" w:cs="宋体"/>
                <w:color w:val="auto"/>
                <w:sz w:val="24"/>
                <w:szCs w:val="24"/>
                <w:highlight w:val="none"/>
              </w:rPr>
            </w:pPr>
          </w:p>
        </w:tc>
        <w:tc>
          <w:tcPr>
            <w:tcW w:w="1505" w:type="dxa"/>
            <w:tcBorders>
              <w:top w:val="single" w:color="000000" w:sz="8" w:space="0"/>
              <w:left w:val="single" w:color="000000" w:sz="8" w:space="0"/>
              <w:bottom w:val="single" w:color="000000" w:sz="8" w:space="0"/>
              <w:right w:val="single" w:color="000000" w:sz="8" w:space="0"/>
            </w:tcBorders>
            <w:noWrap w:val="0"/>
            <w:vAlign w:val="top"/>
          </w:tcPr>
          <w:p w14:paraId="3B92F6A8">
            <w:pPr>
              <w:spacing w:line="400" w:lineRule="atLeast"/>
              <w:jc w:val="center"/>
              <w:rPr>
                <w:rFonts w:hint="eastAsia" w:hAnsi="宋体" w:cs="宋体"/>
                <w:color w:val="auto"/>
                <w:sz w:val="24"/>
                <w:szCs w:val="24"/>
                <w:highlight w:val="none"/>
              </w:rPr>
            </w:pPr>
          </w:p>
        </w:tc>
      </w:tr>
    </w:tbl>
    <w:p w14:paraId="35724BE9">
      <w:pPr>
        <w:spacing w:line="380" w:lineRule="exact"/>
        <w:ind w:firstLine="3600" w:firstLineChars="1500"/>
        <w:rPr>
          <w:rFonts w:hint="eastAsia" w:hAnsi="宋体" w:cs="宋体"/>
          <w:color w:val="auto"/>
          <w:sz w:val="24"/>
          <w:szCs w:val="24"/>
          <w:highlight w:val="none"/>
        </w:rPr>
      </w:pPr>
      <w:r>
        <w:rPr>
          <w:rFonts w:hint="eastAsia" w:hAnsi="宋体" w:cs="宋体"/>
          <w:color w:val="auto"/>
          <w:sz w:val="24"/>
          <w:szCs w:val="24"/>
          <w:highlight w:val="none"/>
          <w:lang w:eastAsia="zh-CN"/>
        </w:rPr>
        <w:t>投标人</w:t>
      </w:r>
      <w:r>
        <w:rPr>
          <w:rFonts w:hint="eastAsia" w:hAnsi="宋体" w:cs="宋体"/>
          <w:color w:val="auto"/>
          <w:sz w:val="24"/>
          <w:szCs w:val="24"/>
          <w:highlight w:val="none"/>
        </w:rPr>
        <w:t>（全称并加盖公章）：</w:t>
      </w:r>
      <w:r>
        <w:rPr>
          <w:rFonts w:hint="eastAsia" w:hAnsi="宋体" w:cs="宋体"/>
          <w:color w:val="auto"/>
          <w:sz w:val="24"/>
          <w:szCs w:val="24"/>
          <w:highlight w:val="none"/>
          <w:u w:val="single"/>
        </w:rPr>
        <w:t xml:space="preserve">                    </w:t>
      </w:r>
    </w:p>
    <w:p w14:paraId="584C09B9">
      <w:pPr>
        <w:spacing w:line="380" w:lineRule="exact"/>
        <w:rPr>
          <w:rFonts w:hint="eastAsia" w:hAnsi="宋体" w:cs="宋体"/>
          <w:color w:val="auto"/>
          <w:sz w:val="24"/>
          <w:szCs w:val="24"/>
          <w:highlight w:val="none"/>
        </w:rPr>
      </w:pPr>
      <w:r>
        <w:rPr>
          <w:rFonts w:hint="eastAsia" w:hAnsi="宋体" w:cs="宋体"/>
          <w:color w:val="auto"/>
          <w:sz w:val="24"/>
          <w:szCs w:val="24"/>
          <w:highlight w:val="none"/>
        </w:rPr>
        <w:t xml:space="preserve">                              </w:t>
      </w:r>
      <w:r>
        <w:rPr>
          <w:rFonts w:hint="eastAsia" w:hAnsi="宋体" w:cs="宋体"/>
          <w:color w:val="auto"/>
          <w:sz w:val="24"/>
          <w:szCs w:val="24"/>
          <w:highlight w:val="none"/>
          <w:lang w:eastAsia="zh-CN"/>
        </w:rPr>
        <w:t>投标人</w:t>
      </w:r>
      <w:r>
        <w:rPr>
          <w:rFonts w:hint="eastAsia" w:hAnsi="宋体" w:cs="宋体"/>
          <w:color w:val="auto"/>
          <w:sz w:val="24"/>
          <w:szCs w:val="24"/>
          <w:highlight w:val="none"/>
        </w:rPr>
        <w:t>代表签字：</w:t>
      </w:r>
      <w:r>
        <w:rPr>
          <w:rFonts w:hint="eastAsia" w:hAnsi="宋体" w:cs="宋体"/>
          <w:color w:val="auto"/>
          <w:sz w:val="24"/>
          <w:szCs w:val="24"/>
          <w:highlight w:val="none"/>
          <w:u w:val="single"/>
        </w:rPr>
        <w:t xml:space="preserve">                            </w:t>
      </w:r>
    </w:p>
    <w:p w14:paraId="34A4ADF5">
      <w:pPr>
        <w:spacing w:line="360" w:lineRule="auto"/>
        <w:ind w:firstLine="3600" w:firstLineChars="1500"/>
        <w:rPr>
          <w:rFonts w:hint="eastAsia" w:hAnsi="宋体" w:cs="宋体"/>
          <w:color w:val="auto"/>
          <w:sz w:val="24"/>
          <w:szCs w:val="24"/>
          <w:highlight w:val="none"/>
        </w:rPr>
      </w:pPr>
      <w:r>
        <w:rPr>
          <w:rFonts w:hint="eastAsia" w:hAnsi="宋体" w:cs="宋体"/>
          <w:color w:val="auto"/>
          <w:sz w:val="24"/>
          <w:szCs w:val="24"/>
          <w:highlight w:val="none"/>
        </w:rPr>
        <w:t>日             期：</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年</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月</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日</w:t>
      </w:r>
    </w:p>
    <w:p w14:paraId="42511FC1">
      <w:pPr>
        <w:pStyle w:val="46"/>
        <w:widowControl w:val="0"/>
        <w:spacing w:before="0" w:beforeAutospacing="0" w:after="0" w:afterAutospacing="0" w:line="0" w:lineRule="atLeast"/>
        <w:jc w:val="both"/>
        <w:rPr>
          <w:rFonts w:hint="eastAsia"/>
          <w:color w:val="auto"/>
          <w:szCs w:val="28"/>
          <w:highlight w:val="none"/>
        </w:rPr>
      </w:pPr>
    </w:p>
    <w:bookmarkEnd w:id="210"/>
    <w:bookmarkEnd w:id="211"/>
    <w:bookmarkEnd w:id="212"/>
    <w:bookmarkEnd w:id="213"/>
    <w:bookmarkEnd w:id="214"/>
    <w:bookmarkEnd w:id="215"/>
    <w:bookmarkEnd w:id="216"/>
    <w:p w14:paraId="768A250C">
      <w:pPr>
        <w:rPr>
          <w:rFonts w:hint="eastAsia" w:hAnsi="宋体" w:cs="宋体"/>
          <w:color w:val="auto"/>
          <w:highlight w:val="none"/>
        </w:rPr>
      </w:pPr>
      <w:r>
        <w:rPr>
          <w:rFonts w:hint="eastAsia" w:hAnsi="宋体" w:cs="宋体"/>
          <w:color w:val="auto"/>
          <w:highlight w:val="none"/>
        </w:rPr>
        <w:br w:type="page"/>
      </w:r>
    </w:p>
    <w:p w14:paraId="219C2B12">
      <w:pPr>
        <w:pStyle w:val="145"/>
        <w:pageBreakBefore/>
        <w:spacing w:line="360" w:lineRule="auto"/>
        <w:jc w:val="center"/>
        <w:outlineLvl w:val="1"/>
        <w:rPr>
          <w:rFonts w:hint="eastAsia" w:ascii="宋体" w:hAnsi="宋体" w:eastAsia="宋体" w:cs="宋体"/>
          <w:color w:val="auto"/>
          <w:sz w:val="30"/>
          <w:szCs w:val="30"/>
          <w:highlight w:val="none"/>
        </w:rPr>
      </w:pPr>
      <w:bookmarkStart w:id="231" w:name="_Toc8715"/>
      <w:bookmarkStart w:id="232" w:name="_Toc339897517"/>
      <w:bookmarkStart w:id="233" w:name="_Toc339897482"/>
      <w:bookmarkStart w:id="234" w:name="_Toc23556"/>
      <w:bookmarkStart w:id="235" w:name="_Toc23313"/>
      <w:r>
        <w:rPr>
          <w:rFonts w:hint="eastAsia" w:ascii="宋体" w:hAnsi="宋体" w:eastAsia="宋体" w:cs="宋体"/>
          <w:b/>
          <w:color w:val="auto"/>
          <w:sz w:val="30"/>
          <w:szCs w:val="30"/>
          <w:highlight w:val="none"/>
        </w:rPr>
        <w:t>投 标 书</w:t>
      </w:r>
      <w:bookmarkEnd w:id="231"/>
      <w:bookmarkEnd w:id="232"/>
      <w:bookmarkEnd w:id="233"/>
      <w:bookmarkEnd w:id="234"/>
      <w:bookmarkEnd w:id="235"/>
    </w:p>
    <w:p w14:paraId="29267C3F">
      <w:pPr>
        <w:spacing w:line="360" w:lineRule="auto"/>
        <w:rPr>
          <w:rFonts w:hint="eastAsia" w:ascii="宋体" w:hAnsi="宋体" w:cs="宋体"/>
          <w:color w:val="auto"/>
          <w:sz w:val="24"/>
          <w:highlight w:val="none"/>
          <w:u w:val="single"/>
        </w:rPr>
      </w:pPr>
      <w:bookmarkStart w:id="236" w:name="_Toc314838399"/>
      <w:bookmarkStart w:id="237" w:name="_Toc189832484"/>
      <w:bookmarkStart w:id="238" w:name="_Toc185762840"/>
      <w:bookmarkStart w:id="239" w:name="_Toc189829967"/>
      <w:r>
        <w:rPr>
          <w:rFonts w:hint="eastAsia" w:ascii="宋体" w:hAnsi="宋体" w:cs="宋体"/>
          <w:color w:val="auto"/>
          <w:sz w:val="24"/>
          <w:highlight w:val="none"/>
        </w:rPr>
        <w:t>致：</w:t>
      </w:r>
      <w:r>
        <w:rPr>
          <w:rFonts w:hint="eastAsia" w:ascii="宋体" w:hAnsi="宋体" w:cs="宋体"/>
          <w:color w:val="auto"/>
          <w:sz w:val="24"/>
          <w:highlight w:val="none"/>
          <w:u w:val="single"/>
        </w:rPr>
        <w:t>厦门市华沧采购招标有限公司</w:t>
      </w:r>
    </w:p>
    <w:p w14:paraId="16C7E99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根据贵方为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项目的投标邀请（项目编号：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），本签字代表</w:t>
      </w:r>
      <w:r>
        <w:rPr>
          <w:rFonts w:hint="eastAsia" w:ascii="宋体" w:hAnsi="宋体" w:cs="宋体"/>
          <w:color w:val="auto"/>
          <w:sz w:val="24"/>
          <w:highlight w:val="none"/>
          <w:u w:val="single"/>
        </w:rPr>
        <w:t>（全名、职务）</w:t>
      </w:r>
      <w:r>
        <w:rPr>
          <w:rFonts w:hint="eastAsia" w:ascii="宋体" w:hAnsi="宋体" w:cs="宋体"/>
          <w:color w:val="auto"/>
          <w:sz w:val="24"/>
          <w:highlight w:val="none"/>
        </w:rPr>
        <w:t>已获得我方正式授权并代表投标人</w:t>
      </w:r>
      <w:r>
        <w:rPr>
          <w:rFonts w:hint="eastAsia" w:ascii="宋体" w:hAnsi="宋体" w:cs="宋体"/>
          <w:color w:val="auto"/>
          <w:sz w:val="24"/>
          <w:highlight w:val="none"/>
          <w:u w:val="single"/>
        </w:rPr>
        <w:t>（投标人名称、地址）</w:t>
      </w:r>
      <w:r>
        <w:rPr>
          <w:rFonts w:hint="eastAsia" w:ascii="宋体" w:hAnsi="宋体" w:cs="宋体"/>
          <w:color w:val="auto"/>
          <w:sz w:val="24"/>
          <w:highlight w:val="none"/>
        </w:rPr>
        <w:t>提交下述文件正本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份和副本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份。</w:t>
      </w:r>
    </w:p>
    <w:p w14:paraId="77B73EA2">
      <w:pPr>
        <w:spacing w:line="360" w:lineRule="auto"/>
        <w:rPr>
          <w:rFonts w:hint="eastAsia" w:ascii="宋体" w:hAnsi="宋体" w:cs="宋体"/>
          <w:color w:val="auto"/>
          <w:sz w:val="24"/>
          <w:highlight w:val="none"/>
        </w:rPr>
      </w:pPr>
      <w:r>
        <w:rPr>
          <w:rFonts w:hint="eastAsia" w:ascii="宋体" w:hAnsi="宋体" w:cs="宋体"/>
          <w:color w:val="auto"/>
          <w:sz w:val="24"/>
          <w:highlight w:val="none"/>
        </w:rPr>
        <w:t>(1) 开标一览表</w:t>
      </w:r>
    </w:p>
    <w:p w14:paraId="0B0716E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(2) </w:t>
      </w:r>
    </w:p>
    <w:p w14:paraId="11E344D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(3) </w:t>
      </w:r>
    </w:p>
    <w:p w14:paraId="0C1390E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(4) </w:t>
      </w:r>
    </w:p>
    <w:p w14:paraId="0FA791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(5) </w:t>
      </w:r>
    </w:p>
    <w:p w14:paraId="05DD711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(6) </w:t>
      </w:r>
    </w:p>
    <w:p w14:paraId="3463B8C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(7) </w:t>
      </w:r>
    </w:p>
    <w:p w14:paraId="32EC988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(8) </w:t>
      </w:r>
    </w:p>
    <w:p w14:paraId="5D47CD8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(9) </w:t>
      </w:r>
    </w:p>
    <w:p w14:paraId="71E1C58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(10) 以</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方式提供的金额为人民币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元的投标保证金。</w:t>
      </w:r>
    </w:p>
    <w:p w14:paraId="535E9A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据此函，签字代表宣布同意如下：</w:t>
      </w:r>
    </w:p>
    <w:p w14:paraId="3C46F59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1.所附详细报价表中规定的应提供和交付的服务报价总价为人民币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，即</w:t>
      </w:r>
      <w:r>
        <w:rPr>
          <w:rFonts w:hint="eastAsia" w:ascii="宋体" w:hAnsi="宋体" w:cs="宋体"/>
          <w:color w:val="auto"/>
          <w:sz w:val="24"/>
          <w:highlight w:val="none"/>
          <w:u w:val="single"/>
        </w:rPr>
        <w:t xml:space="preserve"> （中文表述）</w:t>
      </w:r>
      <w:r>
        <w:rPr>
          <w:rFonts w:hint="eastAsia" w:ascii="宋体" w:hAnsi="宋体" w:cs="宋体"/>
          <w:color w:val="auto"/>
          <w:sz w:val="24"/>
          <w:highlight w:val="none"/>
        </w:rPr>
        <w:t>。</w:t>
      </w:r>
    </w:p>
    <w:p w14:paraId="28AB2AA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2.投标人已详细审查全部招标文件，包括修改文件（如有的话）和有关附件，将自行承担因对全部招标文件理解不正确或误解而产生的相应后果。</w:t>
      </w:r>
    </w:p>
    <w:p w14:paraId="7792C9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3.投标人保证遵守招标文件的全部规定，投标人所提交的材料中所含的信息均为真实、准确、完整，且不具有任何误导性。</w:t>
      </w:r>
    </w:p>
    <w:p w14:paraId="05CDAFA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4.投标人将按招标文件的规定履行合同责任和义务。</w:t>
      </w:r>
    </w:p>
    <w:p w14:paraId="31012EF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5.本投标文件自开标日起投标有效期为：在招标文件投标人须知前附表第3项所规定的期限内保持有效。</w:t>
      </w:r>
    </w:p>
    <w:p w14:paraId="6F32BB3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6.如果发生招标文件第二章投标人须知第12条所述情况，则同意招标代理机构不予退还投标保证金。</w:t>
      </w:r>
    </w:p>
    <w:p w14:paraId="7E9A812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7.投标人同意提供按照招标</w:t>
      </w:r>
      <w:r>
        <w:rPr>
          <w:rFonts w:hint="eastAsia" w:ascii="宋体" w:hAnsi="宋体" w:cs="宋体"/>
          <w:color w:val="auto"/>
          <w:sz w:val="24"/>
          <w:highlight w:val="none"/>
          <w:lang w:eastAsia="zh-CN"/>
        </w:rPr>
        <w:t>招标人</w:t>
      </w:r>
      <w:r>
        <w:rPr>
          <w:rFonts w:hint="eastAsia" w:ascii="宋体" w:hAnsi="宋体" w:cs="宋体"/>
          <w:color w:val="auto"/>
          <w:sz w:val="24"/>
          <w:highlight w:val="none"/>
        </w:rPr>
        <w:t>可能要求的与其投标有关的一切数据或资料，完全理解贵方不一定要接受最低的报价或收到的任何投标。</w:t>
      </w:r>
    </w:p>
    <w:p w14:paraId="102F1FB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8.与本投标有关的一切正式往来通讯请寄：</w:t>
      </w:r>
    </w:p>
    <w:p w14:paraId="16A4E06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地址：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邮编： </w:t>
      </w:r>
      <w:r>
        <w:rPr>
          <w:rFonts w:hint="eastAsia" w:ascii="宋体" w:hAnsi="宋体" w:cs="宋体"/>
          <w:color w:val="auto"/>
          <w:sz w:val="24"/>
          <w:highlight w:val="none"/>
          <w:u w:val="single"/>
        </w:rPr>
        <w:t xml:space="preserve">                 </w:t>
      </w:r>
    </w:p>
    <w:p w14:paraId="37647DC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电话：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传真： </w:t>
      </w:r>
      <w:r>
        <w:rPr>
          <w:rFonts w:hint="eastAsia" w:ascii="宋体" w:hAnsi="宋体" w:cs="宋体"/>
          <w:color w:val="auto"/>
          <w:sz w:val="24"/>
          <w:highlight w:val="none"/>
          <w:u w:val="single"/>
        </w:rPr>
        <w:t xml:space="preserve">                 </w:t>
      </w:r>
    </w:p>
    <w:p w14:paraId="7A211F3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E-mail:</w:t>
      </w:r>
      <w:r>
        <w:rPr>
          <w:rFonts w:hint="eastAsia" w:ascii="宋体" w:hAnsi="宋体" w:cs="宋体"/>
          <w:color w:val="auto"/>
          <w:sz w:val="24"/>
          <w:highlight w:val="none"/>
          <w:u w:val="single"/>
        </w:rPr>
        <w:t xml:space="preserve">                                           </w:t>
      </w:r>
    </w:p>
    <w:p w14:paraId="361298A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投标人代表签字： </w:t>
      </w:r>
      <w:r>
        <w:rPr>
          <w:rFonts w:hint="eastAsia" w:ascii="宋体" w:hAnsi="宋体" w:cs="宋体"/>
          <w:color w:val="auto"/>
          <w:sz w:val="24"/>
          <w:highlight w:val="none"/>
          <w:u w:val="single"/>
        </w:rPr>
        <w:t xml:space="preserve">                </w:t>
      </w:r>
    </w:p>
    <w:p w14:paraId="5C02ED0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投标人（全称并加盖公章）：</w:t>
      </w:r>
      <w:r>
        <w:rPr>
          <w:rFonts w:hint="eastAsia" w:ascii="宋体" w:hAnsi="宋体" w:cs="宋体"/>
          <w:color w:val="auto"/>
          <w:sz w:val="24"/>
          <w:highlight w:val="none"/>
          <w:u w:val="single"/>
        </w:rPr>
        <w:t xml:space="preserve">                       </w:t>
      </w:r>
    </w:p>
    <w:p w14:paraId="71614C1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日  期：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91DB969">
      <w:pPr>
        <w:pStyle w:val="145"/>
        <w:pageBreakBefore/>
        <w:spacing w:line="360" w:lineRule="auto"/>
        <w:jc w:val="center"/>
        <w:outlineLvl w:val="1"/>
        <w:rPr>
          <w:rFonts w:hint="eastAsia" w:ascii="宋体" w:hAnsi="宋体" w:eastAsia="宋体" w:cs="宋体"/>
          <w:b/>
          <w:color w:val="auto"/>
          <w:sz w:val="24"/>
          <w:szCs w:val="24"/>
          <w:highlight w:val="none"/>
        </w:rPr>
        <w:sectPr>
          <w:pgSz w:w="11906" w:h="16838"/>
          <w:pgMar w:top="1134" w:right="1134" w:bottom="1134" w:left="1134" w:header="737" w:footer="850" w:gutter="0"/>
          <w:pgBorders>
            <w:top w:val="none" w:sz="0" w:space="0"/>
            <w:left w:val="none" w:sz="0" w:space="0"/>
            <w:bottom w:val="none" w:sz="0" w:space="0"/>
            <w:right w:val="none" w:sz="0" w:space="0"/>
          </w:pgBorders>
          <w:cols w:space="720" w:num="1"/>
          <w:docGrid w:type="lines" w:linePitch="312" w:charSpace="0"/>
        </w:sectPr>
      </w:pPr>
      <w:bookmarkStart w:id="240" w:name="_Toc316289921"/>
      <w:bookmarkStart w:id="241" w:name="_Toc339897483"/>
      <w:bookmarkStart w:id="242" w:name="_Toc339897518"/>
      <w:bookmarkStart w:id="243" w:name="_Toc20388"/>
    </w:p>
    <w:p w14:paraId="0F867973">
      <w:pPr>
        <w:pStyle w:val="145"/>
        <w:pageBreakBefore/>
        <w:spacing w:line="360" w:lineRule="auto"/>
        <w:jc w:val="center"/>
        <w:outlineLvl w:val="1"/>
        <w:rPr>
          <w:rFonts w:hint="eastAsia" w:ascii="宋体" w:hAnsi="宋体" w:eastAsia="宋体" w:cs="宋体"/>
          <w:b/>
          <w:color w:val="auto"/>
          <w:sz w:val="30"/>
          <w:szCs w:val="30"/>
          <w:highlight w:val="none"/>
        </w:rPr>
      </w:pPr>
      <w:bookmarkStart w:id="244" w:name="_Toc23756"/>
      <w:bookmarkStart w:id="245" w:name="_Toc16376"/>
      <w:r>
        <w:rPr>
          <w:rFonts w:hint="eastAsia" w:ascii="宋体" w:hAnsi="宋体" w:eastAsia="宋体" w:cs="宋体"/>
          <w:b/>
          <w:color w:val="auto"/>
          <w:sz w:val="30"/>
          <w:szCs w:val="30"/>
          <w:highlight w:val="none"/>
        </w:rPr>
        <w:t>开标一览表</w:t>
      </w:r>
      <w:bookmarkEnd w:id="236"/>
      <w:bookmarkEnd w:id="237"/>
      <w:bookmarkEnd w:id="238"/>
      <w:bookmarkEnd w:id="239"/>
      <w:bookmarkEnd w:id="240"/>
      <w:bookmarkEnd w:id="241"/>
      <w:bookmarkEnd w:id="242"/>
      <w:bookmarkEnd w:id="243"/>
      <w:bookmarkEnd w:id="244"/>
      <w:bookmarkEnd w:id="245"/>
    </w:p>
    <w:p w14:paraId="59FC032E">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投标人名称（加盖公章）：             项目编号∶                    货币单位：元</w:t>
      </w:r>
    </w:p>
    <w:tbl>
      <w:tblPr>
        <w:tblStyle w:val="51"/>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8"/>
        <w:gridCol w:w="2737"/>
        <w:gridCol w:w="2148"/>
        <w:gridCol w:w="1655"/>
      </w:tblGrid>
      <w:tr w14:paraId="1C39C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2978" w:type="dxa"/>
            <w:noWrap w:val="0"/>
            <w:vAlign w:val="center"/>
          </w:tcPr>
          <w:p w14:paraId="68BA6FD2">
            <w:pPr>
              <w:jc w:val="center"/>
              <w:rPr>
                <w:rFonts w:hint="eastAsia" w:ascii="宋体" w:hAnsi="宋体" w:cs="宋体"/>
                <w:color w:val="auto"/>
                <w:sz w:val="24"/>
                <w:highlight w:val="none"/>
              </w:rPr>
            </w:pPr>
            <w:r>
              <w:rPr>
                <w:rFonts w:hint="eastAsia" w:ascii="宋体" w:hAnsi="宋体" w:cs="宋体"/>
                <w:color w:val="auto"/>
                <w:sz w:val="24"/>
                <w:highlight w:val="none"/>
              </w:rPr>
              <w:t>项目名称</w:t>
            </w:r>
          </w:p>
        </w:tc>
        <w:tc>
          <w:tcPr>
            <w:tcW w:w="2737" w:type="dxa"/>
            <w:noWrap w:val="0"/>
            <w:vAlign w:val="center"/>
          </w:tcPr>
          <w:p w14:paraId="10DA0E2E">
            <w:pPr>
              <w:jc w:val="center"/>
              <w:rPr>
                <w:rFonts w:hint="eastAsia" w:ascii="宋体" w:hAnsi="宋体" w:cs="宋体"/>
                <w:color w:val="auto"/>
                <w:sz w:val="24"/>
                <w:highlight w:val="none"/>
              </w:rPr>
            </w:pPr>
            <w:r>
              <w:rPr>
                <w:rFonts w:hint="eastAsia" w:ascii="宋体" w:hAnsi="宋体" w:cs="宋体"/>
                <w:color w:val="auto"/>
                <w:sz w:val="24"/>
                <w:highlight w:val="none"/>
              </w:rPr>
              <w:t>服务期限</w:t>
            </w:r>
          </w:p>
        </w:tc>
        <w:tc>
          <w:tcPr>
            <w:tcW w:w="2148" w:type="dxa"/>
            <w:noWrap w:val="0"/>
            <w:vAlign w:val="center"/>
          </w:tcPr>
          <w:p w14:paraId="2E1AD09A">
            <w:pPr>
              <w:jc w:val="center"/>
              <w:rPr>
                <w:rFonts w:hint="eastAsia" w:ascii="宋体" w:hAnsi="宋体" w:cs="宋体"/>
                <w:color w:val="auto"/>
                <w:sz w:val="24"/>
                <w:highlight w:val="none"/>
              </w:rPr>
            </w:pPr>
            <w:r>
              <w:rPr>
                <w:rFonts w:hint="eastAsia" w:ascii="宋体" w:hAnsi="宋体" w:cs="宋体"/>
                <w:color w:val="auto"/>
                <w:sz w:val="24"/>
                <w:highlight w:val="none"/>
              </w:rPr>
              <w:t>投标总价（元）</w:t>
            </w:r>
          </w:p>
        </w:tc>
        <w:tc>
          <w:tcPr>
            <w:tcW w:w="1655" w:type="dxa"/>
            <w:noWrap w:val="0"/>
            <w:vAlign w:val="center"/>
          </w:tcPr>
          <w:p w14:paraId="0613830D">
            <w:pPr>
              <w:jc w:val="center"/>
              <w:rPr>
                <w:rFonts w:hint="eastAsia" w:ascii="宋体" w:hAnsi="宋体" w:cs="宋体"/>
                <w:color w:val="auto"/>
                <w:sz w:val="24"/>
                <w:highlight w:val="none"/>
              </w:rPr>
            </w:pPr>
            <w:r>
              <w:rPr>
                <w:rFonts w:hint="eastAsia" w:ascii="宋体" w:hAnsi="宋体" w:cs="宋体"/>
                <w:color w:val="auto"/>
                <w:sz w:val="24"/>
                <w:highlight w:val="none"/>
              </w:rPr>
              <w:t>投标保证金</w:t>
            </w:r>
          </w:p>
        </w:tc>
      </w:tr>
      <w:tr w14:paraId="37A29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2978" w:type="dxa"/>
            <w:noWrap w:val="0"/>
            <w:vAlign w:val="center"/>
          </w:tcPr>
          <w:p w14:paraId="2EE6B3FB">
            <w:pPr>
              <w:jc w:val="left"/>
              <w:rPr>
                <w:rFonts w:hint="eastAsia" w:ascii="宋体" w:hAnsi="宋体" w:cs="宋体"/>
                <w:color w:val="auto"/>
                <w:sz w:val="24"/>
                <w:highlight w:val="none"/>
              </w:rPr>
            </w:pPr>
          </w:p>
        </w:tc>
        <w:tc>
          <w:tcPr>
            <w:tcW w:w="2737" w:type="dxa"/>
            <w:noWrap w:val="0"/>
            <w:vAlign w:val="center"/>
          </w:tcPr>
          <w:p w14:paraId="109246BA">
            <w:pPr>
              <w:jc w:val="center"/>
              <w:rPr>
                <w:rFonts w:hint="eastAsia" w:ascii="宋体" w:hAnsi="宋体" w:cs="宋体"/>
                <w:color w:val="auto"/>
                <w:sz w:val="24"/>
                <w:highlight w:val="none"/>
              </w:rPr>
            </w:pPr>
          </w:p>
        </w:tc>
        <w:tc>
          <w:tcPr>
            <w:tcW w:w="2148" w:type="dxa"/>
            <w:noWrap w:val="0"/>
            <w:vAlign w:val="center"/>
          </w:tcPr>
          <w:p w14:paraId="40A51AFE">
            <w:pPr>
              <w:jc w:val="center"/>
              <w:rPr>
                <w:rFonts w:hint="eastAsia" w:ascii="宋体" w:hAnsi="宋体" w:cs="宋体"/>
                <w:color w:val="auto"/>
                <w:sz w:val="24"/>
                <w:highlight w:val="none"/>
              </w:rPr>
            </w:pPr>
          </w:p>
        </w:tc>
        <w:tc>
          <w:tcPr>
            <w:tcW w:w="1655" w:type="dxa"/>
            <w:noWrap w:val="0"/>
            <w:vAlign w:val="center"/>
          </w:tcPr>
          <w:p w14:paraId="081438EC">
            <w:pPr>
              <w:jc w:val="center"/>
              <w:rPr>
                <w:rFonts w:hint="eastAsia" w:ascii="宋体" w:hAnsi="宋体" w:cs="宋体"/>
                <w:color w:val="auto"/>
                <w:sz w:val="24"/>
                <w:highlight w:val="none"/>
              </w:rPr>
            </w:pPr>
          </w:p>
        </w:tc>
      </w:tr>
      <w:tr w14:paraId="3BBEA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9518" w:type="dxa"/>
            <w:gridSpan w:val="4"/>
            <w:noWrap w:val="0"/>
            <w:vAlign w:val="center"/>
          </w:tcPr>
          <w:p w14:paraId="0A3433D8">
            <w:pPr>
              <w:rPr>
                <w:rFonts w:hint="eastAsia" w:ascii="宋体" w:hAnsi="宋体" w:cs="宋体"/>
                <w:color w:val="auto"/>
                <w:sz w:val="24"/>
                <w:highlight w:val="none"/>
              </w:rPr>
            </w:pPr>
            <w:r>
              <w:rPr>
                <w:rFonts w:hint="eastAsia" w:ascii="宋体" w:hAnsi="宋体" w:cs="宋体"/>
                <w:color w:val="auto"/>
                <w:sz w:val="24"/>
                <w:highlight w:val="none"/>
              </w:rPr>
              <w:t>投标总价：(大写)人民币                                        (小写)</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tc>
      </w:tr>
    </w:tbl>
    <w:p w14:paraId="0BCDA1E8">
      <w:pPr>
        <w:spacing w:line="480" w:lineRule="auto"/>
        <w:rPr>
          <w:rFonts w:hint="eastAsia" w:ascii="宋体" w:hAnsi="宋体" w:cs="宋体"/>
          <w:color w:val="auto"/>
          <w:sz w:val="24"/>
          <w:highlight w:val="none"/>
        </w:rPr>
      </w:pPr>
    </w:p>
    <w:p w14:paraId="357A75D0">
      <w:pPr>
        <w:spacing w:line="480" w:lineRule="auto"/>
        <w:ind w:firstLine="244" w:firstLineChars="100"/>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123F28BB">
      <w:pPr>
        <w:spacing w:line="480" w:lineRule="auto"/>
        <w:rPr>
          <w:rFonts w:hint="eastAsia" w:ascii="宋体" w:hAnsi="宋体" w:cs="宋体"/>
          <w:color w:val="auto"/>
          <w:sz w:val="24"/>
          <w:highlight w:val="none"/>
        </w:rPr>
      </w:pPr>
      <w:r>
        <w:rPr>
          <w:rFonts w:hint="eastAsia" w:ascii="宋体" w:hAnsi="宋体" w:cs="宋体"/>
          <w:color w:val="auto"/>
          <w:sz w:val="24"/>
          <w:highlight w:val="none"/>
        </w:rPr>
        <w:t xml:space="preserve">  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85B5084">
      <w:pPr>
        <w:pStyle w:val="3"/>
        <w:pageBreakBefore/>
        <w:spacing w:before="0" w:after="0" w:line="440" w:lineRule="exact"/>
        <w:jc w:val="both"/>
        <w:rPr>
          <w:rFonts w:hint="eastAsia" w:ascii="宋体" w:hAnsi="宋体" w:cs="宋体"/>
          <w:color w:val="auto"/>
          <w:sz w:val="24"/>
          <w:szCs w:val="24"/>
          <w:highlight w:val="none"/>
        </w:rPr>
        <w:sectPr>
          <w:pgSz w:w="11905" w:h="16838"/>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bookmarkStart w:id="246" w:name="_Toc475981311"/>
      <w:bookmarkStart w:id="247" w:name="_Toc427596646"/>
      <w:bookmarkStart w:id="248" w:name="_Toc460836004"/>
      <w:bookmarkStart w:id="249" w:name="_Toc433294752"/>
    </w:p>
    <w:bookmarkEnd w:id="246"/>
    <w:bookmarkEnd w:id="247"/>
    <w:bookmarkEnd w:id="248"/>
    <w:bookmarkEnd w:id="249"/>
    <w:p w14:paraId="584A3B99">
      <w:pPr>
        <w:pStyle w:val="3"/>
        <w:pageBreakBefore/>
        <w:spacing w:before="0" w:after="0" w:line="440" w:lineRule="exact"/>
        <w:ind w:left="0" w:leftChars="0" w:firstLine="0" w:firstLineChars="0"/>
        <w:jc w:val="center"/>
        <w:rPr>
          <w:rFonts w:hint="eastAsia" w:ascii="宋体" w:hAnsi="宋体" w:cs="宋体"/>
          <w:color w:val="auto"/>
          <w:sz w:val="30"/>
          <w:szCs w:val="30"/>
          <w:highlight w:val="none"/>
        </w:rPr>
      </w:pPr>
      <w:bookmarkStart w:id="250" w:name="_Toc16281"/>
      <w:bookmarkStart w:id="251" w:name="_Toc778"/>
      <w:bookmarkStart w:id="252" w:name="_Toc10276"/>
      <w:bookmarkStart w:id="253" w:name="_Toc475981312"/>
      <w:bookmarkStart w:id="254" w:name="_Toc460836006"/>
      <w:bookmarkStart w:id="255" w:name="_Toc15823"/>
      <w:bookmarkStart w:id="256" w:name="_Toc213658595"/>
      <w:bookmarkStart w:id="257" w:name="_Toc213649915"/>
      <w:bookmarkStart w:id="258" w:name="_Toc227222544"/>
      <w:r>
        <w:rPr>
          <w:rFonts w:hint="eastAsia" w:ascii="宋体" w:hAnsi="宋体" w:cs="宋体"/>
          <w:color w:val="auto"/>
          <w:sz w:val="30"/>
          <w:szCs w:val="30"/>
          <w:highlight w:val="none"/>
        </w:rPr>
        <w:t>费用明细表</w:t>
      </w:r>
      <w:bookmarkEnd w:id="250"/>
      <w:bookmarkEnd w:id="251"/>
      <w:bookmarkEnd w:id="252"/>
    </w:p>
    <w:p w14:paraId="31FE4C5B">
      <w:pPr>
        <w:rPr>
          <w:rFonts w:hint="eastAsia" w:ascii="宋体" w:hAnsi="宋体" w:cs="宋体"/>
          <w:color w:val="auto"/>
          <w:sz w:val="24"/>
          <w:highlight w:val="none"/>
        </w:rPr>
      </w:pPr>
    </w:p>
    <w:p w14:paraId="25434048">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投标人名称（全称并加盖公章）：    项目名称：      项目编号：        货币单位： 元</w:t>
      </w:r>
    </w:p>
    <w:tbl>
      <w:tblPr>
        <w:tblStyle w:val="51"/>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183"/>
        <w:gridCol w:w="934"/>
        <w:gridCol w:w="1974"/>
        <w:gridCol w:w="1613"/>
        <w:gridCol w:w="1613"/>
        <w:gridCol w:w="1529"/>
      </w:tblGrid>
      <w:tr w14:paraId="504EA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7B6F821F">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1.人工运营费</w:t>
            </w:r>
          </w:p>
        </w:tc>
        <w:tc>
          <w:tcPr>
            <w:tcW w:w="474" w:type="pct"/>
            <w:vMerge w:val="restart"/>
            <w:tcBorders>
              <w:top w:val="single" w:color="000000" w:sz="4" w:space="0"/>
              <w:left w:val="single" w:color="000000" w:sz="4" w:space="0"/>
              <w:bottom w:val="single" w:color="000000" w:sz="4" w:space="0"/>
              <w:right w:val="single" w:color="000000" w:sz="4" w:space="0"/>
            </w:tcBorders>
            <w:shd w:val="clear" w:color="auto" w:fill="F2F2F2"/>
            <w:vAlign w:val="center"/>
          </w:tcPr>
          <w:p w14:paraId="2924382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人数（个）</w:t>
            </w:r>
          </w:p>
        </w:tc>
        <w:tc>
          <w:tcPr>
            <w:tcW w:w="1002" w:type="pct"/>
            <w:vMerge w:val="restart"/>
            <w:tcBorders>
              <w:top w:val="single" w:color="000000" w:sz="4" w:space="0"/>
              <w:left w:val="single" w:color="000000" w:sz="4" w:space="0"/>
              <w:bottom w:val="single" w:color="000000" w:sz="4" w:space="0"/>
              <w:right w:val="single" w:color="000000" w:sz="4" w:space="0"/>
            </w:tcBorders>
            <w:shd w:val="clear" w:color="auto" w:fill="F2F2F2"/>
            <w:vAlign w:val="center"/>
          </w:tcPr>
          <w:p w14:paraId="7B37632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年度费用（元/人）</w:t>
            </w:r>
          </w:p>
        </w:tc>
        <w:tc>
          <w:tcPr>
            <w:tcW w:w="819" w:type="pct"/>
            <w:vMerge w:val="restart"/>
            <w:tcBorders>
              <w:top w:val="single" w:color="000000" w:sz="4" w:space="0"/>
              <w:left w:val="single" w:color="000000" w:sz="4" w:space="0"/>
              <w:bottom w:val="single" w:color="000000" w:sz="4" w:space="0"/>
              <w:right w:val="single" w:color="000000" w:sz="4" w:space="0"/>
            </w:tcBorders>
            <w:shd w:val="clear" w:color="auto" w:fill="F2F2F2"/>
            <w:vAlign w:val="center"/>
          </w:tcPr>
          <w:p w14:paraId="2960566A">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服务年限（年）</w:t>
            </w:r>
          </w:p>
        </w:tc>
        <w:tc>
          <w:tcPr>
            <w:tcW w:w="819" w:type="pct"/>
            <w:vMerge w:val="restart"/>
            <w:tcBorders>
              <w:top w:val="single" w:color="000000" w:sz="4" w:space="0"/>
              <w:left w:val="single" w:color="000000" w:sz="4" w:space="0"/>
              <w:bottom w:val="single" w:color="000000" w:sz="4" w:space="0"/>
              <w:right w:val="single" w:color="000000" w:sz="4" w:space="0"/>
            </w:tcBorders>
            <w:shd w:val="clear" w:color="auto" w:fill="F2F2F2"/>
            <w:vAlign w:val="center"/>
          </w:tcPr>
          <w:p w14:paraId="18CA31CF">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合计（元）</w:t>
            </w:r>
          </w:p>
        </w:tc>
        <w:tc>
          <w:tcPr>
            <w:tcW w:w="7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90FC91">
            <w:pPr>
              <w:spacing w:line="360" w:lineRule="auto"/>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备注</w:t>
            </w:r>
          </w:p>
        </w:tc>
      </w:tr>
      <w:tr w14:paraId="2ED1C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60E5FCD1">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岗位</w:t>
            </w:r>
          </w:p>
        </w:tc>
        <w:tc>
          <w:tcPr>
            <w:tcW w:w="474" w:type="pct"/>
            <w:vMerge w:val="continue"/>
            <w:tcBorders>
              <w:top w:val="single" w:color="000000" w:sz="4" w:space="0"/>
              <w:left w:val="single" w:color="000000" w:sz="4" w:space="0"/>
              <w:bottom w:val="single" w:color="000000" w:sz="4" w:space="0"/>
              <w:right w:val="single" w:color="000000" w:sz="4" w:space="0"/>
            </w:tcBorders>
            <w:shd w:val="clear" w:color="auto" w:fill="F2F2F2"/>
            <w:vAlign w:val="center"/>
          </w:tcPr>
          <w:p w14:paraId="1EBFB6A9">
            <w:pPr>
              <w:spacing w:line="360" w:lineRule="auto"/>
              <w:jc w:val="center"/>
              <w:rPr>
                <w:rFonts w:hint="eastAsia" w:ascii="宋体" w:hAnsi="宋体" w:eastAsia="宋体" w:cs="宋体"/>
                <w:i w:val="0"/>
                <w:iCs w:val="0"/>
                <w:color w:val="auto"/>
                <w:sz w:val="24"/>
                <w:szCs w:val="24"/>
                <w:highlight w:val="none"/>
                <w:u w:val="none"/>
              </w:rPr>
            </w:pPr>
          </w:p>
        </w:tc>
        <w:tc>
          <w:tcPr>
            <w:tcW w:w="1002" w:type="pct"/>
            <w:vMerge w:val="continue"/>
            <w:tcBorders>
              <w:top w:val="single" w:color="000000" w:sz="4" w:space="0"/>
              <w:left w:val="single" w:color="000000" w:sz="4" w:space="0"/>
              <w:bottom w:val="single" w:color="000000" w:sz="4" w:space="0"/>
              <w:right w:val="single" w:color="000000" w:sz="4" w:space="0"/>
            </w:tcBorders>
            <w:shd w:val="clear" w:color="auto" w:fill="F2F2F2"/>
            <w:vAlign w:val="center"/>
          </w:tcPr>
          <w:p w14:paraId="7B6FF6D9">
            <w:pPr>
              <w:spacing w:line="360" w:lineRule="auto"/>
              <w:jc w:val="center"/>
              <w:rPr>
                <w:rFonts w:hint="eastAsia" w:ascii="宋体" w:hAnsi="宋体" w:eastAsia="宋体" w:cs="宋体"/>
                <w:i w:val="0"/>
                <w:iCs w:val="0"/>
                <w:color w:val="auto"/>
                <w:sz w:val="24"/>
                <w:szCs w:val="24"/>
                <w:highlight w:val="none"/>
                <w:u w:val="none"/>
              </w:rPr>
            </w:pPr>
          </w:p>
        </w:tc>
        <w:tc>
          <w:tcPr>
            <w:tcW w:w="819" w:type="pct"/>
            <w:vMerge w:val="continue"/>
            <w:tcBorders>
              <w:top w:val="single" w:color="000000" w:sz="4" w:space="0"/>
              <w:left w:val="single" w:color="000000" w:sz="4" w:space="0"/>
              <w:bottom w:val="single" w:color="000000" w:sz="4" w:space="0"/>
              <w:right w:val="single" w:color="000000" w:sz="4" w:space="0"/>
            </w:tcBorders>
            <w:shd w:val="clear" w:color="auto" w:fill="F2F2F2"/>
            <w:vAlign w:val="center"/>
          </w:tcPr>
          <w:p w14:paraId="72C49926">
            <w:pPr>
              <w:spacing w:line="360" w:lineRule="auto"/>
              <w:jc w:val="center"/>
              <w:rPr>
                <w:rFonts w:hint="eastAsia" w:ascii="宋体" w:hAnsi="宋体" w:eastAsia="宋体" w:cs="宋体"/>
                <w:i w:val="0"/>
                <w:iCs w:val="0"/>
                <w:color w:val="auto"/>
                <w:sz w:val="24"/>
                <w:szCs w:val="24"/>
                <w:highlight w:val="none"/>
                <w:u w:val="none"/>
              </w:rPr>
            </w:pPr>
          </w:p>
        </w:tc>
        <w:tc>
          <w:tcPr>
            <w:tcW w:w="819" w:type="pct"/>
            <w:vMerge w:val="continue"/>
            <w:tcBorders>
              <w:top w:val="single" w:color="000000" w:sz="4" w:space="0"/>
              <w:left w:val="single" w:color="000000" w:sz="4" w:space="0"/>
              <w:bottom w:val="single" w:color="000000" w:sz="4" w:space="0"/>
              <w:right w:val="single" w:color="000000" w:sz="4" w:space="0"/>
            </w:tcBorders>
            <w:shd w:val="clear" w:color="auto" w:fill="F2F2F2"/>
            <w:vAlign w:val="center"/>
          </w:tcPr>
          <w:p w14:paraId="7FD1E4E6">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3A276D">
            <w:pPr>
              <w:spacing w:line="360" w:lineRule="auto"/>
              <w:jc w:val="center"/>
              <w:rPr>
                <w:rFonts w:hint="eastAsia" w:ascii="宋体" w:hAnsi="宋体" w:eastAsia="宋体" w:cs="宋体"/>
                <w:i w:val="0"/>
                <w:iCs w:val="0"/>
                <w:color w:val="auto"/>
                <w:sz w:val="24"/>
                <w:szCs w:val="24"/>
                <w:highlight w:val="none"/>
                <w:u w:val="none"/>
              </w:rPr>
            </w:pPr>
          </w:p>
        </w:tc>
      </w:tr>
      <w:tr w14:paraId="6B086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F7BDA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项目负责人</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4BB21">
            <w:pPr>
              <w:spacing w:line="360" w:lineRule="auto"/>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330BD">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6DCA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0D272">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069C79">
            <w:pPr>
              <w:keepNext w:val="0"/>
              <w:keepLines w:val="0"/>
              <w:widowControl/>
              <w:numPr>
                <w:ilvl w:val="0"/>
                <w:numId w:val="0"/>
              </w:numPr>
              <w:suppressLineNumbers w:val="0"/>
              <w:spacing w:line="360" w:lineRule="auto"/>
              <w:jc w:val="left"/>
              <w:textAlignment w:val="center"/>
              <w:rPr>
                <w:rFonts w:hint="default" w:ascii="宋体" w:hAnsi="宋体" w:eastAsia="宋体" w:cs="宋体"/>
                <w:i w:val="0"/>
                <w:iCs w:val="0"/>
                <w:color w:val="auto"/>
                <w:kern w:val="0"/>
                <w:sz w:val="24"/>
                <w:szCs w:val="24"/>
                <w:highlight w:val="none"/>
                <w:u w:val="none"/>
                <w:lang w:val="en-US" w:eastAsia="zh-CN" w:bidi="ar"/>
              </w:rPr>
            </w:pPr>
          </w:p>
        </w:tc>
      </w:tr>
      <w:tr w14:paraId="1423B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37F15">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项目技术负责人</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57155">
            <w:pPr>
              <w:spacing w:line="360" w:lineRule="auto"/>
              <w:jc w:val="center"/>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1</w:t>
            </w: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C7DC11">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AB8D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CE2D0">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560C92">
            <w:pPr>
              <w:spacing w:line="360" w:lineRule="auto"/>
              <w:jc w:val="left"/>
              <w:rPr>
                <w:rFonts w:hint="eastAsia" w:ascii="宋体" w:hAnsi="宋体" w:eastAsia="宋体" w:cs="宋体"/>
                <w:i w:val="0"/>
                <w:iCs w:val="0"/>
                <w:color w:val="auto"/>
                <w:sz w:val="24"/>
                <w:szCs w:val="24"/>
                <w:highlight w:val="none"/>
                <w:u w:val="none"/>
              </w:rPr>
            </w:pPr>
          </w:p>
        </w:tc>
      </w:tr>
      <w:tr w14:paraId="52C4F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CCA01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操作员（</w:t>
            </w:r>
            <w:r>
              <w:rPr>
                <w:rFonts w:hint="eastAsia" w:ascii="宋体" w:hAnsi="宋体" w:cs="宋体"/>
                <w:color w:val="auto"/>
                <w:spacing w:val="2"/>
                <w:sz w:val="24"/>
                <w:highlight w:val="none"/>
                <w:lang w:val="en-US" w:eastAsia="zh-CN"/>
              </w:rPr>
              <w:t>污废水处理工</w:t>
            </w:r>
            <w:r>
              <w:rPr>
                <w:rFonts w:hint="eastAsia" w:ascii="宋体" w:hAnsi="宋体" w:eastAsia="宋体" w:cs="宋体"/>
                <w:i w:val="0"/>
                <w:iCs w:val="0"/>
                <w:color w:val="auto"/>
                <w:kern w:val="0"/>
                <w:sz w:val="24"/>
                <w:szCs w:val="24"/>
                <w:highlight w:val="none"/>
                <w:u w:val="none"/>
                <w:lang w:val="en-US" w:eastAsia="zh-CN" w:bidi="ar"/>
              </w:rPr>
              <w:t>）</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A5734">
            <w:pPr>
              <w:spacing w:line="360" w:lineRule="auto"/>
              <w:jc w:val="center"/>
              <w:rPr>
                <w:rFonts w:hint="eastAsia" w:ascii="宋体" w:hAnsi="宋体" w:eastAsia="宋体" w:cs="宋体"/>
                <w:i w:val="0"/>
                <w:iCs w:val="0"/>
                <w:color w:val="auto"/>
                <w:sz w:val="24"/>
                <w:szCs w:val="24"/>
                <w:highlight w:val="none"/>
                <w:u w:val="none"/>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E6E74">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EBDFA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369CE">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24DD2">
            <w:pPr>
              <w:spacing w:line="360" w:lineRule="auto"/>
              <w:jc w:val="left"/>
              <w:rPr>
                <w:rFonts w:hint="eastAsia" w:ascii="宋体" w:hAnsi="宋体" w:eastAsia="宋体" w:cs="宋体"/>
                <w:i w:val="0"/>
                <w:iCs w:val="0"/>
                <w:color w:val="auto"/>
                <w:sz w:val="24"/>
                <w:szCs w:val="24"/>
                <w:highlight w:val="none"/>
                <w:u w:val="none"/>
              </w:rPr>
            </w:pPr>
          </w:p>
        </w:tc>
      </w:tr>
      <w:tr w14:paraId="37D81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AFF7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操作员（</w:t>
            </w:r>
            <w:r>
              <w:rPr>
                <w:rFonts w:hint="eastAsia" w:ascii="宋体" w:hAnsi="宋体" w:cs="宋体"/>
                <w:color w:val="auto"/>
                <w:spacing w:val="2"/>
                <w:sz w:val="24"/>
                <w:highlight w:val="none"/>
                <w:lang w:val="en-US" w:eastAsia="zh-CN"/>
              </w:rPr>
              <w:t>自动监控污废水运行工</w:t>
            </w:r>
            <w:r>
              <w:rPr>
                <w:rFonts w:hint="eastAsia" w:ascii="宋体" w:hAnsi="宋体" w:eastAsia="宋体" w:cs="宋体"/>
                <w:i w:val="0"/>
                <w:iCs w:val="0"/>
                <w:color w:val="auto"/>
                <w:kern w:val="0"/>
                <w:sz w:val="24"/>
                <w:szCs w:val="24"/>
                <w:highlight w:val="none"/>
                <w:u w:val="none"/>
                <w:lang w:val="en-US" w:eastAsia="zh-CN" w:bidi="ar"/>
              </w:rPr>
              <w:t>）</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A8FFE">
            <w:pPr>
              <w:spacing w:line="360" w:lineRule="auto"/>
              <w:jc w:val="center"/>
              <w:rPr>
                <w:rFonts w:hint="eastAsia" w:ascii="宋体" w:hAnsi="宋体" w:eastAsia="宋体" w:cs="宋体"/>
                <w:i w:val="0"/>
                <w:iCs w:val="0"/>
                <w:color w:val="auto"/>
                <w:sz w:val="24"/>
                <w:szCs w:val="24"/>
                <w:highlight w:val="none"/>
                <w:u w:val="none"/>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98E50">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9A683">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9C746">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E212C">
            <w:pPr>
              <w:spacing w:line="360" w:lineRule="auto"/>
              <w:jc w:val="left"/>
              <w:rPr>
                <w:rFonts w:hint="eastAsia" w:ascii="宋体" w:hAnsi="宋体" w:eastAsia="宋体" w:cs="宋体"/>
                <w:i w:val="0"/>
                <w:iCs w:val="0"/>
                <w:color w:val="auto"/>
                <w:sz w:val="24"/>
                <w:szCs w:val="24"/>
                <w:highlight w:val="none"/>
                <w:u w:val="none"/>
              </w:rPr>
            </w:pPr>
          </w:p>
        </w:tc>
      </w:tr>
      <w:tr w14:paraId="01922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CF6B9">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电工</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418B8">
            <w:pPr>
              <w:spacing w:line="360" w:lineRule="auto"/>
              <w:jc w:val="center"/>
              <w:rPr>
                <w:rFonts w:hint="eastAsia" w:ascii="宋体" w:hAnsi="宋体" w:eastAsia="宋体" w:cs="宋体"/>
                <w:i w:val="0"/>
                <w:iCs w:val="0"/>
                <w:color w:val="auto"/>
                <w:sz w:val="24"/>
                <w:szCs w:val="24"/>
                <w:highlight w:val="none"/>
                <w:u w:val="none"/>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134DEF">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A4C3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85235">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306D5">
            <w:pPr>
              <w:spacing w:line="360" w:lineRule="auto"/>
              <w:jc w:val="left"/>
              <w:rPr>
                <w:rFonts w:hint="eastAsia" w:ascii="宋体" w:hAnsi="宋体" w:eastAsia="宋体" w:cs="宋体"/>
                <w:i w:val="0"/>
                <w:iCs w:val="0"/>
                <w:color w:val="auto"/>
                <w:sz w:val="24"/>
                <w:szCs w:val="24"/>
                <w:highlight w:val="none"/>
                <w:u w:val="none"/>
              </w:rPr>
            </w:pPr>
          </w:p>
        </w:tc>
      </w:tr>
      <w:tr w14:paraId="0C54B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AB92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配管机修员</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52526">
            <w:pPr>
              <w:spacing w:line="360" w:lineRule="auto"/>
              <w:jc w:val="center"/>
              <w:rPr>
                <w:rFonts w:hint="eastAsia" w:ascii="宋体" w:hAnsi="宋体" w:eastAsia="宋体" w:cs="宋体"/>
                <w:i w:val="0"/>
                <w:iCs w:val="0"/>
                <w:color w:val="auto"/>
                <w:sz w:val="24"/>
                <w:szCs w:val="24"/>
                <w:highlight w:val="none"/>
                <w:u w:val="none"/>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39209">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0D30A">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D842E6">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0CC3C4">
            <w:pPr>
              <w:spacing w:line="360" w:lineRule="auto"/>
              <w:jc w:val="left"/>
              <w:rPr>
                <w:rFonts w:hint="eastAsia" w:ascii="宋体" w:hAnsi="宋体" w:eastAsia="宋体" w:cs="宋体"/>
                <w:i w:val="0"/>
                <w:iCs w:val="0"/>
                <w:color w:val="auto"/>
                <w:sz w:val="24"/>
                <w:szCs w:val="24"/>
                <w:highlight w:val="none"/>
                <w:u w:val="none"/>
              </w:rPr>
            </w:pPr>
          </w:p>
        </w:tc>
      </w:tr>
      <w:tr w14:paraId="26627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EBC9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BE4C6">
            <w:pPr>
              <w:spacing w:line="360" w:lineRule="auto"/>
              <w:jc w:val="center"/>
              <w:rPr>
                <w:rFonts w:hint="eastAsia" w:ascii="宋体" w:hAnsi="宋体" w:eastAsia="宋体" w:cs="宋体"/>
                <w:i w:val="0"/>
                <w:iCs w:val="0"/>
                <w:color w:val="auto"/>
                <w:sz w:val="24"/>
                <w:szCs w:val="24"/>
                <w:highlight w:val="none"/>
                <w:u w:val="none"/>
              </w:rPr>
            </w:pP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B3DFF7">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FD8A8">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D2C11">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E4DEB">
            <w:pPr>
              <w:spacing w:line="360" w:lineRule="auto"/>
              <w:jc w:val="left"/>
              <w:rPr>
                <w:rFonts w:hint="eastAsia" w:ascii="宋体" w:hAnsi="宋体" w:eastAsia="宋体" w:cs="宋体"/>
                <w:i w:val="0"/>
                <w:iCs w:val="0"/>
                <w:color w:val="auto"/>
                <w:sz w:val="24"/>
                <w:szCs w:val="24"/>
                <w:highlight w:val="none"/>
                <w:u w:val="none"/>
              </w:rPr>
            </w:pPr>
          </w:p>
        </w:tc>
      </w:tr>
      <w:tr w14:paraId="3C6400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108"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556BF3FB">
            <w:pPr>
              <w:keepNext w:val="0"/>
              <w:keepLines w:val="0"/>
              <w:widowControl/>
              <w:suppressLineNumbers w:val="0"/>
              <w:spacing w:line="360" w:lineRule="auto"/>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2.其</w:t>
            </w:r>
            <w:r>
              <w:rPr>
                <w:rFonts w:hint="eastAsia" w:ascii="宋体" w:hAnsi="宋体" w:cs="宋体"/>
                <w:b/>
                <w:bCs/>
                <w:i w:val="0"/>
                <w:iCs w:val="0"/>
                <w:color w:val="auto"/>
                <w:kern w:val="0"/>
                <w:sz w:val="24"/>
                <w:szCs w:val="24"/>
                <w:highlight w:val="none"/>
                <w:u w:val="none"/>
                <w:lang w:val="en-US" w:eastAsia="zh-CN" w:bidi="ar"/>
              </w:rPr>
              <w:t>他</w:t>
            </w:r>
            <w:r>
              <w:rPr>
                <w:rFonts w:hint="eastAsia" w:ascii="宋体" w:hAnsi="宋体" w:eastAsia="宋体" w:cs="宋体"/>
                <w:b/>
                <w:bCs/>
                <w:i w:val="0"/>
                <w:iCs w:val="0"/>
                <w:color w:val="auto"/>
                <w:kern w:val="0"/>
                <w:sz w:val="24"/>
                <w:szCs w:val="24"/>
                <w:highlight w:val="none"/>
                <w:u w:val="none"/>
                <w:lang w:val="en-US" w:eastAsia="zh-CN" w:bidi="ar"/>
              </w:rPr>
              <w:t>费用</w:t>
            </w:r>
          </w:p>
        </w:tc>
        <w:tc>
          <w:tcPr>
            <w:tcW w:w="474"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2C3F108B">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w:t>
            </w:r>
          </w:p>
        </w:tc>
        <w:tc>
          <w:tcPr>
            <w:tcW w:w="1002"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7BBA140D">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年度费用（元/年度）</w:t>
            </w:r>
          </w:p>
        </w:tc>
        <w:tc>
          <w:tcPr>
            <w:tcW w:w="819"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66C1EDB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服务年限（年）</w:t>
            </w:r>
          </w:p>
        </w:tc>
        <w:tc>
          <w:tcPr>
            <w:tcW w:w="819" w:type="pct"/>
            <w:tcBorders>
              <w:top w:val="single" w:color="000000" w:sz="4" w:space="0"/>
              <w:left w:val="single" w:color="000000" w:sz="4" w:space="0"/>
              <w:bottom w:val="single" w:color="000000" w:sz="4" w:space="0"/>
              <w:right w:val="single" w:color="000000" w:sz="4" w:space="0"/>
            </w:tcBorders>
            <w:shd w:val="clear" w:color="auto" w:fill="F2F2F2"/>
            <w:vAlign w:val="center"/>
          </w:tcPr>
          <w:p w14:paraId="58F46442">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合计（元）</w:t>
            </w:r>
          </w:p>
        </w:tc>
        <w:tc>
          <w:tcPr>
            <w:tcW w:w="77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2B1518">
            <w:pPr>
              <w:keepNext w:val="0"/>
              <w:keepLines w:val="0"/>
              <w:widowControl/>
              <w:suppressLineNumbers w:val="0"/>
              <w:spacing w:line="360" w:lineRule="auto"/>
              <w:jc w:val="left"/>
              <w:textAlignment w:val="center"/>
              <w:rPr>
                <w:rFonts w:hint="eastAsia" w:ascii="宋体" w:hAnsi="宋体" w:eastAsia="宋体" w:cs="宋体"/>
                <w:i w:val="0"/>
                <w:iCs w:val="0"/>
                <w:color w:val="auto"/>
                <w:sz w:val="24"/>
                <w:szCs w:val="24"/>
                <w:highlight w:val="none"/>
                <w:u w:val="none"/>
              </w:rPr>
            </w:pPr>
          </w:p>
        </w:tc>
      </w:tr>
      <w:tr w14:paraId="5DE3B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11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055D1C">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其</w:t>
            </w:r>
            <w:r>
              <w:rPr>
                <w:rFonts w:hint="eastAsia" w:ascii="宋体" w:hAnsi="宋体" w:cs="宋体"/>
                <w:i w:val="0"/>
                <w:iCs w:val="0"/>
                <w:color w:val="auto"/>
                <w:kern w:val="0"/>
                <w:sz w:val="24"/>
                <w:szCs w:val="24"/>
                <w:highlight w:val="none"/>
                <w:u w:val="none"/>
                <w:lang w:val="en-US" w:eastAsia="zh-CN" w:bidi="ar"/>
              </w:rPr>
              <w:t>他</w:t>
            </w:r>
            <w:r>
              <w:rPr>
                <w:rFonts w:hint="eastAsia" w:ascii="宋体" w:hAnsi="宋体" w:eastAsia="宋体" w:cs="宋体"/>
                <w:i w:val="0"/>
                <w:iCs w:val="0"/>
                <w:color w:val="auto"/>
                <w:kern w:val="0"/>
                <w:sz w:val="24"/>
                <w:szCs w:val="24"/>
                <w:highlight w:val="none"/>
                <w:u w:val="none"/>
                <w:lang w:val="en-US" w:eastAsia="zh-CN" w:bidi="ar"/>
              </w:rPr>
              <w:t>费用（包干）</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BEC24">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0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B1448">
            <w:pPr>
              <w:spacing w:line="360" w:lineRule="auto"/>
              <w:jc w:val="center"/>
              <w:rPr>
                <w:rFonts w:hint="eastAsia" w:ascii="宋体" w:hAnsi="宋体" w:eastAsia="宋体" w:cs="宋体"/>
                <w:i w:val="0"/>
                <w:iCs w:val="0"/>
                <w:color w:val="auto"/>
                <w:sz w:val="24"/>
                <w:szCs w:val="24"/>
                <w:highlight w:val="none"/>
                <w:u w:val="none"/>
              </w:rPr>
            </w:pP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01EE47">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8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B6AE93">
            <w:pPr>
              <w:spacing w:line="360" w:lineRule="auto"/>
              <w:jc w:val="center"/>
              <w:rPr>
                <w:rFonts w:hint="eastAsia" w:ascii="宋体" w:hAnsi="宋体" w:eastAsia="宋体" w:cs="宋体"/>
                <w:i w:val="0"/>
                <w:iCs w:val="0"/>
                <w:color w:val="auto"/>
                <w:sz w:val="24"/>
                <w:szCs w:val="24"/>
                <w:highlight w:val="none"/>
                <w:u w:val="none"/>
              </w:rPr>
            </w:pPr>
          </w:p>
        </w:tc>
        <w:tc>
          <w:tcPr>
            <w:tcW w:w="77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2964A6">
            <w:pPr>
              <w:spacing w:line="360" w:lineRule="auto"/>
              <w:jc w:val="left"/>
              <w:rPr>
                <w:rFonts w:hint="eastAsia" w:ascii="宋体" w:hAnsi="宋体" w:eastAsia="宋体" w:cs="宋体"/>
                <w:i w:val="0"/>
                <w:iCs w:val="0"/>
                <w:color w:val="auto"/>
                <w:sz w:val="24"/>
                <w:szCs w:val="24"/>
                <w:highlight w:val="none"/>
                <w:u w:val="none"/>
              </w:rPr>
            </w:pPr>
          </w:p>
        </w:tc>
      </w:tr>
      <w:tr w14:paraId="2E0A9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3404"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56F20">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1+2总合计（元）</w:t>
            </w:r>
          </w:p>
        </w:tc>
        <w:tc>
          <w:tcPr>
            <w:tcW w:w="8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7C4CD">
            <w:pPr>
              <w:spacing w:line="360" w:lineRule="auto"/>
              <w:jc w:val="center"/>
              <w:rPr>
                <w:rFonts w:hint="eastAsia" w:ascii="宋体" w:hAnsi="宋体" w:eastAsia="宋体" w:cs="宋体"/>
                <w:i w:val="0"/>
                <w:iCs w:val="0"/>
                <w:color w:val="auto"/>
                <w:sz w:val="24"/>
                <w:szCs w:val="24"/>
                <w:highlight w:val="none"/>
                <w:u w:val="none"/>
              </w:rPr>
            </w:pPr>
          </w:p>
        </w:tc>
        <w:tc>
          <w:tcPr>
            <w:tcW w:w="7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43342">
            <w:pPr>
              <w:spacing w:line="360" w:lineRule="auto"/>
              <w:rPr>
                <w:rFonts w:hint="eastAsia" w:ascii="宋体" w:hAnsi="宋体" w:eastAsia="宋体" w:cs="宋体"/>
                <w:i w:val="0"/>
                <w:iCs w:val="0"/>
                <w:color w:val="auto"/>
                <w:sz w:val="24"/>
                <w:szCs w:val="24"/>
                <w:highlight w:val="none"/>
                <w:u w:val="none"/>
              </w:rPr>
            </w:pPr>
          </w:p>
        </w:tc>
      </w:tr>
    </w:tbl>
    <w:p w14:paraId="77B78B3F">
      <w:pPr>
        <w:spacing w:line="360" w:lineRule="auto"/>
        <w:rPr>
          <w:rFonts w:hint="eastAsia" w:ascii="宋体" w:hAnsi="宋体" w:cs="宋体"/>
          <w:color w:val="auto"/>
          <w:sz w:val="24"/>
          <w:highlight w:val="none"/>
        </w:rPr>
      </w:pPr>
    </w:p>
    <w:p w14:paraId="6E46C29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注: </w:t>
      </w:r>
    </w:p>
    <w:p w14:paraId="1153A71B">
      <w:pPr>
        <w:numPr>
          <w:ilvl w:val="0"/>
          <w:numId w:val="0"/>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若未详细分项报价将被视为没有实质性响应招标文件。</w:t>
      </w:r>
    </w:p>
    <w:p w14:paraId="438D3FAA">
      <w:pPr>
        <w:pStyle w:val="20"/>
        <w:numPr>
          <w:ilvl w:val="0"/>
          <w:numId w:val="0"/>
        </w:numP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2.本项目具体结算单价以中标单价为准，实际支付以考核为准。</w:t>
      </w:r>
    </w:p>
    <w:p w14:paraId="69A4B3E3">
      <w:pPr>
        <w:spacing w:line="360" w:lineRule="auto"/>
        <w:rPr>
          <w:rFonts w:hint="eastAsia" w:ascii="宋体" w:hAnsi="宋体" w:cs="宋体"/>
          <w:color w:val="auto"/>
          <w:sz w:val="24"/>
          <w:highlight w:val="none"/>
        </w:rPr>
      </w:pPr>
    </w:p>
    <w:p w14:paraId="6DB56A21">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投标代表签名：</w:t>
      </w:r>
      <w:r>
        <w:rPr>
          <w:rFonts w:hint="eastAsia" w:ascii="宋体" w:hAnsi="宋体" w:cs="宋体"/>
          <w:color w:val="auto"/>
          <w:sz w:val="24"/>
          <w:highlight w:val="none"/>
          <w:u w:val="single"/>
        </w:rPr>
        <w:t xml:space="preserve">             </w:t>
      </w:r>
    </w:p>
    <w:p w14:paraId="2E8F2E11">
      <w:pPr>
        <w:spacing w:line="480" w:lineRule="auto"/>
        <w:rPr>
          <w:rFonts w:hint="eastAsia" w:ascii="宋体" w:hAnsi="宋体" w:cs="宋体"/>
          <w:b/>
          <w:color w:val="auto"/>
          <w:sz w:val="24"/>
          <w:highlight w:val="none"/>
          <w:u w:val="single"/>
        </w:rPr>
        <w:sectPr>
          <w:pgSz w:w="11905" w:h="16838"/>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2E2AA49A">
      <w:pPr>
        <w:pStyle w:val="3"/>
        <w:pageBreakBefore/>
        <w:spacing w:before="0" w:after="0" w:line="440" w:lineRule="exact"/>
        <w:ind w:left="0" w:leftChars="0" w:firstLine="0" w:firstLineChars="0"/>
        <w:jc w:val="center"/>
        <w:rPr>
          <w:rFonts w:hint="eastAsia" w:ascii="宋体" w:hAnsi="宋体" w:cs="宋体"/>
          <w:color w:val="auto"/>
          <w:sz w:val="30"/>
          <w:szCs w:val="30"/>
          <w:highlight w:val="none"/>
        </w:rPr>
      </w:pPr>
      <w:bookmarkStart w:id="259" w:name="_Toc11256"/>
      <w:bookmarkStart w:id="260" w:name="_Toc9007"/>
      <w:r>
        <w:rPr>
          <w:rFonts w:hint="eastAsia" w:ascii="宋体" w:hAnsi="宋体" w:cs="宋体"/>
          <w:color w:val="auto"/>
          <w:sz w:val="30"/>
          <w:szCs w:val="30"/>
          <w:highlight w:val="none"/>
        </w:rPr>
        <w:t>服务方案</w:t>
      </w:r>
      <w:bookmarkEnd w:id="253"/>
      <w:bookmarkEnd w:id="254"/>
      <w:bookmarkEnd w:id="259"/>
      <w:bookmarkEnd w:id="260"/>
    </w:p>
    <w:p w14:paraId="2E0C113B">
      <w:pPr>
        <w:rPr>
          <w:rFonts w:hint="eastAsia" w:ascii="宋体" w:hAnsi="宋体" w:cs="宋体"/>
          <w:b/>
          <w:color w:val="auto"/>
          <w:sz w:val="24"/>
          <w:highlight w:val="none"/>
        </w:rPr>
      </w:pPr>
    </w:p>
    <w:p w14:paraId="64752856">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厦门市华沧采购招标有限公司：</w:t>
      </w:r>
    </w:p>
    <w:p w14:paraId="177E7F61">
      <w:pPr>
        <w:spacing w:line="360" w:lineRule="auto"/>
        <w:rPr>
          <w:rFonts w:hint="eastAsia" w:ascii="宋体" w:hAnsi="宋体" w:cs="宋体"/>
          <w:bCs/>
          <w:color w:val="auto"/>
          <w:sz w:val="24"/>
          <w:highlight w:val="none"/>
        </w:rPr>
      </w:pPr>
      <w:r>
        <w:rPr>
          <w:rFonts w:hint="eastAsia" w:ascii="宋体" w:hAnsi="宋体" w:cs="宋体"/>
          <w:b/>
          <w:bCs/>
          <w:color w:val="auto"/>
          <w:sz w:val="24"/>
          <w:highlight w:val="none"/>
        </w:rPr>
        <w:t xml:space="preserve">    </w:t>
      </w:r>
      <w:r>
        <w:rPr>
          <w:rFonts w:hint="eastAsia" w:ascii="宋体" w:hAnsi="宋体" w:cs="宋体"/>
          <w:color w:val="auto"/>
          <w:sz w:val="24"/>
          <w:highlight w:val="none"/>
        </w:rPr>
        <w:t>根据贵方</w:t>
      </w:r>
      <w:r>
        <w:rPr>
          <w:rFonts w:hint="eastAsia" w:ascii="宋体" w:hAnsi="宋体" w:cs="宋体"/>
          <w:color w:val="auto"/>
          <w:sz w:val="24"/>
          <w:highlight w:val="none"/>
          <w:u w:val="single"/>
        </w:rPr>
        <w:t xml:space="preserve">                       </w:t>
      </w:r>
      <w:r>
        <w:rPr>
          <w:rFonts w:hint="eastAsia" w:ascii="宋体" w:hAnsi="宋体" w:cs="宋体"/>
          <w:bCs/>
          <w:color w:val="auto"/>
          <w:sz w:val="24"/>
          <w:highlight w:val="none"/>
        </w:rPr>
        <w:t>项目在详细研究了本项目招标文件后，我司针对此项目</w:t>
      </w:r>
      <w:r>
        <w:rPr>
          <w:rFonts w:hint="eastAsia" w:ascii="宋体" w:hAnsi="宋体" w:cs="宋体"/>
          <w:color w:val="auto"/>
          <w:sz w:val="24"/>
          <w:highlight w:val="none"/>
        </w:rPr>
        <w:t>：</w:t>
      </w:r>
    </w:p>
    <w:p w14:paraId="28100AC5">
      <w:pPr>
        <w:spacing w:line="360" w:lineRule="auto"/>
        <w:rPr>
          <w:rFonts w:hint="eastAsia" w:ascii="宋体" w:hAnsi="宋体" w:cs="宋体"/>
          <w:color w:val="auto"/>
          <w:sz w:val="24"/>
          <w:highlight w:val="none"/>
        </w:rPr>
      </w:pPr>
    </w:p>
    <w:p w14:paraId="44AF6D20">
      <w:pPr>
        <w:spacing w:line="380" w:lineRule="exact"/>
        <w:jc w:val="center"/>
        <w:outlineLvl w:val="1"/>
        <w:rPr>
          <w:rFonts w:hint="eastAsia" w:ascii="宋体" w:hAnsi="宋体" w:cs="宋体"/>
          <w:b/>
          <w:color w:val="auto"/>
          <w:sz w:val="24"/>
          <w:highlight w:val="none"/>
        </w:rPr>
      </w:pPr>
    </w:p>
    <w:p w14:paraId="544851D8">
      <w:pPr>
        <w:spacing w:line="380" w:lineRule="exact"/>
        <w:jc w:val="center"/>
        <w:outlineLvl w:val="1"/>
        <w:rPr>
          <w:rFonts w:hint="eastAsia" w:ascii="宋体" w:hAnsi="宋体" w:cs="宋体"/>
          <w:b/>
          <w:color w:val="auto"/>
          <w:sz w:val="24"/>
          <w:highlight w:val="none"/>
        </w:rPr>
      </w:pPr>
    </w:p>
    <w:p w14:paraId="683AC0A3">
      <w:pPr>
        <w:spacing w:line="380" w:lineRule="exact"/>
        <w:jc w:val="center"/>
        <w:outlineLvl w:val="1"/>
        <w:rPr>
          <w:rFonts w:hint="eastAsia" w:ascii="宋体" w:hAnsi="宋体" w:cs="宋体"/>
          <w:b/>
          <w:color w:val="auto"/>
          <w:sz w:val="24"/>
          <w:highlight w:val="none"/>
        </w:rPr>
      </w:pPr>
      <w:bookmarkStart w:id="261" w:name="_Toc452639243"/>
      <w:bookmarkStart w:id="262" w:name="_Toc28368"/>
      <w:bookmarkStart w:id="263" w:name="_Toc460836007"/>
      <w:bookmarkStart w:id="264" w:name="_Toc30481"/>
      <w:bookmarkStart w:id="265" w:name="_Toc18922870"/>
      <w:bookmarkStart w:id="266" w:name="_Toc6938776"/>
      <w:bookmarkStart w:id="267" w:name="_Toc452629736"/>
      <w:bookmarkStart w:id="268" w:name="_Toc6958"/>
      <w:bookmarkStart w:id="269" w:name="_Toc112578626"/>
      <w:bookmarkStart w:id="270" w:name="_Toc7160"/>
      <w:bookmarkStart w:id="271" w:name="_Toc491674146"/>
      <w:bookmarkStart w:id="272" w:name="_Toc475981313"/>
      <w:bookmarkStart w:id="273" w:name="_Toc460835935"/>
      <w:bookmarkStart w:id="274" w:name="_Toc30730"/>
      <w:bookmarkStart w:id="275" w:name="_Toc10817"/>
      <w:bookmarkStart w:id="276" w:name="_Toc30338"/>
      <w:bookmarkStart w:id="277" w:name="_Toc452631774"/>
      <w:bookmarkStart w:id="278" w:name="_Toc475523090"/>
      <w:bookmarkStart w:id="279" w:name="_Toc452629608"/>
      <w:bookmarkStart w:id="280" w:name="_Toc4402"/>
      <w:bookmarkStart w:id="281" w:name="_Toc112578541"/>
      <w:bookmarkStart w:id="282" w:name="_Toc8157"/>
      <w:bookmarkStart w:id="283" w:name="_Toc8056102"/>
      <w:bookmarkStart w:id="284" w:name="_Toc480966697"/>
      <w:bookmarkStart w:id="285" w:name="_Toc21024"/>
      <w:bookmarkStart w:id="286" w:name="_Toc129969037"/>
      <w:bookmarkStart w:id="287" w:name="_Toc115790798"/>
      <w:bookmarkStart w:id="288" w:name="_Toc29311"/>
      <w:bookmarkStart w:id="289" w:name="_Toc86648415"/>
      <w:bookmarkStart w:id="290" w:name="_Toc14656"/>
      <w:r>
        <w:rPr>
          <w:rFonts w:hint="eastAsia" w:ascii="宋体" w:hAnsi="宋体" w:cs="宋体"/>
          <w:b/>
          <w:color w:val="auto"/>
          <w:sz w:val="24"/>
          <w:highlight w:val="none"/>
        </w:rPr>
        <w:t>（内容根据招标文件要求自拟）</w:t>
      </w:r>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p>
    <w:p w14:paraId="4819CAB2">
      <w:pPr>
        <w:spacing w:line="360" w:lineRule="auto"/>
        <w:rPr>
          <w:rFonts w:hint="eastAsia" w:ascii="宋体" w:hAnsi="宋体" w:cs="宋体"/>
          <w:color w:val="auto"/>
          <w:sz w:val="24"/>
          <w:highlight w:val="none"/>
        </w:rPr>
      </w:pPr>
    </w:p>
    <w:p w14:paraId="640548F1">
      <w:pPr>
        <w:spacing w:line="360" w:lineRule="auto"/>
        <w:rPr>
          <w:rFonts w:hint="eastAsia" w:ascii="宋体" w:hAnsi="宋体" w:cs="宋体"/>
          <w:color w:val="auto"/>
          <w:sz w:val="24"/>
          <w:highlight w:val="none"/>
        </w:rPr>
      </w:pPr>
    </w:p>
    <w:p w14:paraId="2C81EB64">
      <w:pPr>
        <w:spacing w:line="360" w:lineRule="auto"/>
        <w:rPr>
          <w:rFonts w:hint="eastAsia" w:ascii="宋体" w:hAnsi="宋体" w:cs="宋体"/>
          <w:color w:val="auto"/>
          <w:sz w:val="24"/>
          <w:highlight w:val="none"/>
        </w:rPr>
      </w:pPr>
    </w:p>
    <w:p w14:paraId="211F20E5">
      <w:pPr>
        <w:spacing w:line="360" w:lineRule="auto"/>
        <w:rPr>
          <w:rFonts w:hint="eastAsia" w:ascii="宋体" w:hAnsi="宋体" w:cs="宋体"/>
          <w:color w:val="auto"/>
          <w:sz w:val="24"/>
          <w:highlight w:val="none"/>
        </w:rPr>
      </w:pPr>
    </w:p>
    <w:p w14:paraId="7E7AF2EA">
      <w:pPr>
        <w:spacing w:line="360" w:lineRule="auto"/>
        <w:rPr>
          <w:rFonts w:hint="eastAsia" w:ascii="宋体" w:hAnsi="宋体" w:cs="宋体"/>
          <w:color w:val="auto"/>
          <w:sz w:val="24"/>
          <w:highlight w:val="none"/>
        </w:rPr>
      </w:pPr>
    </w:p>
    <w:p w14:paraId="56B1B403">
      <w:pPr>
        <w:spacing w:line="360" w:lineRule="auto"/>
        <w:rPr>
          <w:rFonts w:hint="eastAsia" w:ascii="宋体" w:hAnsi="宋体" w:cs="宋体"/>
          <w:color w:val="auto"/>
          <w:sz w:val="24"/>
          <w:highlight w:val="none"/>
        </w:rPr>
      </w:pPr>
    </w:p>
    <w:p w14:paraId="2471FE4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 标 人名称（全称并加盖公章）：</w:t>
      </w:r>
      <w:r>
        <w:rPr>
          <w:rFonts w:hint="eastAsia" w:ascii="宋体" w:hAnsi="宋体" w:cs="宋体"/>
          <w:color w:val="auto"/>
          <w:sz w:val="24"/>
          <w:highlight w:val="none"/>
          <w:u w:val="single"/>
        </w:rPr>
        <w:t xml:space="preserve">                 </w:t>
      </w:r>
    </w:p>
    <w:p w14:paraId="677D52EC">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3D40BC3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  期：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E8F14D2">
      <w:pPr>
        <w:pStyle w:val="3"/>
        <w:pageBreakBefore/>
        <w:spacing w:before="0" w:after="0" w:line="440" w:lineRule="exact"/>
        <w:rPr>
          <w:rFonts w:hint="eastAsia" w:ascii="宋体" w:hAnsi="宋体" w:cs="宋体"/>
          <w:color w:val="auto"/>
          <w:sz w:val="24"/>
          <w:szCs w:val="24"/>
          <w:highlight w:val="none"/>
        </w:rPr>
        <w:sectPr>
          <w:pgSz w:w="11905" w:h="16838"/>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bookmarkStart w:id="291" w:name="_Toc475981314"/>
      <w:bookmarkStart w:id="292" w:name="_Toc460836008"/>
      <w:bookmarkStart w:id="293" w:name="_Toc358390328"/>
    </w:p>
    <w:p w14:paraId="7112E5C3">
      <w:pPr>
        <w:pStyle w:val="3"/>
        <w:pageBreakBefore/>
        <w:spacing w:before="0" w:after="0" w:line="440" w:lineRule="exact"/>
        <w:ind w:left="0" w:leftChars="0" w:firstLine="0" w:firstLineChars="0"/>
        <w:jc w:val="center"/>
        <w:rPr>
          <w:rFonts w:hint="eastAsia" w:ascii="宋体" w:hAnsi="宋体" w:cs="宋体"/>
          <w:color w:val="auto"/>
          <w:sz w:val="30"/>
          <w:szCs w:val="30"/>
          <w:highlight w:val="none"/>
        </w:rPr>
      </w:pPr>
      <w:bookmarkStart w:id="294" w:name="_Toc4689"/>
      <w:bookmarkStart w:id="295" w:name="_Toc3924"/>
      <w:r>
        <w:rPr>
          <w:rFonts w:hint="eastAsia" w:ascii="宋体" w:hAnsi="宋体" w:eastAsia="宋体"/>
          <w:color w:val="auto"/>
          <w:sz w:val="28"/>
          <w:szCs w:val="28"/>
          <w:highlight w:val="none"/>
        </w:rPr>
        <w:t>技术服务</w:t>
      </w:r>
      <w:r>
        <w:rPr>
          <w:rFonts w:hint="eastAsia" w:ascii="宋体" w:hAnsi="宋体" w:eastAsia="宋体"/>
          <w:color w:val="auto"/>
          <w:sz w:val="28"/>
          <w:szCs w:val="28"/>
          <w:highlight w:val="none"/>
          <w:lang w:val="en-US" w:eastAsia="zh-CN"/>
        </w:rPr>
        <w:t>及</w:t>
      </w:r>
      <w:r>
        <w:rPr>
          <w:rFonts w:hint="eastAsia" w:ascii="宋体" w:hAnsi="宋体" w:cs="宋体"/>
          <w:color w:val="auto"/>
          <w:sz w:val="30"/>
          <w:szCs w:val="30"/>
          <w:highlight w:val="none"/>
        </w:rPr>
        <w:t>商务偏离表</w:t>
      </w:r>
      <w:bookmarkEnd w:id="291"/>
      <w:bookmarkEnd w:id="292"/>
      <w:bookmarkEnd w:id="293"/>
      <w:bookmarkEnd w:id="294"/>
      <w:bookmarkEnd w:id="295"/>
    </w:p>
    <w:p w14:paraId="7D13D44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投标人名称(全称并加盖公章)：                                       项目编号∶</w:t>
      </w:r>
      <w:r>
        <w:rPr>
          <w:rFonts w:hint="eastAsia" w:ascii="宋体" w:hAnsi="宋体" w:cs="宋体"/>
          <w:color w:val="auto"/>
          <w:sz w:val="24"/>
          <w:highlight w:val="none"/>
        </w:rPr>
        <w:tab/>
      </w:r>
      <w:r>
        <w:rPr>
          <w:rFonts w:hint="eastAsia" w:ascii="宋体" w:hAnsi="宋体" w:cs="宋体"/>
          <w:color w:val="auto"/>
          <w:sz w:val="24"/>
          <w:highlight w:val="none"/>
        </w:rPr>
        <w:t xml:space="preserve">            项目名称：</w:t>
      </w:r>
    </w:p>
    <w:tbl>
      <w:tblPr>
        <w:tblStyle w:val="51"/>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275"/>
        <w:gridCol w:w="7797"/>
        <w:gridCol w:w="1417"/>
        <w:gridCol w:w="1418"/>
        <w:gridCol w:w="1140"/>
      </w:tblGrid>
      <w:tr w14:paraId="258C1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065" w:type="dxa"/>
            <w:gridSpan w:val="3"/>
            <w:tcBorders>
              <w:top w:val="single" w:color="auto" w:sz="4" w:space="0"/>
              <w:left w:val="single" w:color="auto" w:sz="4" w:space="0"/>
              <w:bottom w:val="single" w:color="auto" w:sz="4" w:space="0"/>
              <w:right w:val="single" w:color="auto" w:sz="4" w:space="0"/>
            </w:tcBorders>
            <w:noWrap w:val="0"/>
            <w:vAlign w:val="center"/>
          </w:tcPr>
          <w:p w14:paraId="6F76FF6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招标要求</w:t>
            </w:r>
          </w:p>
        </w:tc>
        <w:tc>
          <w:tcPr>
            <w:tcW w:w="3975" w:type="dxa"/>
            <w:gridSpan w:val="3"/>
            <w:tcBorders>
              <w:top w:val="single" w:color="auto" w:sz="4" w:space="0"/>
              <w:left w:val="single" w:color="auto" w:sz="4" w:space="0"/>
              <w:bottom w:val="single" w:color="auto" w:sz="4" w:space="0"/>
              <w:right w:val="single" w:color="auto" w:sz="4" w:space="0"/>
            </w:tcBorders>
            <w:noWrap w:val="0"/>
            <w:vAlign w:val="center"/>
          </w:tcPr>
          <w:p w14:paraId="17D4BCB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投标响应</w:t>
            </w:r>
          </w:p>
        </w:tc>
      </w:tr>
      <w:tr w14:paraId="49AC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993" w:type="dxa"/>
            <w:tcBorders>
              <w:top w:val="single" w:color="auto" w:sz="4" w:space="0"/>
              <w:left w:val="single" w:color="auto" w:sz="4" w:space="0"/>
              <w:bottom w:val="single" w:color="auto" w:sz="4" w:space="0"/>
              <w:right w:val="single" w:color="auto" w:sz="4" w:space="0"/>
            </w:tcBorders>
            <w:noWrap w:val="0"/>
            <w:vAlign w:val="center"/>
          </w:tcPr>
          <w:p w14:paraId="6A6D782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条目号</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0CCB42F6">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品目名称</w:t>
            </w:r>
          </w:p>
        </w:tc>
        <w:tc>
          <w:tcPr>
            <w:tcW w:w="7797" w:type="dxa"/>
            <w:tcBorders>
              <w:top w:val="single" w:color="auto" w:sz="4" w:space="0"/>
              <w:left w:val="single" w:color="auto" w:sz="4" w:space="0"/>
              <w:bottom w:val="single" w:color="auto" w:sz="4" w:space="0"/>
              <w:right w:val="single" w:color="auto" w:sz="4" w:space="0"/>
            </w:tcBorders>
            <w:noWrap w:val="0"/>
            <w:vAlign w:val="center"/>
          </w:tcPr>
          <w:p w14:paraId="1CC2AF8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招标文件要求</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4E970BA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投标响应情况</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695FFC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投标响应对应的页码</w:t>
            </w:r>
          </w:p>
        </w:tc>
        <w:tc>
          <w:tcPr>
            <w:tcW w:w="1140" w:type="dxa"/>
            <w:tcBorders>
              <w:top w:val="single" w:color="auto" w:sz="4" w:space="0"/>
              <w:left w:val="single" w:color="auto" w:sz="4" w:space="0"/>
              <w:bottom w:val="single" w:color="auto" w:sz="4" w:space="0"/>
              <w:right w:val="single" w:color="auto" w:sz="4" w:space="0"/>
            </w:tcBorders>
            <w:noWrap w:val="0"/>
            <w:vAlign w:val="center"/>
          </w:tcPr>
          <w:p w14:paraId="7D55A55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偏离说明</w:t>
            </w:r>
          </w:p>
        </w:tc>
      </w:tr>
      <w:tr w14:paraId="00B8E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993" w:type="dxa"/>
            <w:tcBorders>
              <w:left w:val="single" w:color="auto" w:sz="4" w:space="0"/>
              <w:right w:val="single" w:color="auto" w:sz="4" w:space="0"/>
            </w:tcBorders>
            <w:noWrap w:val="0"/>
            <w:vAlign w:val="center"/>
          </w:tcPr>
          <w:p w14:paraId="18FF5083">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right w:val="single" w:color="auto" w:sz="4" w:space="0"/>
            </w:tcBorders>
            <w:noWrap w:val="0"/>
            <w:vAlign w:val="center"/>
          </w:tcPr>
          <w:p w14:paraId="6165A5CA">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4FD5A831">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551B4091">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14DF4A38">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7B4A09B8">
            <w:pPr>
              <w:spacing w:line="360" w:lineRule="auto"/>
              <w:rPr>
                <w:rFonts w:hint="eastAsia" w:ascii="宋体" w:hAnsi="宋体" w:cs="宋体"/>
                <w:color w:val="auto"/>
                <w:sz w:val="24"/>
                <w:highlight w:val="none"/>
              </w:rPr>
            </w:pPr>
          </w:p>
        </w:tc>
      </w:tr>
      <w:tr w14:paraId="0A891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93" w:type="dxa"/>
            <w:tcBorders>
              <w:left w:val="single" w:color="auto" w:sz="4" w:space="0"/>
              <w:right w:val="single" w:color="auto" w:sz="4" w:space="0"/>
            </w:tcBorders>
            <w:noWrap w:val="0"/>
            <w:vAlign w:val="center"/>
          </w:tcPr>
          <w:p w14:paraId="58BBBC09">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16BF09C8">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22D2A1DF">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4A9CC4D2">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32494CB">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2E2284AB">
            <w:pPr>
              <w:spacing w:line="360" w:lineRule="auto"/>
              <w:rPr>
                <w:rFonts w:hint="eastAsia" w:ascii="宋体" w:hAnsi="宋体" w:cs="宋体"/>
                <w:color w:val="auto"/>
                <w:sz w:val="24"/>
                <w:highlight w:val="none"/>
              </w:rPr>
            </w:pPr>
          </w:p>
        </w:tc>
      </w:tr>
      <w:tr w14:paraId="674CC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993" w:type="dxa"/>
            <w:tcBorders>
              <w:left w:val="single" w:color="auto" w:sz="4" w:space="0"/>
              <w:right w:val="single" w:color="auto" w:sz="4" w:space="0"/>
            </w:tcBorders>
            <w:noWrap w:val="0"/>
            <w:vAlign w:val="center"/>
          </w:tcPr>
          <w:p w14:paraId="0F8A9947">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1DC8E86B">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2939BB60">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21A5F0E6">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3DF5E45">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684484BC">
            <w:pPr>
              <w:spacing w:line="360" w:lineRule="auto"/>
              <w:rPr>
                <w:rFonts w:hint="eastAsia" w:ascii="宋体" w:hAnsi="宋体" w:cs="宋体"/>
                <w:color w:val="auto"/>
                <w:sz w:val="24"/>
                <w:highlight w:val="none"/>
              </w:rPr>
            </w:pPr>
          </w:p>
        </w:tc>
      </w:tr>
      <w:tr w14:paraId="423FE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993" w:type="dxa"/>
            <w:tcBorders>
              <w:left w:val="single" w:color="auto" w:sz="4" w:space="0"/>
              <w:right w:val="single" w:color="auto" w:sz="4" w:space="0"/>
            </w:tcBorders>
            <w:noWrap w:val="0"/>
            <w:vAlign w:val="center"/>
          </w:tcPr>
          <w:p w14:paraId="5F60FC7F">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A2EDF6A">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0760DE0B">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9EA3DBE">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45C3F21">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3C8C102A">
            <w:pPr>
              <w:spacing w:line="360" w:lineRule="auto"/>
              <w:rPr>
                <w:rFonts w:hint="eastAsia" w:ascii="宋体" w:hAnsi="宋体" w:cs="宋体"/>
                <w:color w:val="auto"/>
                <w:sz w:val="24"/>
                <w:highlight w:val="none"/>
              </w:rPr>
            </w:pPr>
          </w:p>
        </w:tc>
      </w:tr>
      <w:tr w14:paraId="05ABF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993" w:type="dxa"/>
            <w:tcBorders>
              <w:left w:val="single" w:color="auto" w:sz="4" w:space="0"/>
              <w:right w:val="single" w:color="auto" w:sz="4" w:space="0"/>
            </w:tcBorders>
            <w:noWrap w:val="0"/>
            <w:vAlign w:val="center"/>
          </w:tcPr>
          <w:p w14:paraId="72551F0A">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262855C">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71A0C8B4">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3F3038B">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8FF4B73">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087D8FCE">
            <w:pPr>
              <w:spacing w:line="360" w:lineRule="auto"/>
              <w:rPr>
                <w:rFonts w:hint="eastAsia" w:ascii="宋体" w:hAnsi="宋体" w:cs="宋体"/>
                <w:color w:val="auto"/>
                <w:sz w:val="24"/>
                <w:highlight w:val="none"/>
              </w:rPr>
            </w:pPr>
          </w:p>
        </w:tc>
      </w:tr>
      <w:tr w14:paraId="25B02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93" w:type="dxa"/>
            <w:tcBorders>
              <w:left w:val="single" w:color="auto" w:sz="4" w:space="0"/>
              <w:right w:val="single" w:color="auto" w:sz="4" w:space="0"/>
            </w:tcBorders>
            <w:noWrap w:val="0"/>
            <w:vAlign w:val="center"/>
          </w:tcPr>
          <w:p w14:paraId="4882F4D0">
            <w:pPr>
              <w:spacing w:line="360" w:lineRule="auto"/>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B777AEF">
            <w:pPr>
              <w:spacing w:line="360" w:lineRule="auto"/>
              <w:jc w:val="center"/>
              <w:rPr>
                <w:rFonts w:hint="eastAsia" w:ascii="宋体" w:hAnsi="宋体" w:cs="宋体"/>
                <w:color w:val="auto"/>
                <w:sz w:val="24"/>
                <w:highlight w:val="none"/>
              </w:rPr>
            </w:pPr>
          </w:p>
        </w:tc>
        <w:tc>
          <w:tcPr>
            <w:tcW w:w="7797" w:type="dxa"/>
            <w:tcBorders>
              <w:top w:val="single" w:color="auto" w:sz="4" w:space="0"/>
              <w:left w:val="single" w:color="auto" w:sz="4" w:space="0"/>
              <w:bottom w:val="single" w:color="auto" w:sz="4" w:space="0"/>
              <w:right w:val="single" w:color="auto" w:sz="4" w:space="0"/>
            </w:tcBorders>
            <w:noWrap w:val="0"/>
            <w:vAlign w:val="center"/>
          </w:tcPr>
          <w:p w14:paraId="73F7EDBE">
            <w:pPr>
              <w:spacing w:line="360" w:lineRule="auto"/>
              <w:rPr>
                <w:rFonts w:hint="eastAsia" w:ascii="宋体" w:hAnsi="宋体" w:cs="宋体"/>
                <w:color w:val="auto"/>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40A0DA50">
            <w:pPr>
              <w:spacing w:line="360" w:lineRule="auto"/>
              <w:rPr>
                <w:rFonts w:hint="eastAsia" w:ascii="宋体" w:hAnsi="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D0B4ED4">
            <w:pPr>
              <w:widowControl/>
              <w:spacing w:line="360" w:lineRule="auto"/>
              <w:jc w:val="center"/>
              <w:rPr>
                <w:rFonts w:hint="eastAsia" w:ascii="宋体" w:hAnsi="宋体" w:cs="宋体"/>
                <w:color w:val="auto"/>
                <w:kern w:val="0"/>
                <w:sz w:val="24"/>
                <w:highlight w:val="none"/>
              </w:rPr>
            </w:pPr>
          </w:p>
        </w:tc>
        <w:tc>
          <w:tcPr>
            <w:tcW w:w="1140" w:type="dxa"/>
            <w:tcBorders>
              <w:top w:val="single" w:color="auto" w:sz="4" w:space="0"/>
              <w:left w:val="single" w:color="auto" w:sz="4" w:space="0"/>
              <w:bottom w:val="single" w:color="auto" w:sz="4" w:space="0"/>
              <w:right w:val="single" w:color="auto" w:sz="4" w:space="0"/>
            </w:tcBorders>
            <w:noWrap w:val="0"/>
            <w:vAlign w:val="top"/>
          </w:tcPr>
          <w:p w14:paraId="76D2FAFD">
            <w:pPr>
              <w:spacing w:line="360" w:lineRule="auto"/>
              <w:rPr>
                <w:rFonts w:hint="eastAsia" w:ascii="宋体" w:hAnsi="宋体" w:cs="宋体"/>
                <w:color w:val="auto"/>
                <w:sz w:val="24"/>
                <w:highlight w:val="none"/>
              </w:rPr>
            </w:pPr>
          </w:p>
        </w:tc>
      </w:tr>
    </w:tbl>
    <w:p w14:paraId="3DA14B34">
      <w:pPr>
        <w:spacing w:line="380" w:lineRule="exact"/>
        <w:ind w:firstLine="488" w:firstLineChars="200"/>
        <w:rPr>
          <w:rFonts w:hint="eastAsia" w:ascii="宋体" w:hAnsi="宋体" w:cs="宋体"/>
          <w:color w:val="auto"/>
          <w:sz w:val="24"/>
          <w:highlight w:val="none"/>
        </w:rPr>
      </w:pPr>
      <w:r>
        <w:rPr>
          <w:rFonts w:hint="eastAsia" w:ascii="宋体" w:hAnsi="宋体" w:cs="宋体"/>
          <w:color w:val="auto"/>
          <w:sz w:val="24"/>
          <w:highlight w:val="none"/>
        </w:rPr>
        <w:t>注：1.本表仅作为投标人制作《商务偏离表》格式的参考，本表中的内容若与招标文件第一章至第三章所述内容不一致的，以招标文件第一章至第三章所述内容为准。</w:t>
      </w:r>
    </w:p>
    <w:p w14:paraId="25EF5B3F">
      <w:pPr>
        <w:spacing w:line="380" w:lineRule="exact"/>
        <w:ind w:firstLine="976" w:firstLineChars="400"/>
        <w:rPr>
          <w:rFonts w:hint="eastAsia" w:ascii="宋体" w:hAnsi="宋体" w:cs="宋体"/>
          <w:color w:val="auto"/>
          <w:sz w:val="24"/>
          <w:highlight w:val="none"/>
        </w:rPr>
      </w:pPr>
      <w:r>
        <w:rPr>
          <w:rFonts w:hint="eastAsia" w:ascii="宋体" w:hAnsi="宋体" w:cs="宋体"/>
          <w:color w:val="auto"/>
          <w:sz w:val="24"/>
          <w:highlight w:val="none"/>
        </w:rPr>
        <w:t>2.投标人根据招标要求逐条说明投标响应情况，否则将认为投标人接受招标文件的要求。投标人存在弄虚作假行为的，将依法承担相应的法律责任。</w:t>
      </w:r>
    </w:p>
    <w:p w14:paraId="4FDF9AC7">
      <w:pPr>
        <w:spacing w:line="380" w:lineRule="exact"/>
        <w:rPr>
          <w:rFonts w:hint="eastAsia" w:ascii="宋体" w:hAnsi="宋体" w:cs="宋体"/>
          <w:color w:val="auto"/>
          <w:sz w:val="24"/>
          <w:highlight w:val="none"/>
        </w:rPr>
      </w:pPr>
    </w:p>
    <w:p w14:paraId="6FD1E0F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投标人代表签字：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5228F24A">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1F442FB5">
      <w:pPr>
        <w:spacing w:line="360" w:lineRule="auto"/>
        <w:rPr>
          <w:rFonts w:hint="eastAsia" w:ascii="宋体" w:hAnsi="宋体" w:cs="宋体"/>
          <w:color w:val="auto"/>
          <w:sz w:val="24"/>
          <w:highlight w:val="none"/>
        </w:rPr>
        <w:sectPr>
          <w:pgSz w:w="16838" w:h="11905" w:orient="landscape"/>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p>
    <w:bookmarkEnd w:id="255"/>
    <w:bookmarkEnd w:id="256"/>
    <w:bookmarkEnd w:id="257"/>
    <w:bookmarkEnd w:id="258"/>
    <w:p w14:paraId="2C916366">
      <w:pPr>
        <w:pStyle w:val="145"/>
        <w:pageBreakBefore/>
        <w:spacing w:line="360" w:lineRule="auto"/>
        <w:jc w:val="center"/>
        <w:outlineLvl w:val="1"/>
        <w:rPr>
          <w:rFonts w:hint="eastAsia" w:ascii="宋体" w:hAnsi="宋体" w:eastAsia="宋体" w:cs="宋体"/>
          <w:b/>
          <w:color w:val="auto"/>
          <w:sz w:val="30"/>
          <w:szCs w:val="30"/>
          <w:highlight w:val="none"/>
        </w:rPr>
      </w:pPr>
      <w:bookmarkStart w:id="296" w:name="_Toc8056106"/>
      <w:bookmarkStart w:id="297" w:name="_Toc27440"/>
      <w:bookmarkStart w:id="298" w:name="_Toc13952"/>
      <w:r>
        <w:rPr>
          <w:rFonts w:hint="eastAsia" w:ascii="宋体" w:hAnsi="宋体" w:eastAsia="宋体" w:cs="宋体"/>
          <w:b/>
          <w:color w:val="auto"/>
          <w:sz w:val="30"/>
          <w:szCs w:val="30"/>
          <w:highlight w:val="none"/>
        </w:rPr>
        <w:t>拟投入本项目的人员配备一览表</w:t>
      </w:r>
      <w:bookmarkEnd w:id="296"/>
      <w:bookmarkEnd w:id="297"/>
      <w:bookmarkEnd w:id="298"/>
    </w:p>
    <w:p w14:paraId="09C7F460">
      <w:pPr>
        <w:spacing w:line="360" w:lineRule="auto"/>
        <w:ind w:firstLine="366" w:firstLineChars="150"/>
        <w:rPr>
          <w:rFonts w:hint="eastAsia" w:ascii="宋体" w:hAnsi="宋体" w:cs="宋体"/>
          <w:color w:val="auto"/>
          <w:sz w:val="24"/>
          <w:highlight w:val="none"/>
        </w:rPr>
      </w:pPr>
      <w:r>
        <w:rPr>
          <w:rFonts w:hint="eastAsia" w:ascii="宋体" w:hAnsi="宋体" w:cs="宋体"/>
          <w:color w:val="auto"/>
          <w:sz w:val="24"/>
          <w:highlight w:val="none"/>
        </w:rPr>
        <w:t xml:space="preserve">投标人名称（加盖公章）：          项目编号：        项目名称：           </w:t>
      </w:r>
    </w:p>
    <w:tbl>
      <w:tblPr>
        <w:tblStyle w:val="5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761"/>
        <w:gridCol w:w="1009"/>
        <w:gridCol w:w="951"/>
        <w:gridCol w:w="1101"/>
        <w:gridCol w:w="933"/>
        <w:gridCol w:w="2315"/>
        <w:gridCol w:w="1106"/>
      </w:tblGrid>
      <w:tr w14:paraId="76C13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249B8C40">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72B21C90">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姓名</w:t>
            </w:r>
          </w:p>
        </w:tc>
        <w:tc>
          <w:tcPr>
            <w:tcW w:w="1009" w:type="dxa"/>
            <w:tcBorders>
              <w:top w:val="single" w:color="auto" w:sz="4" w:space="0"/>
              <w:left w:val="single" w:color="auto" w:sz="4" w:space="0"/>
              <w:bottom w:val="single" w:color="auto" w:sz="4" w:space="0"/>
              <w:right w:val="single" w:color="auto" w:sz="4" w:space="0"/>
            </w:tcBorders>
            <w:noWrap w:val="0"/>
            <w:vAlign w:val="center"/>
          </w:tcPr>
          <w:p w14:paraId="733AA043">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岗位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2A42483B">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职务</w:t>
            </w:r>
          </w:p>
        </w:tc>
        <w:tc>
          <w:tcPr>
            <w:tcW w:w="1101" w:type="dxa"/>
            <w:tcBorders>
              <w:top w:val="single" w:color="auto" w:sz="4" w:space="0"/>
              <w:left w:val="single" w:color="auto" w:sz="4" w:space="0"/>
              <w:bottom w:val="single" w:color="auto" w:sz="4" w:space="0"/>
              <w:right w:val="single" w:color="auto" w:sz="4" w:space="0"/>
            </w:tcBorders>
            <w:noWrap w:val="0"/>
            <w:vAlign w:val="center"/>
          </w:tcPr>
          <w:p w14:paraId="3F9DB801">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证书</w:t>
            </w:r>
          </w:p>
        </w:tc>
        <w:tc>
          <w:tcPr>
            <w:tcW w:w="933" w:type="dxa"/>
            <w:tcBorders>
              <w:top w:val="single" w:color="auto" w:sz="4" w:space="0"/>
              <w:left w:val="single" w:color="auto" w:sz="4" w:space="0"/>
              <w:bottom w:val="single" w:color="auto" w:sz="4" w:space="0"/>
              <w:right w:val="single" w:color="auto" w:sz="4" w:space="0"/>
            </w:tcBorders>
            <w:noWrap w:val="0"/>
            <w:vAlign w:val="center"/>
          </w:tcPr>
          <w:p w14:paraId="434E12B5">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年龄</w:t>
            </w:r>
          </w:p>
        </w:tc>
        <w:tc>
          <w:tcPr>
            <w:tcW w:w="2315" w:type="dxa"/>
            <w:tcBorders>
              <w:top w:val="single" w:color="auto" w:sz="4" w:space="0"/>
              <w:left w:val="single" w:color="auto" w:sz="4" w:space="0"/>
              <w:bottom w:val="single" w:color="auto" w:sz="4" w:space="0"/>
              <w:right w:val="single" w:color="auto" w:sz="4" w:space="0"/>
            </w:tcBorders>
            <w:noWrap w:val="0"/>
            <w:vAlign w:val="center"/>
          </w:tcPr>
          <w:p w14:paraId="17CBA1FE">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工作经验</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7ED28F6">
            <w:pPr>
              <w:spacing w:line="500" w:lineRule="exact"/>
              <w:ind w:left="-107" w:leftChars="-50" w:right="-107" w:rightChars="-50"/>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26CF7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26C04B93">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0A62EF68">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2BBDDF25">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43BF8638">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4D0C61A2">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37895146">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21C0F2EF">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0D944958">
            <w:pPr>
              <w:spacing w:line="500" w:lineRule="exact"/>
              <w:ind w:left="-107" w:leftChars="-50" w:right="-107" w:rightChars="-50"/>
              <w:jc w:val="center"/>
              <w:rPr>
                <w:rFonts w:hint="eastAsia" w:ascii="宋体" w:hAnsi="宋体" w:cs="宋体"/>
                <w:color w:val="auto"/>
                <w:sz w:val="24"/>
                <w:highlight w:val="none"/>
              </w:rPr>
            </w:pPr>
          </w:p>
        </w:tc>
      </w:tr>
      <w:tr w14:paraId="086AC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66F95621">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71100167">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1F0DA15F">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114CDD57">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41A74650">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0418F8FC">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7450B4B0">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7073010">
            <w:pPr>
              <w:spacing w:line="500" w:lineRule="exact"/>
              <w:ind w:left="-107" w:leftChars="-50" w:right="-107" w:rightChars="-50"/>
              <w:jc w:val="center"/>
              <w:rPr>
                <w:rFonts w:hint="eastAsia" w:ascii="宋体" w:hAnsi="宋体" w:cs="宋体"/>
                <w:color w:val="auto"/>
                <w:sz w:val="24"/>
                <w:highlight w:val="none"/>
              </w:rPr>
            </w:pPr>
          </w:p>
        </w:tc>
      </w:tr>
      <w:tr w14:paraId="4E6B2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02AADAE0">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7595EFB8">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31D655F1">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384E3026">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038F649C">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5F653F1B">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61EF17A9">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B7C377A">
            <w:pPr>
              <w:spacing w:line="500" w:lineRule="exact"/>
              <w:ind w:left="-107" w:leftChars="-50" w:right="-107" w:rightChars="-50"/>
              <w:jc w:val="center"/>
              <w:rPr>
                <w:rFonts w:hint="eastAsia" w:ascii="宋体" w:hAnsi="宋体" w:cs="宋体"/>
                <w:color w:val="auto"/>
                <w:sz w:val="24"/>
                <w:highlight w:val="none"/>
              </w:rPr>
            </w:pPr>
          </w:p>
        </w:tc>
      </w:tr>
      <w:tr w14:paraId="69791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7C3AAF4E">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10192320">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1F03A659">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3C595108">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6238437F">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63229684">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5017AC80">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34DAA2AC">
            <w:pPr>
              <w:spacing w:line="500" w:lineRule="exact"/>
              <w:ind w:left="-107" w:leftChars="-50" w:right="-107" w:rightChars="-50"/>
              <w:jc w:val="center"/>
              <w:rPr>
                <w:rFonts w:hint="eastAsia" w:ascii="宋体" w:hAnsi="宋体" w:cs="宋体"/>
                <w:color w:val="auto"/>
                <w:sz w:val="24"/>
                <w:highlight w:val="none"/>
              </w:rPr>
            </w:pPr>
          </w:p>
        </w:tc>
      </w:tr>
      <w:tr w14:paraId="43FEA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E091519">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2A652F3B">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6590EBE1">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21D61945">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09E095FC">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3B640DAF">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1B7C6060">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E388686">
            <w:pPr>
              <w:spacing w:line="500" w:lineRule="exact"/>
              <w:ind w:left="-107" w:leftChars="-50" w:right="-107" w:rightChars="-50"/>
              <w:jc w:val="center"/>
              <w:rPr>
                <w:rFonts w:hint="eastAsia" w:ascii="宋体" w:hAnsi="宋体" w:cs="宋体"/>
                <w:color w:val="auto"/>
                <w:sz w:val="24"/>
                <w:highlight w:val="none"/>
              </w:rPr>
            </w:pPr>
          </w:p>
        </w:tc>
      </w:tr>
      <w:tr w14:paraId="72027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755"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198B9A3F">
            <w:pPr>
              <w:spacing w:line="500" w:lineRule="exact"/>
              <w:ind w:left="-107" w:leftChars="-50" w:right="-107" w:rightChars="-50"/>
              <w:jc w:val="center"/>
              <w:rPr>
                <w:rFonts w:hint="eastAsia" w:ascii="宋体" w:hAnsi="宋体" w:cs="宋体"/>
                <w:color w:val="auto"/>
                <w:sz w:val="24"/>
                <w:highlight w:val="none"/>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21EE48F8">
            <w:pPr>
              <w:spacing w:line="500" w:lineRule="exact"/>
              <w:ind w:left="-107" w:leftChars="-50" w:right="-107" w:rightChars="-50"/>
              <w:jc w:val="center"/>
              <w:rPr>
                <w:rFonts w:hint="eastAsia" w:ascii="宋体" w:hAnsi="宋体" w:cs="宋体"/>
                <w:color w:val="auto"/>
                <w:sz w:val="24"/>
                <w:highlight w:val="none"/>
              </w:rPr>
            </w:pPr>
          </w:p>
        </w:tc>
        <w:tc>
          <w:tcPr>
            <w:tcW w:w="1009" w:type="dxa"/>
            <w:tcBorders>
              <w:top w:val="single" w:color="auto" w:sz="4" w:space="0"/>
              <w:left w:val="single" w:color="auto" w:sz="4" w:space="0"/>
              <w:bottom w:val="single" w:color="auto" w:sz="4" w:space="0"/>
              <w:right w:val="single" w:color="auto" w:sz="4" w:space="0"/>
            </w:tcBorders>
            <w:noWrap w:val="0"/>
            <w:vAlign w:val="center"/>
          </w:tcPr>
          <w:p w14:paraId="1C5E0273">
            <w:pPr>
              <w:spacing w:line="500" w:lineRule="exact"/>
              <w:ind w:left="-107" w:leftChars="-50" w:right="-107" w:rightChars="-50"/>
              <w:jc w:val="center"/>
              <w:rPr>
                <w:rFonts w:hint="eastAsia" w:ascii="宋体" w:hAnsi="宋体" w:cs="宋体"/>
                <w:color w:val="auto"/>
                <w:sz w:val="24"/>
                <w:highlight w:val="none"/>
              </w:rPr>
            </w:pPr>
          </w:p>
        </w:tc>
        <w:tc>
          <w:tcPr>
            <w:tcW w:w="951" w:type="dxa"/>
            <w:tcBorders>
              <w:top w:val="single" w:color="auto" w:sz="4" w:space="0"/>
              <w:left w:val="single" w:color="auto" w:sz="4" w:space="0"/>
              <w:bottom w:val="single" w:color="auto" w:sz="4" w:space="0"/>
              <w:right w:val="single" w:color="auto" w:sz="4" w:space="0"/>
            </w:tcBorders>
            <w:noWrap w:val="0"/>
            <w:vAlign w:val="center"/>
          </w:tcPr>
          <w:p w14:paraId="1B9610DC">
            <w:pPr>
              <w:spacing w:line="500" w:lineRule="exact"/>
              <w:ind w:left="-107" w:leftChars="-50" w:right="-107" w:rightChars="-50"/>
              <w:jc w:val="center"/>
              <w:rPr>
                <w:rFonts w:hint="eastAsia" w:ascii="宋体" w:hAnsi="宋体" w:cs="宋体"/>
                <w:color w:val="auto"/>
                <w:sz w:val="24"/>
                <w:highlight w:val="none"/>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14:paraId="623202F7">
            <w:pPr>
              <w:spacing w:line="500" w:lineRule="exact"/>
              <w:ind w:left="-107" w:leftChars="-50" w:right="-107" w:rightChars="-50"/>
              <w:jc w:val="center"/>
              <w:rPr>
                <w:rFonts w:hint="eastAsia" w:ascii="宋体" w:hAnsi="宋体" w:cs="宋体"/>
                <w:color w:val="auto"/>
                <w:sz w:val="24"/>
                <w:highlight w:val="none"/>
              </w:rPr>
            </w:pPr>
          </w:p>
        </w:tc>
        <w:tc>
          <w:tcPr>
            <w:tcW w:w="933" w:type="dxa"/>
            <w:tcBorders>
              <w:top w:val="single" w:color="auto" w:sz="4" w:space="0"/>
              <w:left w:val="single" w:color="auto" w:sz="4" w:space="0"/>
              <w:bottom w:val="single" w:color="auto" w:sz="4" w:space="0"/>
              <w:right w:val="single" w:color="auto" w:sz="4" w:space="0"/>
            </w:tcBorders>
            <w:noWrap w:val="0"/>
            <w:vAlign w:val="center"/>
          </w:tcPr>
          <w:p w14:paraId="265C80DD">
            <w:pPr>
              <w:spacing w:line="500" w:lineRule="exact"/>
              <w:ind w:left="-107" w:leftChars="-50" w:right="-107" w:rightChars="-50"/>
              <w:jc w:val="center"/>
              <w:rPr>
                <w:rFonts w:hint="eastAsia" w:ascii="宋体" w:hAnsi="宋体" w:cs="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noWrap w:val="0"/>
            <w:vAlign w:val="center"/>
          </w:tcPr>
          <w:p w14:paraId="068A18F1">
            <w:pPr>
              <w:spacing w:line="500" w:lineRule="exact"/>
              <w:ind w:left="-107" w:leftChars="-50" w:right="-107" w:rightChars="-50"/>
              <w:jc w:val="center"/>
              <w:rPr>
                <w:rFonts w:hint="eastAsia" w:ascii="宋体" w:hAnsi="宋体" w:cs="宋体"/>
                <w:color w:val="auto"/>
                <w:sz w:val="24"/>
                <w:highlight w:val="none"/>
              </w:rPr>
            </w:pP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52E6DB0">
            <w:pPr>
              <w:spacing w:line="500" w:lineRule="exact"/>
              <w:ind w:left="-107" w:leftChars="-50" w:right="-107" w:rightChars="-50"/>
              <w:jc w:val="center"/>
              <w:rPr>
                <w:rFonts w:hint="eastAsia" w:ascii="宋体" w:hAnsi="宋体" w:cs="宋体"/>
                <w:color w:val="auto"/>
                <w:sz w:val="24"/>
                <w:highlight w:val="none"/>
              </w:rPr>
            </w:pPr>
          </w:p>
        </w:tc>
      </w:tr>
    </w:tbl>
    <w:p w14:paraId="2CFAF07F">
      <w:pPr>
        <w:spacing w:line="500" w:lineRule="exact"/>
        <w:rPr>
          <w:rFonts w:hint="eastAsia" w:ascii="宋体" w:hAnsi="宋体" w:cs="宋体"/>
          <w:color w:val="auto"/>
          <w:sz w:val="24"/>
          <w:highlight w:val="none"/>
        </w:rPr>
      </w:pPr>
      <w:r>
        <w:rPr>
          <w:rFonts w:hint="eastAsia" w:ascii="宋体" w:hAnsi="宋体" w:cs="宋体"/>
          <w:color w:val="auto"/>
          <w:sz w:val="24"/>
          <w:highlight w:val="none"/>
        </w:rPr>
        <w:t>注：本页填写不完可自行增页。</w:t>
      </w:r>
    </w:p>
    <w:p w14:paraId="0A45A1FA">
      <w:pPr>
        <w:spacing w:line="360" w:lineRule="auto"/>
        <w:ind w:firstLine="732" w:firstLineChars="300"/>
        <w:rPr>
          <w:rFonts w:hint="eastAsia" w:ascii="宋体" w:hAnsi="宋体" w:cs="宋体"/>
          <w:color w:val="auto"/>
          <w:sz w:val="24"/>
          <w:highlight w:val="none"/>
        </w:rPr>
      </w:pPr>
    </w:p>
    <w:p w14:paraId="6CA3AE8A">
      <w:pPr>
        <w:spacing w:line="360" w:lineRule="auto"/>
        <w:rPr>
          <w:rFonts w:hint="eastAsia" w:ascii="宋体" w:hAnsi="宋体" w:cs="宋体"/>
          <w:color w:val="auto"/>
          <w:sz w:val="24"/>
          <w:highlight w:val="none"/>
        </w:rPr>
      </w:pPr>
    </w:p>
    <w:p w14:paraId="75EE8458">
      <w:pPr>
        <w:spacing w:line="360" w:lineRule="auto"/>
        <w:rPr>
          <w:rFonts w:hint="eastAsia" w:ascii="宋体" w:hAnsi="宋体" w:cs="宋体"/>
          <w:color w:val="auto"/>
          <w:sz w:val="24"/>
          <w:highlight w:val="none"/>
        </w:rPr>
      </w:pPr>
    </w:p>
    <w:p w14:paraId="300564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投标人全称(加盖公章)：</w:t>
      </w:r>
      <w:r>
        <w:rPr>
          <w:rFonts w:hint="eastAsia" w:ascii="宋体" w:hAnsi="宋体" w:cs="宋体"/>
          <w:color w:val="auto"/>
          <w:sz w:val="24"/>
          <w:highlight w:val="none"/>
          <w:u w:val="single"/>
        </w:rPr>
        <w:t xml:space="preserve">               </w:t>
      </w:r>
    </w:p>
    <w:p w14:paraId="5DF4F73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7309781E">
      <w:pPr>
        <w:pStyle w:val="46"/>
        <w:spacing w:before="0" w:beforeAutospacing="0" w:after="0" w:afterAutospacing="0" w:line="360" w:lineRule="auto"/>
        <w:ind w:right="-32" w:rightChars="-15"/>
        <w:jc w:val="both"/>
        <w:rPr>
          <w:rFonts w:hint="eastAsia" w:ascii="宋体" w:hAnsi="宋体" w:eastAsia="宋体" w:cs="宋体"/>
          <w:b/>
          <w:color w:val="auto"/>
          <w:highlight w:val="none"/>
        </w:rPr>
        <w:sectPr>
          <w:pgSz w:w="11905" w:h="16838"/>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年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03E34D36">
      <w:pPr>
        <w:pStyle w:val="145"/>
        <w:pageBreakBefore/>
        <w:spacing w:line="360" w:lineRule="auto"/>
        <w:jc w:val="center"/>
        <w:outlineLvl w:val="1"/>
        <w:rPr>
          <w:rFonts w:hint="eastAsia" w:ascii="宋体" w:hAnsi="宋体" w:eastAsia="宋体" w:cs="宋体"/>
          <w:b/>
          <w:color w:val="auto"/>
          <w:sz w:val="30"/>
          <w:szCs w:val="30"/>
          <w:highlight w:val="none"/>
        </w:rPr>
      </w:pPr>
      <w:bookmarkStart w:id="299" w:name="_Toc11779"/>
      <w:bookmarkStart w:id="300" w:name="_Toc16383"/>
      <w:bookmarkStart w:id="301" w:name="_Toc185762841"/>
      <w:r>
        <w:rPr>
          <w:rFonts w:hint="eastAsia" w:ascii="宋体" w:hAnsi="宋体" w:eastAsia="宋体" w:cs="宋体"/>
          <w:b/>
          <w:color w:val="auto"/>
          <w:sz w:val="30"/>
          <w:szCs w:val="30"/>
          <w:highlight w:val="none"/>
        </w:rPr>
        <w:t>拟投入本项目的设备情况表</w:t>
      </w:r>
      <w:bookmarkEnd w:id="299"/>
      <w:bookmarkEnd w:id="300"/>
    </w:p>
    <w:p w14:paraId="7C4A9144">
      <w:pPr>
        <w:spacing w:line="360" w:lineRule="auto"/>
        <w:ind w:firstLine="366" w:firstLineChars="150"/>
        <w:rPr>
          <w:rFonts w:hint="eastAsia" w:ascii="宋体" w:hAnsi="宋体" w:cs="宋体"/>
          <w:color w:val="auto"/>
          <w:sz w:val="24"/>
          <w:highlight w:val="none"/>
        </w:rPr>
      </w:pPr>
      <w:r>
        <w:rPr>
          <w:rFonts w:hint="eastAsia" w:ascii="宋体" w:hAnsi="宋体" w:cs="宋体"/>
          <w:color w:val="auto"/>
          <w:sz w:val="24"/>
          <w:highlight w:val="none"/>
        </w:rPr>
        <w:t xml:space="preserve">投标人名称（加盖公章）：          项目编号：        项目名称：   </w:t>
      </w:r>
    </w:p>
    <w:tbl>
      <w:tblPr>
        <w:tblStyle w:val="5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842"/>
        <w:gridCol w:w="993"/>
        <w:gridCol w:w="1275"/>
        <w:gridCol w:w="993"/>
        <w:gridCol w:w="2098"/>
      </w:tblGrid>
      <w:tr w14:paraId="42207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9389944">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842" w:type="dxa"/>
            <w:tcBorders>
              <w:top w:val="single" w:color="auto" w:sz="4" w:space="0"/>
              <w:left w:val="single" w:color="auto" w:sz="4" w:space="0"/>
              <w:bottom w:val="single" w:color="auto" w:sz="4" w:space="0"/>
              <w:right w:val="single" w:color="auto" w:sz="4" w:space="0"/>
            </w:tcBorders>
            <w:noWrap w:val="0"/>
            <w:vAlign w:val="center"/>
          </w:tcPr>
          <w:p w14:paraId="0A85E3CC">
            <w:pPr>
              <w:jc w:val="center"/>
              <w:rPr>
                <w:rFonts w:hint="eastAsia" w:ascii="宋体" w:hAnsi="宋体" w:cs="宋体"/>
                <w:color w:val="auto"/>
                <w:sz w:val="24"/>
                <w:highlight w:val="none"/>
              </w:rPr>
            </w:pPr>
            <w:r>
              <w:rPr>
                <w:rFonts w:hint="eastAsia" w:ascii="宋体" w:hAnsi="宋体" w:cs="宋体"/>
                <w:color w:val="auto"/>
                <w:sz w:val="24"/>
                <w:highlight w:val="none"/>
              </w:rPr>
              <w:t>设备名称</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0814D133">
            <w:pPr>
              <w:jc w:val="center"/>
              <w:rPr>
                <w:rFonts w:hint="eastAsia" w:ascii="宋体" w:hAnsi="宋体" w:cs="宋体"/>
                <w:color w:val="auto"/>
                <w:sz w:val="24"/>
                <w:highlight w:val="none"/>
              </w:rPr>
            </w:pPr>
            <w:r>
              <w:rPr>
                <w:rFonts w:hint="eastAsia" w:ascii="宋体" w:hAnsi="宋体" w:cs="宋体"/>
                <w:color w:val="auto"/>
                <w:sz w:val="24"/>
                <w:highlight w:val="none"/>
              </w:rPr>
              <w:t>产地</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1E7C3EE">
            <w:pPr>
              <w:jc w:val="center"/>
              <w:rPr>
                <w:rFonts w:hint="eastAsia" w:ascii="宋体" w:hAnsi="宋体" w:cs="宋体"/>
                <w:color w:val="auto"/>
                <w:sz w:val="24"/>
                <w:highlight w:val="none"/>
              </w:rPr>
            </w:pPr>
            <w:r>
              <w:rPr>
                <w:rFonts w:hint="eastAsia" w:ascii="宋体" w:hAnsi="宋体" w:cs="宋体"/>
                <w:color w:val="auto"/>
                <w:sz w:val="24"/>
                <w:highlight w:val="none"/>
              </w:rPr>
              <w:t>规格型号</w:t>
            </w:r>
          </w:p>
        </w:tc>
        <w:tc>
          <w:tcPr>
            <w:tcW w:w="993" w:type="dxa"/>
            <w:tcBorders>
              <w:top w:val="single" w:color="auto" w:sz="4" w:space="0"/>
              <w:left w:val="single" w:color="auto" w:sz="4" w:space="0"/>
              <w:bottom w:val="single" w:color="auto" w:sz="4" w:space="0"/>
              <w:right w:val="single" w:color="auto" w:sz="4" w:space="0"/>
            </w:tcBorders>
            <w:noWrap w:val="0"/>
            <w:vAlign w:val="center"/>
          </w:tcPr>
          <w:p w14:paraId="7F85F4B6">
            <w:pPr>
              <w:jc w:val="center"/>
              <w:rPr>
                <w:rFonts w:hint="eastAsia" w:ascii="宋体" w:hAnsi="宋体" w:cs="宋体"/>
                <w:color w:val="auto"/>
                <w:sz w:val="24"/>
                <w:highlight w:val="none"/>
              </w:rPr>
            </w:pPr>
            <w:r>
              <w:rPr>
                <w:rFonts w:hint="eastAsia" w:ascii="宋体" w:hAnsi="宋体" w:cs="宋体"/>
                <w:color w:val="auto"/>
                <w:sz w:val="24"/>
                <w:highlight w:val="none"/>
              </w:rPr>
              <w:t>数量</w:t>
            </w:r>
          </w:p>
        </w:tc>
        <w:tc>
          <w:tcPr>
            <w:tcW w:w="2098" w:type="dxa"/>
            <w:tcBorders>
              <w:top w:val="single" w:color="auto" w:sz="4" w:space="0"/>
              <w:left w:val="single" w:color="auto" w:sz="4" w:space="0"/>
              <w:bottom w:val="single" w:color="auto" w:sz="4" w:space="0"/>
              <w:right w:val="single" w:color="auto" w:sz="4" w:space="0"/>
            </w:tcBorders>
            <w:noWrap w:val="0"/>
            <w:vAlign w:val="center"/>
          </w:tcPr>
          <w:p w14:paraId="1D7F6BB0">
            <w:pPr>
              <w:jc w:val="center"/>
              <w:rPr>
                <w:rFonts w:hint="eastAsia" w:ascii="宋体" w:hAnsi="宋体" w:cs="宋体"/>
                <w:color w:val="auto"/>
                <w:sz w:val="24"/>
                <w:highlight w:val="none"/>
              </w:rPr>
            </w:pPr>
            <w:r>
              <w:rPr>
                <w:rFonts w:hint="eastAsia" w:ascii="宋体" w:hAnsi="宋体" w:cs="宋体"/>
                <w:color w:val="auto"/>
                <w:sz w:val="24"/>
                <w:highlight w:val="none"/>
              </w:rPr>
              <w:t>用途</w:t>
            </w:r>
          </w:p>
        </w:tc>
      </w:tr>
      <w:tr w14:paraId="62D9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19C077D">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35BBE6B6">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284FA2C3">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052CB2D">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0833BA22">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39C14B52">
            <w:pPr>
              <w:spacing w:line="500" w:lineRule="exact"/>
              <w:ind w:left="-107" w:leftChars="-50" w:right="-107" w:rightChars="-50"/>
              <w:jc w:val="center"/>
              <w:rPr>
                <w:rFonts w:hint="eastAsia" w:ascii="宋体" w:hAnsi="宋体" w:cs="宋体"/>
                <w:color w:val="auto"/>
                <w:sz w:val="24"/>
                <w:highlight w:val="none"/>
              </w:rPr>
            </w:pPr>
          </w:p>
        </w:tc>
      </w:tr>
      <w:tr w14:paraId="0C565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4B5B902D">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471DB6D0">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26BF4437">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1765D718">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257D1E0E">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79F4B86F">
            <w:pPr>
              <w:spacing w:line="500" w:lineRule="exact"/>
              <w:ind w:left="-107" w:leftChars="-50" w:right="-107" w:rightChars="-50"/>
              <w:jc w:val="center"/>
              <w:rPr>
                <w:rFonts w:hint="eastAsia" w:ascii="宋体" w:hAnsi="宋体" w:cs="宋体"/>
                <w:color w:val="auto"/>
                <w:sz w:val="24"/>
                <w:highlight w:val="none"/>
              </w:rPr>
            </w:pPr>
          </w:p>
        </w:tc>
      </w:tr>
      <w:tr w14:paraId="6256D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B0FF421">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6B15E73C">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1C991018">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4A24065B">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5A38E95A">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3E7829C6">
            <w:pPr>
              <w:spacing w:line="500" w:lineRule="exact"/>
              <w:ind w:left="-107" w:leftChars="-50" w:right="-107" w:rightChars="-50"/>
              <w:jc w:val="center"/>
              <w:rPr>
                <w:rFonts w:hint="eastAsia" w:ascii="宋体" w:hAnsi="宋体" w:cs="宋体"/>
                <w:color w:val="auto"/>
                <w:sz w:val="24"/>
                <w:highlight w:val="none"/>
              </w:rPr>
            </w:pPr>
          </w:p>
        </w:tc>
      </w:tr>
      <w:tr w14:paraId="06132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75684F65">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36170B76">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216CE91C">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17DB5046">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46773BD2">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074EF213">
            <w:pPr>
              <w:spacing w:line="500" w:lineRule="exact"/>
              <w:ind w:left="-107" w:leftChars="-50" w:right="-107" w:rightChars="-50"/>
              <w:jc w:val="center"/>
              <w:rPr>
                <w:rFonts w:hint="eastAsia" w:ascii="宋体" w:hAnsi="宋体" w:cs="宋体"/>
                <w:color w:val="auto"/>
                <w:sz w:val="24"/>
                <w:highlight w:val="none"/>
              </w:rPr>
            </w:pPr>
          </w:p>
        </w:tc>
      </w:tr>
      <w:tr w14:paraId="00ACF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2994923">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138AFDEE">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2A36A354">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51A20132">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3A95F6A3">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2EE453EE">
            <w:pPr>
              <w:spacing w:line="500" w:lineRule="exact"/>
              <w:ind w:left="-107" w:leftChars="-50" w:right="-107" w:rightChars="-50"/>
              <w:jc w:val="center"/>
              <w:rPr>
                <w:rFonts w:hint="eastAsia" w:ascii="宋体" w:hAnsi="宋体" w:cs="宋体"/>
                <w:color w:val="auto"/>
                <w:sz w:val="24"/>
                <w:highlight w:val="none"/>
              </w:rPr>
            </w:pPr>
          </w:p>
        </w:tc>
      </w:tr>
      <w:tr w14:paraId="1CAEB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92"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10E6C432">
            <w:pPr>
              <w:spacing w:line="500" w:lineRule="exact"/>
              <w:ind w:left="-107" w:leftChars="-50" w:right="-107" w:rightChars="-50"/>
              <w:jc w:val="center"/>
              <w:rPr>
                <w:rFonts w:hint="eastAsia" w:ascii="宋体" w:hAnsi="宋体" w:cs="宋体"/>
                <w:color w:val="auto"/>
                <w:sz w:val="24"/>
                <w:highlight w:val="none"/>
              </w:rPr>
            </w:pPr>
          </w:p>
        </w:tc>
        <w:tc>
          <w:tcPr>
            <w:tcW w:w="1842" w:type="dxa"/>
            <w:tcBorders>
              <w:top w:val="single" w:color="auto" w:sz="4" w:space="0"/>
              <w:left w:val="single" w:color="auto" w:sz="4" w:space="0"/>
              <w:bottom w:val="single" w:color="auto" w:sz="4" w:space="0"/>
              <w:right w:val="single" w:color="auto" w:sz="4" w:space="0"/>
            </w:tcBorders>
            <w:noWrap w:val="0"/>
            <w:vAlign w:val="center"/>
          </w:tcPr>
          <w:p w14:paraId="4ECB61EA">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77ADD350">
            <w:pPr>
              <w:spacing w:line="500" w:lineRule="exact"/>
              <w:ind w:left="-107" w:leftChars="-50" w:right="-107" w:rightChars="-50"/>
              <w:jc w:val="center"/>
              <w:rPr>
                <w:rFonts w:hint="eastAsia" w:ascii="宋体" w:hAnsi="宋体" w:cs="宋体"/>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14:paraId="11656FBE">
            <w:pPr>
              <w:spacing w:line="500" w:lineRule="exact"/>
              <w:ind w:left="-107" w:leftChars="-50" w:right="-107" w:rightChars="-50"/>
              <w:jc w:val="center"/>
              <w:rPr>
                <w:rFonts w:hint="eastAsia" w:ascii="宋体" w:hAnsi="宋体" w:cs="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noWrap w:val="0"/>
            <w:vAlign w:val="center"/>
          </w:tcPr>
          <w:p w14:paraId="6B1B4A71">
            <w:pPr>
              <w:spacing w:line="500" w:lineRule="exact"/>
              <w:ind w:left="-107" w:leftChars="-50" w:right="-107" w:rightChars="-50"/>
              <w:jc w:val="center"/>
              <w:rPr>
                <w:rFonts w:hint="eastAsia" w:ascii="宋体" w:hAnsi="宋体" w:cs="宋体"/>
                <w:color w:val="auto"/>
                <w:sz w:val="24"/>
                <w:highlight w:val="none"/>
              </w:rPr>
            </w:pPr>
          </w:p>
        </w:tc>
        <w:tc>
          <w:tcPr>
            <w:tcW w:w="2098" w:type="dxa"/>
            <w:tcBorders>
              <w:top w:val="single" w:color="auto" w:sz="4" w:space="0"/>
              <w:left w:val="single" w:color="auto" w:sz="4" w:space="0"/>
              <w:bottom w:val="single" w:color="auto" w:sz="4" w:space="0"/>
              <w:right w:val="single" w:color="auto" w:sz="4" w:space="0"/>
            </w:tcBorders>
            <w:noWrap w:val="0"/>
            <w:vAlign w:val="center"/>
          </w:tcPr>
          <w:p w14:paraId="3D5EA697">
            <w:pPr>
              <w:spacing w:line="500" w:lineRule="exact"/>
              <w:ind w:left="-107" w:leftChars="-50" w:right="-107" w:rightChars="-50"/>
              <w:jc w:val="center"/>
              <w:rPr>
                <w:rFonts w:hint="eastAsia" w:ascii="宋体" w:hAnsi="宋体" w:cs="宋体"/>
                <w:color w:val="auto"/>
                <w:sz w:val="24"/>
                <w:highlight w:val="none"/>
              </w:rPr>
            </w:pPr>
          </w:p>
        </w:tc>
      </w:tr>
    </w:tbl>
    <w:p w14:paraId="2A97BA1C">
      <w:pPr>
        <w:spacing w:line="500" w:lineRule="exac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注：自备完成本项目所需的工具、材料、防护用具</w:t>
      </w:r>
      <w:r>
        <w:rPr>
          <w:rFonts w:hint="eastAsia" w:ascii="宋体" w:hAnsi="宋体" w:cs="宋体"/>
          <w:color w:val="auto"/>
          <w:sz w:val="24"/>
          <w:highlight w:val="none"/>
          <w:lang w:val="en-US" w:eastAsia="zh-CN"/>
        </w:rPr>
        <w:t>等。</w:t>
      </w:r>
    </w:p>
    <w:p w14:paraId="722C7D3B">
      <w:pPr>
        <w:spacing w:line="500" w:lineRule="exact"/>
        <w:rPr>
          <w:rFonts w:hint="eastAsia" w:ascii="宋体" w:hAnsi="宋体" w:cs="宋体"/>
          <w:color w:val="auto"/>
          <w:sz w:val="24"/>
          <w:highlight w:val="none"/>
        </w:rPr>
      </w:pPr>
      <w:r>
        <w:rPr>
          <w:rFonts w:hint="eastAsia" w:ascii="宋体" w:hAnsi="宋体" w:cs="宋体"/>
          <w:color w:val="auto"/>
          <w:sz w:val="24"/>
          <w:highlight w:val="none"/>
        </w:rPr>
        <w:t>本页填写不完可自行增页。</w:t>
      </w:r>
    </w:p>
    <w:p w14:paraId="7B54C9EB">
      <w:pPr>
        <w:spacing w:line="360" w:lineRule="auto"/>
        <w:ind w:firstLine="732" w:firstLineChars="300"/>
        <w:rPr>
          <w:rFonts w:hint="eastAsia" w:ascii="宋体" w:hAnsi="宋体" w:cs="宋体"/>
          <w:color w:val="auto"/>
          <w:sz w:val="24"/>
          <w:highlight w:val="none"/>
        </w:rPr>
      </w:pPr>
    </w:p>
    <w:p w14:paraId="5C55BB9E">
      <w:pPr>
        <w:spacing w:line="360" w:lineRule="auto"/>
        <w:ind w:firstLine="732" w:firstLineChars="300"/>
        <w:rPr>
          <w:rFonts w:hint="eastAsia" w:ascii="宋体" w:hAnsi="宋体" w:cs="宋体"/>
          <w:color w:val="auto"/>
          <w:sz w:val="24"/>
          <w:highlight w:val="none"/>
        </w:rPr>
      </w:pPr>
    </w:p>
    <w:p w14:paraId="0FC1ADDE">
      <w:pPr>
        <w:spacing w:line="360" w:lineRule="auto"/>
        <w:ind w:firstLine="732" w:firstLineChars="300"/>
        <w:rPr>
          <w:rFonts w:hint="eastAsia" w:ascii="宋体" w:hAnsi="宋体" w:cs="宋体"/>
          <w:color w:val="auto"/>
          <w:sz w:val="24"/>
          <w:highlight w:val="none"/>
        </w:rPr>
      </w:pPr>
    </w:p>
    <w:p w14:paraId="371E4929">
      <w:pPr>
        <w:spacing w:line="360" w:lineRule="auto"/>
        <w:ind w:firstLine="732" w:firstLineChars="300"/>
        <w:rPr>
          <w:rFonts w:hint="eastAsia" w:ascii="宋体" w:hAnsi="宋体" w:cs="宋体"/>
          <w:color w:val="auto"/>
          <w:sz w:val="24"/>
          <w:highlight w:val="none"/>
        </w:rPr>
      </w:pPr>
    </w:p>
    <w:p w14:paraId="1883C05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投标人全称(加盖公章)：</w:t>
      </w:r>
      <w:r>
        <w:rPr>
          <w:rFonts w:hint="eastAsia" w:ascii="宋体" w:hAnsi="宋体" w:cs="宋体"/>
          <w:color w:val="auto"/>
          <w:sz w:val="24"/>
          <w:highlight w:val="none"/>
          <w:u w:val="single"/>
        </w:rPr>
        <w:t xml:space="preserve">               </w:t>
      </w:r>
    </w:p>
    <w:p w14:paraId="5A8493E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14052A79">
      <w:pPr>
        <w:pStyle w:val="46"/>
        <w:spacing w:before="0" w:beforeAutospacing="0" w:after="0" w:afterAutospacing="0" w:line="360" w:lineRule="auto"/>
        <w:ind w:right="-32" w:rightChars="-15"/>
        <w:jc w:val="both"/>
        <w:rPr>
          <w:rFonts w:hint="eastAsia" w:ascii="宋体" w:hAnsi="宋体" w:eastAsia="宋体" w:cs="宋体"/>
          <w:color w:val="auto"/>
          <w:highlight w:val="non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年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07A6A484">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7D524CFB">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5797C9BC">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107B216F">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6C454541">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25664BD4">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1D95D3B7">
      <w:pPr>
        <w:pStyle w:val="145"/>
        <w:pageBreakBefore/>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拟投入本项目的</w:t>
      </w:r>
      <w:r>
        <w:rPr>
          <w:rFonts w:hint="eastAsia" w:hAnsi="宋体" w:cs="宋体"/>
          <w:b/>
          <w:color w:val="auto"/>
          <w:sz w:val="30"/>
          <w:szCs w:val="30"/>
          <w:highlight w:val="none"/>
          <w:lang w:val="en-US" w:eastAsia="zh-CN"/>
        </w:rPr>
        <w:t>易损件或备品备件清单</w:t>
      </w:r>
      <w:r>
        <w:rPr>
          <w:rFonts w:hint="eastAsia" w:ascii="宋体" w:hAnsi="宋体" w:eastAsia="宋体" w:cs="宋体"/>
          <w:b/>
          <w:color w:val="auto"/>
          <w:sz w:val="30"/>
          <w:szCs w:val="30"/>
          <w:highlight w:val="none"/>
        </w:rPr>
        <w:t>表</w:t>
      </w:r>
    </w:p>
    <w:p w14:paraId="386F5116">
      <w:pPr>
        <w:spacing w:line="360" w:lineRule="auto"/>
        <w:ind w:firstLine="366" w:firstLineChars="150"/>
        <w:rPr>
          <w:rFonts w:hint="eastAsia" w:ascii="宋体" w:hAnsi="宋体" w:cs="宋体"/>
          <w:color w:val="auto"/>
          <w:sz w:val="24"/>
          <w:highlight w:val="none"/>
        </w:rPr>
      </w:pPr>
      <w:r>
        <w:rPr>
          <w:rFonts w:hint="eastAsia" w:ascii="宋体" w:hAnsi="宋体" w:cs="宋体"/>
          <w:color w:val="auto"/>
          <w:sz w:val="24"/>
          <w:highlight w:val="none"/>
        </w:rPr>
        <w:t xml:space="preserve">投标人名称（加盖公章）：          项目编号：        项目名称：   </w:t>
      </w:r>
    </w:p>
    <w:tbl>
      <w:tblPr>
        <w:tblStyle w:val="51"/>
        <w:tblW w:w="310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757"/>
      </w:tblGrid>
      <w:tr w14:paraId="32AF3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31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35014">
            <w:pPr>
              <w:keepNext w:val="0"/>
              <w:keepLines w:val="0"/>
              <w:widowControl/>
              <w:suppressLineNumbers w:val="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工艺部分</w:t>
            </w:r>
          </w:p>
        </w:tc>
      </w:tr>
      <w:tr w14:paraId="7B6A6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CA4F8">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压力表</w:t>
            </w:r>
          </w:p>
        </w:tc>
      </w:tr>
      <w:tr w14:paraId="1AB9A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FEC5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取样阀</w:t>
            </w:r>
          </w:p>
        </w:tc>
      </w:tr>
      <w:tr w14:paraId="4BB62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F69FE">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阀门（手动、电动、气动）</w:t>
            </w:r>
          </w:p>
        </w:tc>
      </w:tr>
      <w:tr w14:paraId="435B9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B5F2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各类密封圈（含阀门）</w:t>
            </w:r>
          </w:p>
        </w:tc>
      </w:tr>
      <w:tr w14:paraId="10C950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B78B5">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各类泵机械密封</w:t>
            </w:r>
          </w:p>
        </w:tc>
      </w:tr>
      <w:tr w14:paraId="43161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02FFA">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垫片（含人孔门）</w:t>
            </w:r>
          </w:p>
        </w:tc>
      </w:tr>
      <w:tr w14:paraId="79945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B06A6">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各类泵轴承</w:t>
            </w:r>
          </w:p>
        </w:tc>
      </w:tr>
      <w:tr w14:paraId="24507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18ECF">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各类泵叶轮</w:t>
            </w:r>
          </w:p>
        </w:tc>
      </w:tr>
      <w:tr w14:paraId="535BA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C2DB1">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各类泵轴套</w:t>
            </w:r>
          </w:p>
        </w:tc>
      </w:tr>
      <w:tr w14:paraId="6C7058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71CBA">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罗茨风机备件（进口）</w:t>
            </w:r>
          </w:p>
        </w:tc>
      </w:tr>
      <w:tr w14:paraId="7AACE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A576F">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阳离子交换器 T 型绕丝滤元</w:t>
            </w:r>
          </w:p>
        </w:tc>
      </w:tr>
      <w:tr w14:paraId="740EC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9AC0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阀门隔膜</w:t>
            </w:r>
          </w:p>
        </w:tc>
      </w:tr>
      <w:tr w14:paraId="7CFC5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DBDF8">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隔膜泵膜片</w:t>
            </w:r>
          </w:p>
        </w:tc>
      </w:tr>
      <w:tr w14:paraId="35177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C3EF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计量泵泵头组件</w:t>
            </w:r>
          </w:p>
        </w:tc>
      </w:tr>
      <w:tr w14:paraId="0916E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EC9D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螺栓、螺母</w:t>
            </w:r>
          </w:p>
        </w:tc>
      </w:tr>
      <w:tr w14:paraId="43AA2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12F7E">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树脂捕捉器滤元</w:t>
            </w:r>
          </w:p>
        </w:tc>
      </w:tr>
      <w:tr w14:paraId="18043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306E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管件</w:t>
            </w:r>
          </w:p>
        </w:tc>
      </w:tr>
      <w:tr w14:paraId="43F48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C496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其余部分</w:t>
            </w:r>
          </w:p>
        </w:tc>
      </w:tr>
      <w:tr w14:paraId="6825F6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28119">
            <w:pPr>
              <w:keepNext w:val="0"/>
              <w:keepLines w:val="0"/>
              <w:widowControl/>
              <w:suppressLineNumbers w:val="0"/>
              <w:jc w:val="left"/>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电气部分</w:t>
            </w:r>
          </w:p>
        </w:tc>
      </w:tr>
      <w:tr w14:paraId="3CF76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53A6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仪表气管接头</w:t>
            </w:r>
          </w:p>
        </w:tc>
      </w:tr>
      <w:tr w14:paraId="5F882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337C9">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继电器（带座），转换开关</w:t>
            </w:r>
          </w:p>
        </w:tc>
      </w:tr>
      <w:tr w14:paraId="1E655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398A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接触器、指示灯、旋扭开关</w:t>
            </w:r>
          </w:p>
        </w:tc>
      </w:tr>
      <w:tr w14:paraId="1DC4A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1F9D5">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世达工具包</w:t>
            </w:r>
          </w:p>
        </w:tc>
      </w:tr>
      <w:tr w14:paraId="44B4B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F105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未在清单内的易损件或备品备件单价低于2000元/件，费用由中标人承担，高于2000元/件，由中标人呈报</w:t>
            </w:r>
            <w:r>
              <w:rPr>
                <w:rFonts w:hint="eastAsia" w:ascii="宋体" w:hAnsi="宋体" w:cs="宋体"/>
                <w:i w:val="0"/>
                <w:iCs w:val="0"/>
                <w:color w:val="auto"/>
                <w:kern w:val="0"/>
                <w:sz w:val="24"/>
                <w:szCs w:val="24"/>
                <w:highlight w:val="none"/>
                <w:u w:val="none"/>
                <w:lang w:val="en-US" w:eastAsia="zh-CN" w:bidi="ar"/>
              </w:rPr>
              <w:t>招标人</w:t>
            </w:r>
            <w:r>
              <w:rPr>
                <w:rFonts w:hint="eastAsia" w:ascii="宋体" w:hAnsi="宋体" w:eastAsia="宋体" w:cs="宋体"/>
                <w:i w:val="0"/>
                <w:iCs w:val="0"/>
                <w:color w:val="auto"/>
                <w:kern w:val="0"/>
                <w:sz w:val="24"/>
                <w:szCs w:val="24"/>
                <w:highlight w:val="none"/>
                <w:u w:val="none"/>
                <w:lang w:val="en-US" w:eastAsia="zh-CN" w:bidi="ar"/>
              </w:rPr>
              <w:t>，由</w:t>
            </w:r>
            <w:r>
              <w:rPr>
                <w:rFonts w:hint="eastAsia" w:ascii="宋体" w:hAnsi="宋体" w:cs="宋体"/>
                <w:i w:val="0"/>
                <w:iCs w:val="0"/>
                <w:color w:val="auto"/>
                <w:kern w:val="0"/>
                <w:sz w:val="24"/>
                <w:szCs w:val="24"/>
                <w:highlight w:val="none"/>
                <w:u w:val="none"/>
                <w:lang w:val="en-US" w:eastAsia="zh-CN" w:bidi="ar"/>
              </w:rPr>
              <w:t>招标人</w:t>
            </w:r>
            <w:r>
              <w:rPr>
                <w:rFonts w:hint="eastAsia" w:ascii="宋体" w:hAnsi="宋体" w:eastAsia="宋体" w:cs="宋体"/>
                <w:i w:val="0"/>
                <w:iCs w:val="0"/>
                <w:color w:val="auto"/>
                <w:kern w:val="0"/>
                <w:sz w:val="24"/>
                <w:szCs w:val="24"/>
                <w:highlight w:val="none"/>
                <w:u w:val="none"/>
                <w:lang w:val="en-US" w:eastAsia="zh-CN" w:bidi="ar"/>
              </w:rPr>
              <w:t>采购。</w:t>
            </w:r>
          </w:p>
        </w:tc>
      </w:tr>
    </w:tbl>
    <w:p w14:paraId="189DDA83">
      <w:pPr>
        <w:spacing w:line="500" w:lineRule="exac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eastAsia="宋体" w:cs="宋体"/>
          <w:color w:val="auto"/>
          <w:spacing w:val="2"/>
          <w:sz w:val="24"/>
          <w:highlight w:val="none"/>
          <w:lang w:val="en-US" w:eastAsia="zh-CN"/>
        </w:rPr>
        <w:t>易损件</w:t>
      </w:r>
      <w:r>
        <w:rPr>
          <w:rFonts w:hint="eastAsia" w:ascii="宋体" w:hAnsi="宋体" w:cs="宋体"/>
          <w:color w:val="auto"/>
          <w:spacing w:val="2"/>
          <w:sz w:val="24"/>
          <w:highlight w:val="none"/>
          <w:lang w:val="en-US" w:eastAsia="zh-CN"/>
        </w:rPr>
        <w:t>或者备品备件应满足与设备同品牌、同型号</w:t>
      </w:r>
      <w:r>
        <w:rPr>
          <w:rFonts w:hint="eastAsia" w:ascii="宋体" w:hAnsi="宋体" w:cs="宋体"/>
          <w:color w:val="auto"/>
          <w:sz w:val="24"/>
          <w:highlight w:val="none"/>
          <w:lang w:val="en-US" w:eastAsia="zh-CN"/>
        </w:rPr>
        <w:t>。</w:t>
      </w:r>
    </w:p>
    <w:p w14:paraId="24AD3773">
      <w:pPr>
        <w:spacing w:line="360" w:lineRule="auto"/>
        <w:rPr>
          <w:rFonts w:hint="eastAsia" w:ascii="宋体" w:hAnsi="宋体" w:cs="宋体"/>
          <w:color w:val="auto"/>
          <w:sz w:val="24"/>
          <w:highlight w:val="none"/>
        </w:rPr>
      </w:pPr>
    </w:p>
    <w:p w14:paraId="320E9068">
      <w:pPr>
        <w:spacing w:line="360" w:lineRule="auto"/>
        <w:ind w:firstLine="732" w:firstLineChars="300"/>
        <w:rPr>
          <w:rFonts w:hint="eastAsia" w:ascii="宋体" w:hAnsi="宋体" w:cs="宋体"/>
          <w:color w:val="auto"/>
          <w:sz w:val="24"/>
          <w:highlight w:val="none"/>
        </w:rPr>
      </w:pPr>
    </w:p>
    <w:p w14:paraId="244EB56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投标人全称(加盖公章)：</w:t>
      </w:r>
      <w:r>
        <w:rPr>
          <w:rFonts w:hint="eastAsia" w:ascii="宋体" w:hAnsi="宋体" w:cs="宋体"/>
          <w:color w:val="auto"/>
          <w:sz w:val="24"/>
          <w:highlight w:val="none"/>
          <w:u w:val="single"/>
        </w:rPr>
        <w:t xml:space="preserve">               </w:t>
      </w:r>
    </w:p>
    <w:p w14:paraId="715411A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14F424C5">
      <w:pPr>
        <w:pStyle w:val="46"/>
        <w:spacing w:before="0" w:beforeAutospacing="0" w:after="0" w:afterAutospacing="0" w:line="360" w:lineRule="auto"/>
        <w:ind w:right="-32" w:rightChars="-15"/>
        <w:jc w:val="both"/>
        <w:rPr>
          <w:rFonts w:hint="eastAsia" w:ascii="宋体" w:hAnsi="宋体" w:eastAsia="宋体" w:cs="宋体"/>
          <w:color w:val="auto"/>
          <w:highlight w:val="non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年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p w14:paraId="6FD32BD4">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176CA6C1">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2C67B071">
      <w:pPr>
        <w:pStyle w:val="46"/>
        <w:spacing w:before="0" w:beforeAutospacing="0" w:after="0" w:afterAutospacing="0" w:line="360" w:lineRule="auto"/>
        <w:ind w:right="-32" w:rightChars="-15"/>
        <w:jc w:val="both"/>
        <w:rPr>
          <w:rFonts w:hint="eastAsia" w:ascii="宋体" w:hAnsi="宋体" w:eastAsia="宋体" w:cs="宋体"/>
          <w:color w:val="auto"/>
          <w:highlight w:val="none"/>
        </w:rPr>
      </w:pPr>
    </w:p>
    <w:p w14:paraId="0FB504DA">
      <w:pPr>
        <w:pStyle w:val="145"/>
        <w:pageBreakBefore/>
        <w:spacing w:line="360" w:lineRule="auto"/>
        <w:jc w:val="center"/>
        <w:outlineLvl w:val="1"/>
        <w:rPr>
          <w:rFonts w:hint="eastAsia" w:ascii="宋体" w:hAnsi="宋体" w:eastAsia="宋体" w:cs="宋体"/>
          <w:b/>
          <w:color w:val="auto"/>
          <w:sz w:val="30"/>
          <w:szCs w:val="30"/>
          <w:highlight w:val="none"/>
        </w:rPr>
      </w:pPr>
      <w:bookmarkStart w:id="302" w:name="_Toc10964"/>
      <w:bookmarkStart w:id="303" w:name="_Toc10678"/>
      <w:r>
        <w:rPr>
          <w:rFonts w:hint="eastAsia" w:ascii="宋体" w:hAnsi="宋体" w:eastAsia="宋体" w:cs="宋体"/>
          <w:b/>
          <w:color w:val="auto"/>
          <w:sz w:val="30"/>
          <w:szCs w:val="30"/>
          <w:highlight w:val="none"/>
        </w:rPr>
        <w:t>项目服务经验一览表</w:t>
      </w:r>
      <w:bookmarkEnd w:id="302"/>
      <w:bookmarkEnd w:id="303"/>
    </w:p>
    <w:p w14:paraId="2F2D8806">
      <w:pPr>
        <w:spacing w:line="360" w:lineRule="auto"/>
        <w:ind w:firstLine="366" w:firstLineChars="150"/>
        <w:rPr>
          <w:rFonts w:hint="eastAsia" w:ascii="宋体" w:hAnsi="宋体" w:cs="宋体"/>
          <w:color w:val="auto"/>
          <w:sz w:val="24"/>
          <w:highlight w:val="none"/>
        </w:rPr>
      </w:pPr>
      <w:r>
        <w:rPr>
          <w:rFonts w:hint="eastAsia" w:ascii="宋体" w:hAnsi="宋体" w:cs="宋体"/>
          <w:color w:val="auto"/>
          <w:sz w:val="24"/>
          <w:highlight w:val="none"/>
        </w:rPr>
        <w:t xml:space="preserve">投标人名称（加盖公章）：          项目编号：        项目名称：  </w:t>
      </w:r>
    </w:p>
    <w:tbl>
      <w:tblPr>
        <w:tblStyle w:val="5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0"/>
        <w:gridCol w:w="2032"/>
        <w:gridCol w:w="1999"/>
        <w:gridCol w:w="2410"/>
        <w:gridCol w:w="1290"/>
      </w:tblGrid>
      <w:tr w14:paraId="78D11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179865B8">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032" w:type="dxa"/>
            <w:tcBorders>
              <w:top w:val="single" w:color="auto" w:sz="4" w:space="0"/>
              <w:left w:val="single" w:color="auto" w:sz="4" w:space="0"/>
              <w:bottom w:val="single" w:color="auto" w:sz="4" w:space="0"/>
              <w:right w:val="single" w:color="auto" w:sz="4" w:space="0"/>
            </w:tcBorders>
            <w:noWrap w:val="0"/>
            <w:vAlign w:val="center"/>
          </w:tcPr>
          <w:p w14:paraId="47824112">
            <w:pPr>
              <w:jc w:val="center"/>
              <w:rPr>
                <w:rFonts w:hint="eastAsia" w:ascii="宋体" w:hAnsi="宋体" w:cs="宋体"/>
                <w:color w:val="auto"/>
                <w:sz w:val="24"/>
                <w:highlight w:val="none"/>
              </w:rPr>
            </w:pPr>
            <w:r>
              <w:rPr>
                <w:rFonts w:hint="eastAsia" w:ascii="宋体" w:hAnsi="宋体" w:cs="宋体"/>
                <w:color w:val="auto"/>
                <w:sz w:val="24"/>
                <w:highlight w:val="none"/>
              </w:rPr>
              <w:t>项目名称</w:t>
            </w:r>
          </w:p>
        </w:tc>
        <w:tc>
          <w:tcPr>
            <w:tcW w:w="1999" w:type="dxa"/>
            <w:tcBorders>
              <w:top w:val="single" w:color="auto" w:sz="4" w:space="0"/>
              <w:left w:val="single" w:color="auto" w:sz="4" w:space="0"/>
              <w:bottom w:val="single" w:color="auto" w:sz="4" w:space="0"/>
              <w:right w:val="single" w:color="auto" w:sz="4" w:space="0"/>
            </w:tcBorders>
            <w:noWrap w:val="0"/>
            <w:vAlign w:val="center"/>
          </w:tcPr>
          <w:p w14:paraId="6721612B">
            <w:pPr>
              <w:jc w:val="center"/>
              <w:rPr>
                <w:rFonts w:hint="eastAsia" w:ascii="宋体" w:hAnsi="宋体" w:cs="宋体"/>
                <w:color w:val="auto"/>
                <w:sz w:val="24"/>
                <w:highlight w:val="none"/>
              </w:rPr>
            </w:pPr>
            <w:r>
              <w:rPr>
                <w:rFonts w:hint="eastAsia" w:ascii="宋体" w:hAnsi="宋体" w:cs="宋体"/>
                <w:color w:val="auto"/>
                <w:sz w:val="24"/>
                <w:highlight w:val="none"/>
              </w:rPr>
              <w:t>合同金额</w:t>
            </w:r>
          </w:p>
        </w:tc>
        <w:tc>
          <w:tcPr>
            <w:tcW w:w="2410" w:type="dxa"/>
            <w:tcBorders>
              <w:top w:val="single" w:color="auto" w:sz="4" w:space="0"/>
              <w:left w:val="single" w:color="auto" w:sz="4" w:space="0"/>
              <w:bottom w:val="single" w:color="auto" w:sz="4" w:space="0"/>
              <w:right w:val="single" w:color="auto" w:sz="4" w:space="0"/>
            </w:tcBorders>
            <w:noWrap w:val="0"/>
            <w:vAlign w:val="center"/>
          </w:tcPr>
          <w:p w14:paraId="0400B47D">
            <w:pPr>
              <w:jc w:val="center"/>
              <w:rPr>
                <w:rFonts w:hint="eastAsia" w:ascii="宋体" w:hAnsi="宋体" w:cs="宋体"/>
                <w:color w:val="auto"/>
                <w:sz w:val="24"/>
                <w:highlight w:val="none"/>
              </w:rPr>
            </w:pPr>
            <w:r>
              <w:rPr>
                <w:rFonts w:hint="eastAsia" w:ascii="宋体" w:hAnsi="宋体" w:cs="宋体"/>
                <w:color w:val="auto"/>
                <w:sz w:val="24"/>
                <w:highlight w:val="none"/>
              </w:rPr>
              <w:t>业主（委托人）全称</w:t>
            </w:r>
          </w:p>
        </w:tc>
        <w:tc>
          <w:tcPr>
            <w:tcW w:w="1290" w:type="dxa"/>
            <w:tcBorders>
              <w:top w:val="single" w:color="auto" w:sz="4" w:space="0"/>
              <w:left w:val="single" w:color="auto" w:sz="4" w:space="0"/>
              <w:bottom w:val="single" w:color="auto" w:sz="4" w:space="0"/>
              <w:right w:val="single" w:color="auto" w:sz="4" w:space="0"/>
            </w:tcBorders>
            <w:noWrap w:val="0"/>
            <w:vAlign w:val="center"/>
          </w:tcPr>
          <w:p w14:paraId="7AB8B7C1">
            <w:pPr>
              <w:jc w:val="center"/>
              <w:rPr>
                <w:rFonts w:hint="eastAsia" w:ascii="宋体" w:hAnsi="宋体" w:cs="宋体"/>
                <w:color w:val="auto"/>
                <w:sz w:val="24"/>
                <w:highlight w:val="none"/>
              </w:rPr>
            </w:pPr>
            <w:r>
              <w:rPr>
                <w:rFonts w:hint="eastAsia" w:ascii="宋体" w:hAnsi="宋体" w:cs="宋体"/>
                <w:color w:val="auto"/>
                <w:sz w:val="24"/>
                <w:highlight w:val="none"/>
              </w:rPr>
              <w:t>承接时间</w:t>
            </w:r>
          </w:p>
        </w:tc>
      </w:tr>
      <w:tr w14:paraId="45143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7007F250">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0C5FD570">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77088A76">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145175F8">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08D0272D">
            <w:pPr>
              <w:spacing w:line="500" w:lineRule="exact"/>
              <w:ind w:left="-107" w:leftChars="-50" w:right="-107" w:rightChars="-50"/>
              <w:jc w:val="center"/>
              <w:rPr>
                <w:rFonts w:hint="eastAsia" w:ascii="宋体" w:hAnsi="宋体" w:cs="宋体"/>
                <w:color w:val="auto"/>
                <w:sz w:val="24"/>
                <w:highlight w:val="none"/>
              </w:rPr>
            </w:pPr>
          </w:p>
        </w:tc>
      </w:tr>
      <w:tr w14:paraId="01C68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687FF5D5">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6F95E34D">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4728DBCF">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6F9D18EB">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6420A131">
            <w:pPr>
              <w:spacing w:line="500" w:lineRule="exact"/>
              <w:ind w:left="-107" w:leftChars="-50" w:right="-107" w:rightChars="-50"/>
              <w:jc w:val="center"/>
              <w:rPr>
                <w:rFonts w:hint="eastAsia" w:ascii="宋体" w:hAnsi="宋体" w:cs="宋体"/>
                <w:color w:val="auto"/>
                <w:sz w:val="24"/>
                <w:highlight w:val="none"/>
              </w:rPr>
            </w:pPr>
          </w:p>
        </w:tc>
      </w:tr>
      <w:tr w14:paraId="31833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558B0D44">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1B6FB070">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7ED0C564">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6601BC44">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6FA20FF3">
            <w:pPr>
              <w:spacing w:line="500" w:lineRule="exact"/>
              <w:ind w:left="-107" w:leftChars="-50" w:right="-107" w:rightChars="-50"/>
              <w:jc w:val="center"/>
              <w:rPr>
                <w:rFonts w:hint="eastAsia" w:ascii="宋体" w:hAnsi="宋体" w:cs="宋体"/>
                <w:color w:val="auto"/>
                <w:sz w:val="24"/>
                <w:highlight w:val="none"/>
              </w:rPr>
            </w:pPr>
          </w:p>
        </w:tc>
      </w:tr>
      <w:tr w14:paraId="04060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0C27E615">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3E54E1CC">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13F7229E">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7E94F272">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7A5A58F4">
            <w:pPr>
              <w:spacing w:line="500" w:lineRule="exact"/>
              <w:ind w:left="-107" w:leftChars="-50" w:right="-107" w:rightChars="-50"/>
              <w:jc w:val="center"/>
              <w:rPr>
                <w:rFonts w:hint="eastAsia" w:ascii="宋体" w:hAnsi="宋体" w:cs="宋体"/>
                <w:color w:val="auto"/>
                <w:sz w:val="24"/>
                <w:highlight w:val="none"/>
              </w:rPr>
            </w:pPr>
          </w:p>
        </w:tc>
      </w:tr>
      <w:tr w14:paraId="77BD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0A4D1AEF">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61343566">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36A6682A">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6EDE31F2">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2D250776">
            <w:pPr>
              <w:spacing w:line="500" w:lineRule="exact"/>
              <w:ind w:left="-107" w:leftChars="-50" w:right="-107" w:rightChars="-50"/>
              <w:jc w:val="center"/>
              <w:rPr>
                <w:rFonts w:hint="eastAsia" w:ascii="宋体" w:hAnsi="宋体" w:cs="宋体"/>
                <w:color w:val="auto"/>
                <w:sz w:val="24"/>
                <w:highlight w:val="none"/>
              </w:rPr>
            </w:pPr>
          </w:p>
        </w:tc>
      </w:tr>
      <w:tr w14:paraId="09037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80" w:type="dxa"/>
            <w:tcBorders>
              <w:top w:val="single" w:color="auto" w:sz="4" w:space="0"/>
              <w:left w:val="single" w:color="auto" w:sz="4" w:space="0"/>
              <w:bottom w:val="single" w:color="auto" w:sz="4" w:space="0"/>
              <w:right w:val="single" w:color="auto" w:sz="4" w:space="0"/>
            </w:tcBorders>
            <w:noWrap w:val="0"/>
            <w:tcMar>
              <w:left w:w="0" w:type="dxa"/>
              <w:right w:w="0" w:type="dxa"/>
            </w:tcMar>
            <w:vAlign w:val="center"/>
          </w:tcPr>
          <w:p w14:paraId="330C7375">
            <w:pPr>
              <w:spacing w:line="500" w:lineRule="exact"/>
              <w:ind w:left="-107" w:leftChars="-50" w:right="-107" w:rightChars="-50"/>
              <w:jc w:val="center"/>
              <w:rPr>
                <w:rFonts w:hint="eastAsia" w:ascii="宋体" w:hAnsi="宋体" w:cs="宋体"/>
                <w:color w:val="auto"/>
                <w:sz w:val="24"/>
                <w:highlight w:val="none"/>
              </w:rPr>
            </w:pPr>
          </w:p>
        </w:tc>
        <w:tc>
          <w:tcPr>
            <w:tcW w:w="2032" w:type="dxa"/>
            <w:tcBorders>
              <w:top w:val="single" w:color="auto" w:sz="4" w:space="0"/>
              <w:left w:val="single" w:color="auto" w:sz="4" w:space="0"/>
              <w:bottom w:val="single" w:color="auto" w:sz="4" w:space="0"/>
              <w:right w:val="single" w:color="auto" w:sz="4" w:space="0"/>
            </w:tcBorders>
            <w:noWrap w:val="0"/>
            <w:vAlign w:val="center"/>
          </w:tcPr>
          <w:p w14:paraId="516BDCE4">
            <w:pPr>
              <w:spacing w:line="500" w:lineRule="exact"/>
              <w:ind w:left="-107" w:leftChars="-50" w:right="-107" w:rightChars="-50"/>
              <w:jc w:val="center"/>
              <w:rPr>
                <w:rFonts w:hint="eastAsia" w:ascii="宋体" w:hAnsi="宋体" w:cs="宋体"/>
                <w:color w:val="auto"/>
                <w:sz w:val="24"/>
                <w:highlight w:val="none"/>
              </w:rPr>
            </w:pPr>
          </w:p>
        </w:tc>
        <w:tc>
          <w:tcPr>
            <w:tcW w:w="1999" w:type="dxa"/>
            <w:tcBorders>
              <w:top w:val="single" w:color="auto" w:sz="4" w:space="0"/>
              <w:left w:val="single" w:color="auto" w:sz="4" w:space="0"/>
              <w:bottom w:val="single" w:color="auto" w:sz="4" w:space="0"/>
              <w:right w:val="single" w:color="auto" w:sz="4" w:space="0"/>
            </w:tcBorders>
            <w:noWrap w:val="0"/>
            <w:vAlign w:val="center"/>
          </w:tcPr>
          <w:p w14:paraId="29C4682F">
            <w:pPr>
              <w:spacing w:line="500" w:lineRule="exact"/>
              <w:ind w:left="-107" w:leftChars="-50" w:right="-107" w:rightChars="-50"/>
              <w:jc w:val="center"/>
              <w:rPr>
                <w:rFonts w:hint="eastAsia" w:ascii="宋体" w:hAnsi="宋体" w:cs="宋体"/>
                <w:color w:val="auto"/>
                <w:sz w:val="24"/>
                <w:highlight w:val="none"/>
              </w:rPr>
            </w:pPr>
          </w:p>
        </w:tc>
        <w:tc>
          <w:tcPr>
            <w:tcW w:w="2410" w:type="dxa"/>
            <w:tcBorders>
              <w:top w:val="single" w:color="auto" w:sz="4" w:space="0"/>
              <w:left w:val="single" w:color="auto" w:sz="4" w:space="0"/>
              <w:bottom w:val="single" w:color="auto" w:sz="4" w:space="0"/>
              <w:right w:val="single" w:color="auto" w:sz="4" w:space="0"/>
            </w:tcBorders>
            <w:noWrap w:val="0"/>
            <w:vAlign w:val="center"/>
          </w:tcPr>
          <w:p w14:paraId="464C62FA">
            <w:pPr>
              <w:spacing w:line="500" w:lineRule="exact"/>
              <w:ind w:left="-107" w:leftChars="-50" w:right="-107" w:rightChars="-50"/>
              <w:jc w:val="center"/>
              <w:rPr>
                <w:rFonts w:hint="eastAsia" w:ascii="宋体" w:hAnsi="宋体" w:cs="宋体"/>
                <w:color w:val="auto"/>
                <w:sz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2B8D7263">
            <w:pPr>
              <w:spacing w:line="500" w:lineRule="exact"/>
              <w:ind w:left="-107" w:leftChars="-50" w:right="-107" w:rightChars="-50"/>
              <w:jc w:val="center"/>
              <w:rPr>
                <w:rFonts w:hint="eastAsia" w:ascii="宋体" w:hAnsi="宋体" w:cs="宋体"/>
                <w:color w:val="auto"/>
                <w:sz w:val="24"/>
                <w:highlight w:val="none"/>
              </w:rPr>
            </w:pPr>
          </w:p>
        </w:tc>
      </w:tr>
    </w:tbl>
    <w:p w14:paraId="33621C47">
      <w:pPr>
        <w:spacing w:line="360" w:lineRule="auto"/>
        <w:ind w:firstLine="732" w:firstLineChars="300"/>
        <w:rPr>
          <w:rFonts w:hint="eastAsia" w:ascii="宋体" w:hAnsi="宋体" w:cs="宋体"/>
          <w:color w:val="auto"/>
          <w:sz w:val="24"/>
          <w:highlight w:val="none"/>
        </w:rPr>
      </w:pPr>
    </w:p>
    <w:p w14:paraId="44F294FA">
      <w:pPr>
        <w:spacing w:line="360" w:lineRule="auto"/>
        <w:rPr>
          <w:rFonts w:hint="eastAsia" w:ascii="宋体" w:hAnsi="宋体" w:cs="宋体"/>
          <w:color w:val="auto"/>
          <w:sz w:val="24"/>
          <w:highlight w:val="none"/>
        </w:rPr>
      </w:pPr>
    </w:p>
    <w:p w14:paraId="79524723">
      <w:pPr>
        <w:spacing w:line="360" w:lineRule="auto"/>
        <w:rPr>
          <w:rFonts w:hint="eastAsia" w:ascii="宋体" w:hAnsi="宋体" w:cs="宋体"/>
          <w:color w:val="auto"/>
          <w:sz w:val="24"/>
          <w:highlight w:val="none"/>
        </w:rPr>
      </w:pPr>
    </w:p>
    <w:p w14:paraId="3C99DFFF">
      <w:pPr>
        <w:spacing w:line="360" w:lineRule="auto"/>
        <w:rPr>
          <w:rFonts w:hint="eastAsia" w:ascii="宋体" w:hAnsi="宋体" w:cs="宋体"/>
          <w:color w:val="auto"/>
          <w:sz w:val="24"/>
          <w:highlight w:val="none"/>
        </w:rPr>
      </w:pPr>
    </w:p>
    <w:p w14:paraId="3FEA415A">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投标人全称(加盖公章)：</w:t>
      </w:r>
      <w:r>
        <w:rPr>
          <w:rFonts w:hint="eastAsia" w:ascii="宋体" w:hAnsi="宋体" w:cs="宋体"/>
          <w:color w:val="auto"/>
          <w:sz w:val="24"/>
          <w:highlight w:val="none"/>
          <w:u w:val="single"/>
        </w:rPr>
        <w:t xml:space="preserve">               </w:t>
      </w:r>
    </w:p>
    <w:p w14:paraId="6A6DE84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0D3A2621">
      <w:pPr>
        <w:pStyle w:val="46"/>
        <w:spacing w:before="0" w:beforeAutospacing="0" w:after="0" w:afterAutospacing="0" w:line="360" w:lineRule="auto"/>
        <w:ind w:right="-32" w:rightChars="-15"/>
        <w:jc w:val="both"/>
        <w:rPr>
          <w:rFonts w:hint="eastAsia" w:ascii="宋体" w:hAnsi="宋体" w:eastAsia="宋体" w:cs="宋体"/>
          <w:b/>
          <w:color w:val="auto"/>
          <w:highlight w:val="none"/>
        </w:rPr>
        <w:sectPr>
          <w:pgSz w:w="11905" w:h="16838"/>
          <w:pgMar w:top="1134" w:right="1134" w:bottom="1134" w:left="1134" w:header="737" w:footer="850" w:gutter="0"/>
          <w:pgBorders>
            <w:top w:val="none" w:sz="0" w:space="0"/>
            <w:left w:val="none" w:sz="0" w:space="0"/>
            <w:bottom w:val="none" w:sz="0" w:space="0"/>
            <w:right w:val="none" w:sz="0" w:space="0"/>
          </w:pgBorders>
          <w:cols w:space="720" w:num="1"/>
          <w:docGrid w:type="linesAndChars" w:linePitch="321" w:charSpace="851"/>
        </w:sect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年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p>
    <w:bookmarkEnd w:id="301"/>
    <w:p w14:paraId="5C9F2EDA">
      <w:pPr>
        <w:pStyle w:val="145"/>
        <w:pageBreakBefore/>
        <w:spacing w:line="360" w:lineRule="auto"/>
        <w:jc w:val="center"/>
        <w:outlineLvl w:val="1"/>
        <w:rPr>
          <w:rFonts w:hint="eastAsia" w:ascii="宋体" w:hAnsi="宋体" w:eastAsia="宋体" w:cs="宋体"/>
          <w:b/>
          <w:color w:val="auto"/>
          <w:sz w:val="30"/>
          <w:szCs w:val="30"/>
          <w:highlight w:val="none"/>
        </w:rPr>
      </w:pPr>
      <w:bookmarkStart w:id="304" w:name="_Toc5505"/>
      <w:bookmarkStart w:id="305" w:name="_Toc19206"/>
      <w:bookmarkStart w:id="306" w:name="_Toc24792"/>
      <w:r>
        <w:rPr>
          <w:rFonts w:hint="eastAsia" w:ascii="宋体" w:hAnsi="宋体" w:eastAsia="宋体" w:cs="宋体"/>
          <w:b/>
          <w:color w:val="auto"/>
          <w:sz w:val="30"/>
          <w:szCs w:val="30"/>
          <w:highlight w:val="none"/>
        </w:rPr>
        <w:t>投标人的资格证明文件</w:t>
      </w:r>
      <w:bookmarkEnd w:id="304"/>
      <w:bookmarkEnd w:id="305"/>
      <w:bookmarkEnd w:id="306"/>
    </w:p>
    <w:p w14:paraId="76F00132">
      <w:pPr>
        <w:spacing w:line="0" w:lineRule="atLeast"/>
        <w:rPr>
          <w:rFonts w:hint="eastAsia" w:ascii="宋体" w:hAnsi="宋体" w:cs="宋体"/>
          <w:color w:val="auto"/>
          <w:sz w:val="24"/>
          <w:highlight w:val="none"/>
        </w:rPr>
      </w:pPr>
    </w:p>
    <w:p w14:paraId="0300A816">
      <w:pPr>
        <w:spacing w:line="380" w:lineRule="exact"/>
        <w:jc w:val="center"/>
        <w:rPr>
          <w:rFonts w:hint="eastAsia" w:ascii="宋体" w:hAnsi="宋体" w:cs="宋体"/>
          <w:color w:val="auto"/>
          <w:sz w:val="24"/>
          <w:highlight w:val="none"/>
        </w:rPr>
      </w:pPr>
      <w:r>
        <w:rPr>
          <w:rFonts w:hint="eastAsia" w:ascii="宋体" w:hAnsi="宋体" w:cs="宋体"/>
          <w:b/>
          <w:color w:val="auto"/>
          <w:sz w:val="24"/>
          <w:highlight w:val="none"/>
        </w:rPr>
        <w:t>关于资格的声明函</w:t>
      </w:r>
    </w:p>
    <w:p w14:paraId="0BCE0F07">
      <w:pPr>
        <w:spacing w:line="380" w:lineRule="exact"/>
        <w:jc w:val="center"/>
        <w:rPr>
          <w:rFonts w:hint="eastAsia" w:ascii="宋体" w:hAnsi="宋体" w:cs="宋体"/>
          <w:color w:val="auto"/>
          <w:sz w:val="24"/>
          <w:highlight w:val="none"/>
        </w:rPr>
      </w:pPr>
    </w:p>
    <w:p w14:paraId="3CE95C8F">
      <w:pPr>
        <w:spacing w:line="380" w:lineRule="exact"/>
        <w:rPr>
          <w:rFonts w:hint="eastAsia" w:ascii="宋体" w:hAnsi="宋体" w:cs="宋体"/>
          <w:color w:val="auto"/>
          <w:sz w:val="24"/>
          <w:highlight w:val="none"/>
        </w:rPr>
      </w:pPr>
      <w:r>
        <w:rPr>
          <w:rFonts w:hint="eastAsia" w:ascii="宋体" w:hAnsi="宋体" w:cs="宋体"/>
          <w:color w:val="auto"/>
          <w:sz w:val="24"/>
          <w:highlight w:val="none"/>
          <w:u w:val="single"/>
        </w:rPr>
        <w:t>厦门市华沧采购招标有限公司</w:t>
      </w:r>
      <w:r>
        <w:rPr>
          <w:rFonts w:hint="eastAsia" w:ascii="宋体" w:hAnsi="宋体" w:cs="宋体"/>
          <w:color w:val="auto"/>
          <w:sz w:val="24"/>
          <w:highlight w:val="none"/>
        </w:rPr>
        <w:t>：</w:t>
      </w:r>
    </w:p>
    <w:p w14:paraId="1CC487A0">
      <w:pPr>
        <w:spacing w:line="380" w:lineRule="exact"/>
        <w:rPr>
          <w:rFonts w:hint="eastAsia" w:ascii="宋体" w:hAnsi="宋体" w:cs="宋体"/>
          <w:color w:val="auto"/>
          <w:sz w:val="24"/>
          <w:highlight w:val="none"/>
        </w:rPr>
      </w:pPr>
    </w:p>
    <w:p w14:paraId="459A5B4D">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关于贵方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（项目编号）、投标邀请，本签字人愿意参加投标，提供招标文件“招标服务及要求”中规定的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（品目号）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（项目名称），并证明提交的下列文件和说明是准确的和真实的。</w:t>
      </w:r>
    </w:p>
    <w:p w14:paraId="5E7AA37B">
      <w:pPr>
        <w:spacing w:line="380" w:lineRule="exact"/>
        <w:ind w:firstLine="480" w:firstLineChars="200"/>
        <w:rPr>
          <w:rFonts w:hint="eastAsia" w:ascii="宋体" w:hAnsi="宋体" w:cs="宋体"/>
          <w:color w:val="auto"/>
          <w:sz w:val="24"/>
          <w:highlight w:val="none"/>
        </w:rPr>
      </w:pPr>
    </w:p>
    <w:p w14:paraId="36CA892F">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1．本签字人确认资格文件中的说明以及投标文件中所有提交的文件和材料是真实的、准确的。</w:t>
      </w:r>
    </w:p>
    <w:p w14:paraId="15432008">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2．我方的资格声明正本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份，副本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份，随投标文件一同递交。</w:t>
      </w:r>
    </w:p>
    <w:p w14:paraId="630FA2D0">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6AF0E76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218876F2">
      <w:pPr>
        <w:spacing w:line="380" w:lineRule="exact"/>
        <w:rPr>
          <w:rFonts w:hint="eastAsia" w:ascii="宋体" w:hAnsi="宋体" w:cs="宋体"/>
          <w:color w:val="auto"/>
          <w:sz w:val="24"/>
          <w:highlight w:val="none"/>
        </w:rPr>
      </w:pPr>
    </w:p>
    <w:p w14:paraId="3D2786F1">
      <w:pPr>
        <w:spacing w:line="380" w:lineRule="exact"/>
        <w:rPr>
          <w:rFonts w:hint="eastAsia" w:ascii="宋体" w:hAnsi="宋体" w:cs="宋体"/>
          <w:color w:val="auto"/>
          <w:sz w:val="24"/>
          <w:highlight w:val="none"/>
        </w:rPr>
      </w:pPr>
    </w:p>
    <w:p w14:paraId="614C1450">
      <w:pPr>
        <w:spacing w:line="380" w:lineRule="exact"/>
        <w:rPr>
          <w:rFonts w:hint="eastAsia" w:ascii="宋体" w:hAnsi="宋体" w:cs="宋体"/>
          <w:color w:val="auto"/>
          <w:sz w:val="24"/>
          <w:highlight w:val="none"/>
        </w:rPr>
      </w:pPr>
    </w:p>
    <w:p w14:paraId="3758F607">
      <w:pPr>
        <w:spacing w:line="380" w:lineRule="exact"/>
        <w:rPr>
          <w:rFonts w:hint="eastAsia" w:ascii="宋体" w:hAnsi="宋体" w:cs="宋体"/>
          <w:color w:val="auto"/>
          <w:sz w:val="24"/>
          <w:highlight w:val="none"/>
        </w:rPr>
      </w:pPr>
    </w:p>
    <w:p w14:paraId="69E2E008">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40E23D54">
      <w:pPr>
        <w:spacing w:line="380" w:lineRule="exact"/>
        <w:rPr>
          <w:rFonts w:hint="eastAsia"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u w:val="single"/>
        </w:rPr>
        <w:t xml:space="preserve">                         </w:t>
      </w:r>
    </w:p>
    <w:p w14:paraId="57293DC3">
      <w:pPr>
        <w:spacing w:line="380" w:lineRule="exact"/>
        <w:rPr>
          <w:rFonts w:hint="eastAsia" w:ascii="宋体" w:hAnsi="宋体" w:cs="宋体"/>
          <w:color w:val="auto"/>
          <w:sz w:val="24"/>
          <w:highlight w:val="none"/>
        </w:rPr>
      </w:pPr>
      <w:r>
        <w:rPr>
          <w:rFonts w:hint="eastAsia" w:ascii="宋体" w:hAnsi="宋体" w:cs="宋体"/>
          <w:color w:val="auto"/>
          <w:sz w:val="24"/>
          <w:highlight w:val="none"/>
        </w:rPr>
        <w:t>邮     编：</w:t>
      </w:r>
      <w:r>
        <w:rPr>
          <w:rFonts w:hint="eastAsia" w:ascii="宋体" w:hAnsi="宋体" w:cs="宋体"/>
          <w:color w:val="auto"/>
          <w:sz w:val="24"/>
          <w:highlight w:val="none"/>
          <w:u w:val="single"/>
        </w:rPr>
        <w:t xml:space="preserve">                         </w:t>
      </w:r>
    </w:p>
    <w:p w14:paraId="4C941DC9">
      <w:pPr>
        <w:spacing w:line="380" w:lineRule="exact"/>
        <w:rPr>
          <w:rFonts w:hint="eastAsia" w:ascii="宋体" w:hAnsi="宋体" w:cs="宋体"/>
          <w:color w:val="auto"/>
          <w:sz w:val="24"/>
          <w:highlight w:val="none"/>
        </w:rPr>
      </w:pPr>
      <w:r>
        <w:rPr>
          <w:rFonts w:hint="eastAsia" w:ascii="宋体" w:hAnsi="宋体" w:cs="宋体"/>
          <w:color w:val="auto"/>
          <w:sz w:val="24"/>
          <w:highlight w:val="none"/>
        </w:rPr>
        <w:t>电 话/传 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4CA56D03">
      <w:pPr>
        <w:rPr>
          <w:rFonts w:hint="eastAsia" w:ascii="宋体" w:hAnsi="宋体" w:cs="宋体"/>
          <w:color w:val="auto"/>
          <w:sz w:val="24"/>
          <w:highlight w:val="none"/>
        </w:rPr>
      </w:pPr>
      <w:r>
        <w:rPr>
          <w:rFonts w:hint="eastAsia" w:ascii="宋体" w:hAnsi="宋体" w:cs="宋体"/>
          <w:color w:val="auto"/>
          <w:sz w:val="24"/>
          <w:highlight w:val="none"/>
        </w:rPr>
        <w:t xml:space="preserve">投标人代表签字：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53CA6278">
      <w:pPr>
        <w:jc w:val="center"/>
        <w:rPr>
          <w:rFonts w:hint="eastAsia" w:ascii="宋体" w:hAnsi="宋体" w:cs="宋体"/>
          <w:color w:val="auto"/>
          <w:sz w:val="24"/>
          <w:highlight w:val="none"/>
        </w:rPr>
      </w:pPr>
    </w:p>
    <w:p w14:paraId="3F0B7511">
      <w:pPr>
        <w:pStyle w:val="145"/>
        <w:pageBreakBefore/>
        <w:spacing w:line="360" w:lineRule="auto"/>
        <w:jc w:val="center"/>
        <w:outlineLvl w:val="1"/>
        <w:rPr>
          <w:rFonts w:hint="eastAsia" w:ascii="宋体" w:hAnsi="宋体" w:eastAsia="宋体" w:cs="宋体"/>
          <w:color w:val="auto"/>
          <w:sz w:val="30"/>
          <w:szCs w:val="30"/>
          <w:highlight w:val="none"/>
        </w:rPr>
      </w:pPr>
      <w:bookmarkStart w:id="307" w:name="_Toc9324"/>
      <w:bookmarkStart w:id="308" w:name="_Toc6288"/>
      <w:r>
        <w:rPr>
          <w:rFonts w:hint="eastAsia" w:ascii="宋体" w:hAnsi="宋体" w:eastAsia="宋体" w:cs="宋体"/>
          <w:b/>
          <w:color w:val="auto"/>
          <w:sz w:val="30"/>
          <w:szCs w:val="30"/>
          <w:highlight w:val="none"/>
        </w:rPr>
        <w:t>投标人的资格声明</w:t>
      </w:r>
      <w:bookmarkEnd w:id="307"/>
      <w:bookmarkEnd w:id="308"/>
    </w:p>
    <w:p w14:paraId="136CF49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1．投标人概况：                                   </w:t>
      </w:r>
    </w:p>
    <w:p w14:paraId="0BCBB10A">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Ａ．投标人名称：</w:t>
      </w:r>
      <w:r>
        <w:rPr>
          <w:rFonts w:hint="eastAsia" w:ascii="宋体" w:hAnsi="宋体" w:cs="宋体"/>
          <w:color w:val="auto"/>
          <w:sz w:val="24"/>
          <w:highlight w:val="none"/>
          <w:u w:val="single"/>
        </w:rPr>
        <w:t xml:space="preserve">                               </w:t>
      </w:r>
    </w:p>
    <w:p w14:paraId="0C87E71C">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Ｂ．注册地址：</w:t>
      </w:r>
      <w:r>
        <w:rPr>
          <w:rFonts w:hint="eastAsia" w:ascii="宋体" w:hAnsi="宋体" w:cs="宋体"/>
          <w:color w:val="auto"/>
          <w:sz w:val="24"/>
          <w:highlight w:val="none"/>
          <w:u w:val="single"/>
        </w:rPr>
        <w:t xml:space="preserve">                                 </w:t>
      </w:r>
    </w:p>
    <w:p w14:paraId="16F675E9">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传真：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邮编：</w:t>
      </w:r>
      <w:r>
        <w:rPr>
          <w:rFonts w:hint="eastAsia" w:ascii="宋体" w:hAnsi="宋体" w:cs="宋体"/>
          <w:color w:val="auto"/>
          <w:sz w:val="24"/>
          <w:highlight w:val="none"/>
          <w:u w:val="single"/>
        </w:rPr>
        <w:t xml:space="preserve">         </w:t>
      </w:r>
    </w:p>
    <w:p w14:paraId="7B0F8B81">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Ｃ．成立或注册日期：</w:t>
      </w:r>
      <w:r>
        <w:rPr>
          <w:rFonts w:hint="eastAsia" w:ascii="宋体" w:hAnsi="宋体" w:cs="宋体"/>
          <w:color w:val="auto"/>
          <w:sz w:val="24"/>
          <w:highlight w:val="none"/>
          <w:u w:val="single"/>
        </w:rPr>
        <w:t xml:space="preserve">                      </w:t>
      </w:r>
    </w:p>
    <w:p w14:paraId="1CB056BA">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Ｄ．法定代表人（或单位负责人）：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（姓名、职务）</w:t>
      </w:r>
    </w:p>
    <w:p w14:paraId="0F3705D3">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实收资本：</w:t>
      </w:r>
      <w:r>
        <w:rPr>
          <w:rFonts w:hint="eastAsia" w:ascii="宋体" w:hAnsi="宋体" w:cs="宋体"/>
          <w:color w:val="auto"/>
          <w:sz w:val="24"/>
          <w:highlight w:val="none"/>
          <w:u w:val="single"/>
        </w:rPr>
        <w:t xml:space="preserve">                    </w:t>
      </w:r>
    </w:p>
    <w:p w14:paraId="7857FD75">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其中 国家资本：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法人资本：</w:t>
      </w:r>
      <w:r>
        <w:rPr>
          <w:rFonts w:hint="eastAsia" w:ascii="宋体" w:hAnsi="宋体" w:cs="宋体"/>
          <w:color w:val="auto"/>
          <w:sz w:val="24"/>
          <w:highlight w:val="none"/>
          <w:u w:val="single"/>
        </w:rPr>
        <w:t xml:space="preserve">           </w:t>
      </w:r>
    </w:p>
    <w:p w14:paraId="44BF574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个人资本：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外商资本：</w:t>
      </w:r>
      <w:r>
        <w:rPr>
          <w:rFonts w:hint="eastAsia" w:ascii="宋体" w:hAnsi="宋体" w:cs="宋体"/>
          <w:color w:val="auto"/>
          <w:sz w:val="24"/>
          <w:highlight w:val="none"/>
          <w:u w:val="single"/>
        </w:rPr>
        <w:t xml:space="preserve">           </w:t>
      </w:r>
    </w:p>
    <w:p w14:paraId="2C453E3B">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Ｅ．最近资产负债表（到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日为止）。</w:t>
      </w:r>
    </w:p>
    <w:p w14:paraId="5424C9F1">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(1)固定资产合计:</w:t>
      </w:r>
      <w:r>
        <w:rPr>
          <w:rFonts w:hint="eastAsia" w:ascii="宋体" w:hAnsi="宋体" w:cs="宋体"/>
          <w:color w:val="auto"/>
          <w:sz w:val="24"/>
          <w:highlight w:val="none"/>
          <w:u w:val="single"/>
        </w:rPr>
        <w:t xml:space="preserve">                   </w:t>
      </w:r>
    </w:p>
    <w:p w14:paraId="340196C2">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(2)流动资产合计:</w:t>
      </w:r>
      <w:r>
        <w:rPr>
          <w:rFonts w:hint="eastAsia" w:ascii="宋体" w:hAnsi="宋体" w:cs="宋体"/>
          <w:color w:val="auto"/>
          <w:sz w:val="24"/>
          <w:highlight w:val="none"/>
          <w:u w:val="single"/>
        </w:rPr>
        <w:t xml:space="preserve">                   </w:t>
      </w:r>
    </w:p>
    <w:p w14:paraId="332F924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(3)长期负债合计:</w:t>
      </w:r>
      <w:r>
        <w:rPr>
          <w:rFonts w:hint="eastAsia" w:ascii="宋体" w:hAnsi="宋体" w:cs="宋体"/>
          <w:color w:val="auto"/>
          <w:sz w:val="24"/>
          <w:highlight w:val="none"/>
          <w:u w:val="single"/>
        </w:rPr>
        <w:t xml:space="preserve">                   </w:t>
      </w:r>
    </w:p>
    <w:p w14:paraId="6EE7699E">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(4)流动负债合计:</w:t>
      </w:r>
      <w:r>
        <w:rPr>
          <w:rFonts w:hint="eastAsia" w:ascii="宋体" w:hAnsi="宋体" w:cs="宋体"/>
          <w:color w:val="auto"/>
          <w:sz w:val="24"/>
          <w:highlight w:val="none"/>
          <w:u w:val="single"/>
        </w:rPr>
        <w:t xml:space="preserve">                   </w:t>
      </w:r>
    </w:p>
    <w:p w14:paraId="7A88BDF3">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Ｆ．最近损益表（到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日为止）。</w:t>
      </w:r>
    </w:p>
    <w:p w14:paraId="19659F03">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(1)本年（期）利润总额累计：</w:t>
      </w:r>
      <w:r>
        <w:rPr>
          <w:rFonts w:hint="eastAsia" w:ascii="宋体" w:hAnsi="宋体" w:cs="宋体"/>
          <w:color w:val="auto"/>
          <w:sz w:val="24"/>
          <w:highlight w:val="none"/>
          <w:u w:val="single"/>
        </w:rPr>
        <w:t xml:space="preserve">            </w:t>
      </w:r>
    </w:p>
    <w:p w14:paraId="7378BF4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(2)本年（期）净利润累计： </w:t>
      </w:r>
      <w:r>
        <w:rPr>
          <w:rFonts w:hint="eastAsia" w:ascii="宋体" w:hAnsi="宋体" w:cs="宋体"/>
          <w:color w:val="auto"/>
          <w:sz w:val="24"/>
          <w:highlight w:val="none"/>
          <w:u w:val="single"/>
        </w:rPr>
        <w:t xml:space="preserve">             </w:t>
      </w:r>
    </w:p>
    <w:p w14:paraId="37E36B13">
      <w:pPr>
        <w:spacing w:line="380" w:lineRule="exact"/>
        <w:rPr>
          <w:rFonts w:hint="eastAsia" w:ascii="宋体" w:hAnsi="宋体" w:cs="宋体"/>
          <w:color w:val="auto"/>
          <w:sz w:val="24"/>
          <w:highlight w:val="none"/>
        </w:rPr>
      </w:pPr>
    </w:p>
    <w:p w14:paraId="1CAFEF2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2．我方在此声明，我方具备并满足下列各项条款的规定。本声明如有虚假或不实之处，我方将失去合格投标人资格且我方的投标保证金将不予退还。</w:t>
      </w:r>
    </w:p>
    <w:p w14:paraId="56E6BACC">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（1）具有独立承担民事责任的能力； </w:t>
      </w:r>
    </w:p>
    <w:p w14:paraId="3711C23A">
      <w:pPr>
        <w:rPr>
          <w:rFonts w:hint="eastAsia" w:ascii="宋体" w:hAnsi="宋体" w:cs="宋体"/>
          <w:color w:val="auto"/>
          <w:sz w:val="24"/>
          <w:highlight w:val="none"/>
        </w:rPr>
      </w:pPr>
      <w:r>
        <w:rPr>
          <w:rFonts w:hint="eastAsia" w:ascii="宋体" w:hAnsi="宋体" w:cs="宋体"/>
          <w:color w:val="auto"/>
          <w:sz w:val="24"/>
          <w:highlight w:val="none"/>
        </w:rPr>
        <w:t xml:space="preserve">　　（2）具有良好的商业信誉和健全的财务会计制度； </w:t>
      </w:r>
    </w:p>
    <w:p w14:paraId="5D2037A9">
      <w:pPr>
        <w:rPr>
          <w:rFonts w:hint="eastAsia" w:ascii="宋体" w:hAnsi="宋体" w:cs="宋体"/>
          <w:color w:val="auto"/>
          <w:sz w:val="24"/>
          <w:highlight w:val="none"/>
        </w:rPr>
      </w:pPr>
      <w:r>
        <w:rPr>
          <w:rFonts w:hint="eastAsia" w:ascii="宋体" w:hAnsi="宋体" w:cs="宋体"/>
          <w:color w:val="auto"/>
          <w:sz w:val="24"/>
          <w:highlight w:val="none"/>
        </w:rPr>
        <w:t xml:space="preserve">　　（3）具有履行合同所必需的设备和专业技术能力； </w:t>
      </w:r>
    </w:p>
    <w:p w14:paraId="52C3635C">
      <w:pPr>
        <w:rPr>
          <w:rFonts w:hint="eastAsia" w:ascii="宋体" w:hAnsi="宋体" w:cs="宋体"/>
          <w:color w:val="auto"/>
          <w:sz w:val="24"/>
          <w:highlight w:val="none"/>
        </w:rPr>
      </w:pPr>
      <w:r>
        <w:rPr>
          <w:rFonts w:hint="eastAsia" w:ascii="宋体" w:hAnsi="宋体" w:cs="宋体"/>
          <w:color w:val="auto"/>
          <w:sz w:val="24"/>
          <w:highlight w:val="none"/>
        </w:rPr>
        <w:t xml:space="preserve">　　（4）有依法缴纳税收和社会保障资金的良好记录； </w:t>
      </w:r>
    </w:p>
    <w:p w14:paraId="7C2794E8">
      <w:pPr>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48138E19">
      <w:pPr>
        <w:spacing w:line="380" w:lineRule="exact"/>
        <w:rPr>
          <w:rFonts w:hint="eastAsia" w:ascii="宋体" w:hAnsi="宋体" w:cs="宋体"/>
          <w:color w:val="auto"/>
          <w:sz w:val="24"/>
          <w:highlight w:val="none"/>
        </w:rPr>
      </w:pPr>
      <w:r>
        <w:rPr>
          <w:rFonts w:hint="eastAsia" w:ascii="宋体" w:hAnsi="宋体" w:cs="宋体"/>
          <w:color w:val="auto"/>
          <w:sz w:val="24"/>
          <w:highlight w:val="none"/>
        </w:rPr>
        <w:t>3.最近三年服务在国内主要用户的名称和地址：</w:t>
      </w:r>
    </w:p>
    <w:tbl>
      <w:tblPr>
        <w:tblStyle w:val="51"/>
        <w:tblW w:w="936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9"/>
        <w:gridCol w:w="2345"/>
        <w:gridCol w:w="876"/>
        <w:gridCol w:w="1356"/>
        <w:gridCol w:w="2784"/>
      </w:tblGrid>
      <w:tr w14:paraId="29692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center"/>
          </w:tcPr>
          <w:p w14:paraId="42FCB6F6">
            <w:pPr>
              <w:spacing w:line="380" w:lineRule="exact"/>
              <w:jc w:val="center"/>
              <w:rPr>
                <w:rFonts w:hint="eastAsia" w:ascii="宋体" w:hAnsi="宋体" w:cs="宋体"/>
                <w:color w:val="auto"/>
                <w:sz w:val="24"/>
                <w:highlight w:val="none"/>
              </w:rPr>
            </w:pPr>
            <w:r>
              <w:rPr>
                <w:rFonts w:hint="eastAsia" w:ascii="宋体" w:hAnsi="宋体" w:cs="宋体"/>
                <w:color w:val="auto"/>
                <w:sz w:val="24"/>
                <w:highlight w:val="none"/>
              </w:rPr>
              <w:t>用户名称和地址</w:t>
            </w:r>
          </w:p>
        </w:tc>
        <w:tc>
          <w:tcPr>
            <w:tcW w:w="2345" w:type="dxa"/>
            <w:tcBorders>
              <w:top w:val="single" w:color="auto" w:sz="4" w:space="0"/>
              <w:left w:val="single" w:color="auto" w:sz="4" w:space="0"/>
              <w:bottom w:val="single" w:color="auto" w:sz="4" w:space="0"/>
              <w:right w:val="single" w:color="auto" w:sz="4" w:space="0"/>
            </w:tcBorders>
            <w:noWrap w:val="0"/>
            <w:vAlign w:val="center"/>
          </w:tcPr>
          <w:p w14:paraId="24FFC77D">
            <w:pPr>
              <w:spacing w:line="380" w:lineRule="exact"/>
              <w:jc w:val="center"/>
              <w:rPr>
                <w:rFonts w:hint="eastAsia" w:ascii="宋体" w:hAnsi="宋体" w:cs="宋体"/>
                <w:color w:val="auto"/>
                <w:sz w:val="24"/>
                <w:highlight w:val="none"/>
              </w:rPr>
            </w:pPr>
            <w:r>
              <w:rPr>
                <w:rFonts w:hint="eastAsia" w:ascii="宋体" w:hAnsi="宋体" w:cs="宋体"/>
                <w:color w:val="auto"/>
                <w:sz w:val="24"/>
                <w:highlight w:val="none"/>
              </w:rPr>
              <w:t>服务名称</w:t>
            </w:r>
          </w:p>
        </w:tc>
        <w:tc>
          <w:tcPr>
            <w:tcW w:w="876" w:type="dxa"/>
            <w:tcBorders>
              <w:top w:val="single" w:color="auto" w:sz="4" w:space="0"/>
              <w:left w:val="single" w:color="auto" w:sz="4" w:space="0"/>
              <w:bottom w:val="single" w:color="auto" w:sz="4" w:space="0"/>
              <w:right w:val="single" w:color="auto" w:sz="4" w:space="0"/>
            </w:tcBorders>
            <w:noWrap w:val="0"/>
            <w:vAlign w:val="center"/>
          </w:tcPr>
          <w:p w14:paraId="7A667317">
            <w:pPr>
              <w:spacing w:line="380" w:lineRule="exact"/>
              <w:jc w:val="center"/>
              <w:rPr>
                <w:rFonts w:hint="eastAsia" w:ascii="宋体" w:hAnsi="宋体" w:cs="宋体"/>
                <w:color w:val="auto"/>
                <w:sz w:val="24"/>
                <w:highlight w:val="none"/>
              </w:rPr>
            </w:pPr>
            <w:r>
              <w:rPr>
                <w:rFonts w:hint="eastAsia" w:ascii="宋体" w:hAnsi="宋体" w:cs="宋体"/>
                <w:color w:val="auto"/>
                <w:sz w:val="24"/>
                <w:highlight w:val="none"/>
              </w:rPr>
              <w:t>数量</w:t>
            </w:r>
          </w:p>
        </w:tc>
        <w:tc>
          <w:tcPr>
            <w:tcW w:w="1356" w:type="dxa"/>
            <w:tcBorders>
              <w:top w:val="single" w:color="auto" w:sz="4" w:space="0"/>
              <w:left w:val="single" w:color="auto" w:sz="4" w:space="0"/>
              <w:bottom w:val="single" w:color="auto" w:sz="4" w:space="0"/>
              <w:right w:val="single" w:color="auto" w:sz="4" w:space="0"/>
            </w:tcBorders>
            <w:noWrap w:val="0"/>
            <w:vAlign w:val="center"/>
          </w:tcPr>
          <w:p w14:paraId="7DE93FE2">
            <w:pPr>
              <w:spacing w:line="380" w:lineRule="exact"/>
              <w:jc w:val="center"/>
              <w:rPr>
                <w:rFonts w:hint="eastAsia" w:ascii="宋体" w:hAnsi="宋体" w:cs="宋体"/>
                <w:color w:val="auto"/>
                <w:sz w:val="24"/>
                <w:highlight w:val="none"/>
              </w:rPr>
            </w:pPr>
            <w:r>
              <w:rPr>
                <w:rFonts w:hint="eastAsia" w:ascii="宋体" w:hAnsi="宋体" w:cs="宋体"/>
                <w:color w:val="auto"/>
                <w:sz w:val="24"/>
                <w:highlight w:val="none"/>
              </w:rPr>
              <w:t>服务期限</w:t>
            </w:r>
          </w:p>
        </w:tc>
        <w:tc>
          <w:tcPr>
            <w:tcW w:w="2784" w:type="dxa"/>
            <w:tcBorders>
              <w:top w:val="single" w:color="auto" w:sz="4" w:space="0"/>
              <w:left w:val="single" w:color="auto" w:sz="4" w:space="0"/>
              <w:bottom w:val="single" w:color="auto" w:sz="4" w:space="0"/>
              <w:right w:val="single" w:color="auto" w:sz="4" w:space="0"/>
            </w:tcBorders>
            <w:noWrap w:val="0"/>
            <w:vAlign w:val="center"/>
          </w:tcPr>
          <w:p w14:paraId="526137F1">
            <w:pPr>
              <w:spacing w:line="380" w:lineRule="exact"/>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09DC6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7C8BACC2">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690474CB">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5CBB9C24">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71A77C79">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7DAFADA3">
            <w:pPr>
              <w:spacing w:line="380" w:lineRule="exact"/>
              <w:rPr>
                <w:rFonts w:hint="eastAsia" w:ascii="宋体" w:hAnsi="宋体" w:cs="宋体"/>
                <w:color w:val="auto"/>
                <w:sz w:val="24"/>
                <w:highlight w:val="none"/>
              </w:rPr>
            </w:pPr>
          </w:p>
        </w:tc>
      </w:tr>
      <w:tr w14:paraId="5CDCA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14A0E78F">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7BC93B2E">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41E41686">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2D130D3E">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0B55648B">
            <w:pPr>
              <w:spacing w:line="380" w:lineRule="exact"/>
              <w:rPr>
                <w:rFonts w:hint="eastAsia" w:ascii="宋体" w:hAnsi="宋体" w:cs="宋体"/>
                <w:color w:val="auto"/>
                <w:sz w:val="24"/>
                <w:highlight w:val="none"/>
              </w:rPr>
            </w:pPr>
          </w:p>
        </w:tc>
      </w:tr>
      <w:tr w14:paraId="23680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039F7065">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5E60D376">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001561FA">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25DC2C66">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2FB3BA5B">
            <w:pPr>
              <w:spacing w:line="380" w:lineRule="exact"/>
              <w:rPr>
                <w:rFonts w:hint="eastAsia" w:ascii="宋体" w:hAnsi="宋体" w:cs="宋体"/>
                <w:color w:val="auto"/>
                <w:sz w:val="24"/>
                <w:highlight w:val="none"/>
              </w:rPr>
            </w:pPr>
          </w:p>
        </w:tc>
      </w:tr>
      <w:tr w14:paraId="2E5B2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3D55AB50">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258A4B7E">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0A797FA6">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06AD634B">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34A15F1F">
            <w:pPr>
              <w:spacing w:line="380" w:lineRule="exact"/>
              <w:rPr>
                <w:rFonts w:hint="eastAsia" w:ascii="宋体" w:hAnsi="宋体" w:cs="宋体"/>
                <w:color w:val="auto"/>
                <w:sz w:val="24"/>
                <w:highlight w:val="none"/>
              </w:rPr>
            </w:pPr>
          </w:p>
        </w:tc>
      </w:tr>
      <w:tr w14:paraId="0C709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7638A28B">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44E4333C">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18CC72B7">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03E4E25B">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2207374C">
            <w:pPr>
              <w:spacing w:line="380" w:lineRule="exact"/>
              <w:rPr>
                <w:rFonts w:hint="eastAsia" w:ascii="宋体" w:hAnsi="宋体" w:cs="宋体"/>
                <w:color w:val="auto"/>
                <w:sz w:val="24"/>
                <w:highlight w:val="none"/>
              </w:rPr>
            </w:pPr>
          </w:p>
        </w:tc>
      </w:tr>
      <w:tr w14:paraId="20B2C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999" w:type="dxa"/>
            <w:tcBorders>
              <w:top w:val="single" w:color="auto" w:sz="4" w:space="0"/>
              <w:left w:val="single" w:color="auto" w:sz="4" w:space="0"/>
              <w:bottom w:val="single" w:color="auto" w:sz="4" w:space="0"/>
              <w:right w:val="single" w:color="auto" w:sz="4" w:space="0"/>
            </w:tcBorders>
            <w:noWrap w:val="0"/>
            <w:vAlign w:val="top"/>
          </w:tcPr>
          <w:p w14:paraId="16A93E45">
            <w:pPr>
              <w:spacing w:line="380" w:lineRule="exact"/>
              <w:rPr>
                <w:rFonts w:hint="eastAsia" w:ascii="宋体" w:hAnsi="宋体" w:cs="宋体"/>
                <w:color w:val="auto"/>
                <w:sz w:val="24"/>
                <w:highlight w:val="none"/>
              </w:rPr>
            </w:pPr>
          </w:p>
        </w:tc>
        <w:tc>
          <w:tcPr>
            <w:tcW w:w="2345" w:type="dxa"/>
            <w:tcBorders>
              <w:top w:val="single" w:color="auto" w:sz="4" w:space="0"/>
              <w:left w:val="single" w:color="auto" w:sz="4" w:space="0"/>
              <w:bottom w:val="single" w:color="auto" w:sz="4" w:space="0"/>
              <w:right w:val="single" w:color="auto" w:sz="4" w:space="0"/>
            </w:tcBorders>
            <w:noWrap w:val="0"/>
            <w:vAlign w:val="top"/>
          </w:tcPr>
          <w:p w14:paraId="623D7454">
            <w:pPr>
              <w:spacing w:line="380" w:lineRule="exact"/>
              <w:rPr>
                <w:rFonts w:hint="eastAsia" w:ascii="宋体" w:hAnsi="宋体" w:cs="宋体"/>
                <w:color w:val="auto"/>
                <w:sz w:val="24"/>
                <w:highlight w:val="none"/>
              </w:rPr>
            </w:pPr>
          </w:p>
        </w:tc>
        <w:tc>
          <w:tcPr>
            <w:tcW w:w="876" w:type="dxa"/>
            <w:tcBorders>
              <w:top w:val="single" w:color="auto" w:sz="4" w:space="0"/>
              <w:left w:val="single" w:color="auto" w:sz="4" w:space="0"/>
              <w:bottom w:val="single" w:color="auto" w:sz="4" w:space="0"/>
              <w:right w:val="single" w:color="auto" w:sz="4" w:space="0"/>
            </w:tcBorders>
            <w:noWrap w:val="0"/>
            <w:vAlign w:val="top"/>
          </w:tcPr>
          <w:p w14:paraId="07A68383">
            <w:pPr>
              <w:spacing w:line="380" w:lineRule="exact"/>
              <w:rPr>
                <w:rFonts w:hint="eastAsia" w:ascii="宋体" w:hAnsi="宋体" w:cs="宋体"/>
                <w:color w:val="auto"/>
                <w:sz w:val="24"/>
                <w:highlight w:val="none"/>
              </w:rPr>
            </w:pPr>
          </w:p>
        </w:tc>
        <w:tc>
          <w:tcPr>
            <w:tcW w:w="1356" w:type="dxa"/>
            <w:tcBorders>
              <w:top w:val="single" w:color="auto" w:sz="4" w:space="0"/>
              <w:left w:val="single" w:color="auto" w:sz="4" w:space="0"/>
              <w:bottom w:val="single" w:color="auto" w:sz="4" w:space="0"/>
              <w:right w:val="single" w:color="auto" w:sz="4" w:space="0"/>
            </w:tcBorders>
            <w:noWrap w:val="0"/>
            <w:vAlign w:val="top"/>
          </w:tcPr>
          <w:p w14:paraId="791CE597">
            <w:pPr>
              <w:spacing w:line="380" w:lineRule="exact"/>
              <w:rPr>
                <w:rFonts w:hint="eastAsia" w:ascii="宋体" w:hAnsi="宋体" w:cs="宋体"/>
                <w:color w:val="auto"/>
                <w:sz w:val="24"/>
                <w:highlight w:val="none"/>
              </w:rPr>
            </w:pPr>
          </w:p>
        </w:tc>
        <w:tc>
          <w:tcPr>
            <w:tcW w:w="2784" w:type="dxa"/>
            <w:tcBorders>
              <w:top w:val="single" w:color="auto" w:sz="4" w:space="0"/>
              <w:left w:val="single" w:color="auto" w:sz="4" w:space="0"/>
              <w:bottom w:val="single" w:color="auto" w:sz="4" w:space="0"/>
              <w:right w:val="single" w:color="auto" w:sz="4" w:space="0"/>
            </w:tcBorders>
            <w:noWrap w:val="0"/>
            <w:vAlign w:val="top"/>
          </w:tcPr>
          <w:p w14:paraId="5701A68C">
            <w:pPr>
              <w:spacing w:line="380" w:lineRule="exact"/>
              <w:rPr>
                <w:rFonts w:hint="eastAsia" w:ascii="宋体" w:hAnsi="宋体" w:cs="宋体"/>
                <w:color w:val="auto"/>
                <w:sz w:val="24"/>
                <w:highlight w:val="none"/>
              </w:rPr>
            </w:pPr>
          </w:p>
        </w:tc>
      </w:tr>
    </w:tbl>
    <w:p w14:paraId="5986DFF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3.营业执照见附件。</w:t>
      </w:r>
    </w:p>
    <w:p w14:paraId="23409A6C">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就我方全部所知，兹证明上述声明是真实、正确的，并已提供了全部现有资料和数据，我方同意根据贵方要求出示文件予以证实。</w:t>
      </w:r>
    </w:p>
    <w:p w14:paraId="40E468C0">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投标人（全称并加盖公章）：</w:t>
      </w:r>
      <w:r>
        <w:rPr>
          <w:rFonts w:hint="eastAsia" w:ascii="宋体" w:hAnsi="宋体" w:cs="宋体"/>
          <w:color w:val="auto"/>
          <w:sz w:val="24"/>
          <w:highlight w:val="none"/>
          <w:u w:val="single"/>
        </w:rPr>
        <w:t xml:space="preserve">                   </w:t>
      </w:r>
    </w:p>
    <w:p w14:paraId="055EF7C8">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    投标人代表签字：</w:t>
      </w:r>
      <w:r>
        <w:rPr>
          <w:rFonts w:hint="eastAsia" w:ascii="宋体" w:hAnsi="宋体" w:cs="宋体"/>
          <w:color w:val="auto"/>
          <w:sz w:val="24"/>
          <w:highlight w:val="none"/>
          <w:u w:val="single"/>
        </w:rPr>
        <w:t xml:space="preserve">                            </w:t>
      </w:r>
    </w:p>
    <w:p w14:paraId="3BBAE43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58240EA9">
      <w:pPr>
        <w:spacing w:line="38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电      传：</w:t>
      </w:r>
      <w:r>
        <w:rPr>
          <w:rFonts w:hint="eastAsia" w:ascii="宋体" w:hAnsi="宋体" w:cs="宋体"/>
          <w:color w:val="auto"/>
          <w:sz w:val="24"/>
          <w:highlight w:val="none"/>
          <w:u w:val="single"/>
        </w:rPr>
        <w:t xml:space="preserve">                </w:t>
      </w:r>
    </w:p>
    <w:p w14:paraId="0AFC3FB3">
      <w:pPr>
        <w:spacing w:line="38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传      真：</w:t>
      </w:r>
      <w:r>
        <w:rPr>
          <w:rFonts w:hint="eastAsia" w:ascii="宋体" w:hAnsi="宋体" w:cs="宋体"/>
          <w:color w:val="auto"/>
          <w:sz w:val="24"/>
          <w:highlight w:val="none"/>
          <w:u w:val="single"/>
        </w:rPr>
        <w:t xml:space="preserve">                </w:t>
      </w:r>
    </w:p>
    <w:p w14:paraId="613D1CEA">
      <w:pPr>
        <w:spacing w:line="38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电      话：</w:t>
      </w:r>
      <w:r>
        <w:rPr>
          <w:rFonts w:hint="eastAsia" w:ascii="宋体" w:hAnsi="宋体" w:cs="宋体"/>
          <w:color w:val="auto"/>
          <w:sz w:val="24"/>
          <w:highlight w:val="none"/>
          <w:u w:val="single"/>
        </w:rPr>
        <w:t xml:space="preserve">                </w:t>
      </w:r>
      <w:bookmarkStart w:id="309" w:name="_Toc316289922"/>
      <w:bookmarkStart w:id="310" w:name="_Toc185762843"/>
      <w:bookmarkStart w:id="311" w:name="_Toc314838400"/>
      <w:bookmarkStart w:id="312" w:name="_Toc339897485"/>
      <w:bookmarkStart w:id="313" w:name="_Toc189829969"/>
      <w:bookmarkStart w:id="314" w:name="_Toc189832486"/>
      <w:bookmarkStart w:id="315" w:name="_Toc339897520"/>
    </w:p>
    <w:p w14:paraId="526F6C83">
      <w:pPr>
        <w:pStyle w:val="145"/>
        <w:pageBreakBefore/>
        <w:spacing w:line="360" w:lineRule="auto"/>
        <w:jc w:val="center"/>
        <w:outlineLvl w:val="1"/>
        <w:rPr>
          <w:rFonts w:hint="eastAsia" w:ascii="宋体" w:hAnsi="宋体" w:eastAsia="宋体" w:cs="宋体"/>
          <w:b/>
          <w:color w:val="auto"/>
          <w:sz w:val="30"/>
          <w:szCs w:val="30"/>
          <w:highlight w:val="none"/>
        </w:rPr>
      </w:pPr>
      <w:bookmarkStart w:id="316" w:name="_Toc12406"/>
      <w:bookmarkStart w:id="317" w:name="_Toc27708"/>
      <w:r>
        <w:rPr>
          <w:rFonts w:hint="eastAsia" w:ascii="宋体" w:hAnsi="宋体" w:eastAsia="宋体" w:cs="宋体"/>
          <w:b/>
          <w:color w:val="auto"/>
          <w:sz w:val="30"/>
          <w:szCs w:val="30"/>
          <w:highlight w:val="none"/>
        </w:rPr>
        <w:t>法定代表人（或单位负责人）授权书</w:t>
      </w:r>
      <w:bookmarkEnd w:id="309"/>
      <w:bookmarkEnd w:id="310"/>
      <w:bookmarkEnd w:id="311"/>
      <w:bookmarkEnd w:id="312"/>
      <w:bookmarkEnd w:id="313"/>
      <w:bookmarkEnd w:id="314"/>
      <w:bookmarkEnd w:id="315"/>
      <w:bookmarkEnd w:id="316"/>
      <w:bookmarkEnd w:id="317"/>
    </w:p>
    <w:p w14:paraId="046A2CC5">
      <w:pPr>
        <w:pStyle w:val="164"/>
        <w:numPr>
          <w:ilvl w:val="2"/>
          <w:numId w:val="0"/>
        </w:numPr>
        <w:tabs>
          <w:tab w:val="left" w:pos="1260"/>
        </w:tabs>
        <w:adjustRightInd/>
        <w:spacing w:before="0" w:line="360" w:lineRule="auto"/>
        <w:outlineLvl w:val="9"/>
        <w:rPr>
          <w:rFonts w:hint="eastAsia" w:ascii="宋体" w:hAnsi="宋体" w:eastAsia="宋体" w:cs="宋体"/>
          <w:color w:val="auto"/>
          <w:sz w:val="24"/>
          <w:szCs w:val="24"/>
          <w:highlight w:val="none"/>
        </w:rPr>
      </w:pPr>
    </w:p>
    <w:p w14:paraId="7B8C9546">
      <w:pPr>
        <w:spacing w:line="380" w:lineRule="exact"/>
        <w:rPr>
          <w:rFonts w:hint="eastAsia" w:ascii="宋体" w:hAnsi="宋体" w:cs="宋体"/>
          <w:color w:val="auto"/>
          <w:sz w:val="24"/>
          <w:highlight w:val="none"/>
        </w:rPr>
      </w:pPr>
      <w:bookmarkStart w:id="318" w:name="_Toc189832487"/>
      <w:bookmarkStart w:id="319" w:name="_Toc316289923"/>
      <w:bookmarkStart w:id="320" w:name="_Toc311237597"/>
      <w:bookmarkStart w:id="321" w:name="_Toc314838401"/>
      <w:bookmarkStart w:id="322" w:name="_Toc189829970"/>
      <w:bookmarkStart w:id="323" w:name="_Toc339897522"/>
      <w:bookmarkStart w:id="324" w:name="_Toc339897521"/>
      <w:bookmarkStart w:id="325" w:name="_Toc339897487"/>
      <w:bookmarkStart w:id="326" w:name="_Toc185762844"/>
      <w:bookmarkStart w:id="327" w:name="_Toc339897486"/>
      <w:bookmarkStart w:id="328" w:name="_Toc311237629"/>
      <w:bookmarkStart w:id="329" w:name="_Toc311237685"/>
      <w:r>
        <w:rPr>
          <w:rFonts w:hint="eastAsia" w:ascii="宋体" w:hAnsi="宋体" w:cs="宋体"/>
          <w:color w:val="auto"/>
          <w:sz w:val="24"/>
          <w:highlight w:val="none"/>
          <w:u w:val="single"/>
        </w:rPr>
        <w:t>厦门市华沧采购招标有限公司</w:t>
      </w:r>
      <w:r>
        <w:rPr>
          <w:rFonts w:hint="eastAsia" w:ascii="宋体" w:hAnsi="宋体" w:cs="宋体"/>
          <w:color w:val="auto"/>
          <w:sz w:val="24"/>
          <w:highlight w:val="none"/>
        </w:rPr>
        <w:t>：</w:t>
      </w:r>
    </w:p>
    <w:p w14:paraId="2277EC65">
      <w:pPr>
        <w:pStyle w:val="26"/>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（投标人全称）</w:t>
      </w:r>
      <w:r>
        <w:rPr>
          <w:rFonts w:hint="eastAsia" w:ascii="宋体" w:hAnsi="宋体" w:eastAsia="宋体" w:cs="宋体"/>
          <w:color w:val="auto"/>
          <w:sz w:val="24"/>
          <w:szCs w:val="24"/>
          <w:highlight w:val="none"/>
        </w:rPr>
        <w:t>法定代表人（或单位负责人）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授权</w:t>
      </w:r>
      <w:r>
        <w:rPr>
          <w:rFonts w:hint="eastAsia" w:ascii="宋体" w:hAnsi="宋体" w:eastAsia="宋体" w:cs="宋体"/>
          <w:color w:val="auto"/>
          <w:sz w:val="24"/>
          <w:szCs w:val="24"/>
          <w:highlight w:val="none"/>
          <w:u w:val="single"/>
        </w:rPr>
        <w:t xml:space="preserve">  （投标人代表姓名）</w:t>
      </w:r>
      <w:r>
        <w:rPr>
          <w:rFonts w:hint="eastAsia" w:ascii="宋体" w:hAnsi="宋体" w:eastAsia="宋体" w:cs="宋体"/>
          <w:color w:val="auto"/>
          <w:sz w:val="24"/>
          <w:szCs w:val="24"/>
          <w:highlight w:val="none"/>
        </w:rPr>
        <w:t>为投标人代表，代表本公司参加贵司组织的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投标活动，全权代表本公司处理投标过程的一切事宜，包括但不限于：投标、澄清、签约等。投标人代表在投标过程中所签署的一切文件和处理与之有关的一切事务，本公司均予以认可并对此承担责任。投标人代表无转委权。特此授权。</w:t>
      </w:r>
    </w:p>
    <w:p w14:paraId="092AEDA0">
      <w:pPr>
        <w:pStyle w:val="26"/>
        <w:snapToGrid w:val="0"/>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本授权书自出具之日起生效。</w:t>
      </w:r>
    </w:p>
    <w:p w14:paraId="5931E1D7">
      <w:pPr>
        <w:spacing w:line="380" w:lineRule="exact"/>
        <w:rPr>
          <w:rFonts w:hint="eastAsia" w:ascii="宋体" w:hAnsi="宋体" w:cs="宋体"/>
          <w:color w:val="auto"/>
          <w:sz w:val="24"/>
          <w:highlight w:val="none"/>
        </w:rPr>
      </w:pPr>
    </w:p>
    <w:p w14:paraId="07737943">
      <w:pPr>
        <w:spacing w:line="380" w:lineRule="exact"/>
        <w:rPr>
          <w:rFonts w:hint="eastAsia" w:ascii="宋体" w:hAnsi="宋体" w:cs="宋体"/>
          <w:color w:val="auto"/>
          <w:sz w:val="24"/>
          <w:highlight w:val="none"/>
        </w:rPr>
      </w:pPr>
    </w:p>
    <w:p w14:paraId="5F54B4F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性别：</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身份证号：</w:t>
      </w:r>
      <w:r>
        <w:rPr>
          <w:rFonts w:hint="eastAsia" w:ascii="宋体" w:hAnsi="宋体" w:cs="宋体"/>
          <w:color w:val="auto"/>
          <w:sz w:val="24"/>
          <w:highlight w:val="none"/>
          <w:u w:val="single"/>
        </w:rPr>
        <w:t xml:space="preserve">                  </w:t>
      </w:r>
    </w:p>
    <w:p w14:paraId="69EC38AF">
      <w:pPr>
        <w:spacing w:line="380" w:lineRule="exact"/>
        <w:rPr>
          <w:rFonts w:hint="eastAsia" w:ascii="宋体" w:hAnsi="宋体" w:cs="宋体"/>
          <w:color w:val="auto"/>
          <w:sz w:val="24"/>
          <w:highlight w:val="none"/>
        </w:rPr>
      </w:pPr>
      <w:r>
        <w:rPr>
          <w:rFonts w:hint="eastAsia" w:ascii="宋体" w:hAnsi="宋体" w:cs="宋体"/>
          <w:color w:val="auto"/>
          <w:sz w:val="24"/>
          <w:highlight w:val="none"/>
        </w:rPr>
        <w:t>单位：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部门：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71391F1F">
      <w:pPr>
        <w:spacing w:line="380" w:lineRule="exact"/>
        <w:rPr>
          <w:rFonts w:hint="eastAsia" w:ascii="宋体" w:hAnsi="宋体" w:cs="宋体"/>
          <w:color w:val="auto"/>
          <w:sz w:val="24"/>
          <w:highlight w:val="none"/>
        </w:rPr>
      </w:pPr>
      <w:r>
        <w:rPr>
          <w:rFonts w:hint="eastAsia" w:ascii="宋体" w:hAnsi="宋体" w:cs="宋体"/>
          <w:color w:val="auto"/>
          <w:sz w:val="24"/>
          <w:highlight w:val="none"/>
        </w:rPr>
        <w:t>详细通讯地址：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w:t>
      </w:r>
      <w:r>
        <w:rPr>
          <w:rFonts w:hint="eastAsia" w:ascii="宋体" w:hAnsi="宋体" w:cs="宋体"/>
          <w:color w:val="auto"/>
          <w:sz w:val="24"/>
          <w:highlight w:val="none"/>
        </w:rPr>
        <w:t>邮政编码: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电话：</w:t>
      </w:r>
      <w:r>
        <w:rPr>
          <w:rFonts w:hint="eastAsia" w:ascii="宋体" w:hAnsi="宋体" w:cs="宋体"/>
          <w:color w:val="auto"/>
          <w:sz w:val="24"/>
          <w:highlight w:val="none"/>
          <w:u w:val="single"/>
        </w:rPr>
        <w:t xml:space="preserve">              </w:t>
      </w:r>
    </w:p>
    <w:p w14:paraId="1ADDFB3C">
      <w:pPr>
        <w:spacing w:line="380" w:lineRule="exact"/>
        <w:rPr>
          <w:rFonts w:hint="eastAsia" w:ascii="宋体" w:hAnsi="宋体" w:cs="宋体"/>
          <w:color w:val="auto"/>
          <w:sz w:val="24"/>
          <w:highlight w:val="none"/>
        </w:rPr>
      </w:pPr>
    </w:p>
    <w:p w14:paraId="7774147C">
      <w:pPr>
        <w:spacing w:line="380" w:lineRule="exact"/>
        <w:rPr>
          <w:rFonts w:hint="eastAsia" w:ascii="宋体" w:hAnsi="宋体" w:cs="宋体"/>
          <w:color w:val="auto"/>
          <w:sz w:val="24"/>
          <w:highlight w:val="none"/>
        </w:rPr>
      </w:pPr>
    </w:p>
    <w:p w14:paraId="1633F04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附：被授权人身份证有效复印件</w:t>
      </w:r>
    </w:p>
    <w:p w14:paraId="410EA6C9">
      <w:pPr>
        <w:spacing w:line="380" w:lineRule="exact"/>
        <w:rPr>
          <w:rFonts w:hint="eastAsia" w:ascii="宋体" w:hAnsi="宋体" w:cs="宋体"/>
          <w:color w:val="auto"/>
          <w:sz w:val="24"/>
          <w:highlight w:val="none"/>
        </w:rPr>
      </w:pPr>
    </w:p>
    <w:p w14:paraId="32E0334E">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授权方</w:t>
      </w:r>
    </w:p>
    <w:p w14:paraId="09CB5357">
      <w:pPr>
        <w:spacing w:line="380" w:lineRule="exact"/>
        <w:rPr>
          <w:rFonts w:hint="eastAsia" w:ascii="宋体" w:hAnsi="宋体" w:cs="宋体"/>
          <w:color w:val="auto"/>
          <w:sz w:val="24"/>
          <w:highlight w:val="none"/>
        </w:rPr>
      </w:pPr>
    </w:p>
    <w:p w14:paraId="1B6CC8C4">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p>
    <w:p w14:paraId="7E833B0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27C6BEA8">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法定代表人（或单位负责人）签字：</w:t>
      </w:r>
      <w:r>
        <w:rPr>
          <w:rFonts w:hint="eastAsia" w:ascii="宋体" w:hAnsi="宋体" w:cs="宋体"/>
          <w:color w:val="auto"/>
          <w:sz w:val="24"/>
          <w:highlight w:val="none"/>
          <w:u w:val="single"/>
        </w:rPr>
        <w:t xml:space="preserve">                     </w:t>
      </w:r>
    </w:p>
    <w:p w14:paraId="64B4FB5B">
      <w:pPr>
        <w:spacing w:line="380" w:lineRule="exact"/>
        <w:rPr>
          <w:rFonts w:hint="eastAsia" w:ascii="宋体" w:hAnsi="宋体" w:cs="宋体"/>
          <w:color w:val="auto"/>
          <w:sz w:val="24"/>
          <w:highlight w:val="none"/>
        </w:rPr>
      </w:pPr>
    </w:p>
    <w:p w14:paraId="30E5D62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0BF72FC2">
      <w:pPr>
        <w:spacing w:line="380" w:lineRule="exact"/>
        <w:rPr>
          <w:rFonts w:hint="eastAsia" w:ascii="宋体" w:hAnsi="宋体" w:cs="宋体"/>
          <w:color w:val="auto"/>
          <w:sz w:val="24"/>
          <w:highlight w:val="none"/>
        </w:rPr>
      </w:pPr>
    </w:p>
    <w:p w14:paraId="0F7BCD9F">
      <w:pPr>
        <w:spacing w:line="380" w:lineRule="exact"/>
        <w:rPr>
          <w:rFonts w:hint="eastAsia" w:ascii="宋体" w:hAnsi="宋体" w:cs="宋体"/>
          <w:color w:val="auto"/>
          <w:sz w:val="24"/>
          <w:highlight w:val="none"/>
        </w:rPr>
      </w:pPr>
    </w:p>
    <w:p w14:paraId="07C6FAF6">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接受授权方</w:t>
      </w:r>
    </w:p>
    <w:p w14:paraId="10224CCE">
      <w:pPr>
        <w:spacing w:line="380" w:lineRule="exact"/>
        <w:rPr>
          <w:rFonts w:hint="eastAsia" w:ascii="宋体" w:hAnsi="宋体" w:cs="宋体"/>
          <w:color w:val="auto"/>
          <w:sz w:val="24"/>
          <w:highlight w:val="none"/>
        </w:rPr>
      </w:pPr>
    </w:p>
    <w:p w14:paraId="6D0EFC58">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1DE629C6">
      <w:pPr>
        <w:spacing w:line="380" w:lineRule="exact"/>
        <w:rPr>
          <w:rFonts w:hint="eastAsia" w:ascii="宋体" w:hAnsi="宋体" w:cs="宋体"/>
          <w:color w:val="auto"/>
          <w:sz w:val="24"/>
          <w:highlight w:val="none"/>
        </w:rPr>
      </w:pPr>
    </w:p>
    <w:p w14:paraId="3B340777">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76F7AC6E">
      <w:pPr>
        <w:spacing w:line="380" w:lineRule="exact"/>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5F8E3ACB">
      <w:pPr>
        <w:spacing w:line="380" w:lineRule="exact"/>
        <w:rPr>
          <w:rFonts w:hint="eastAsia" w:ascii="宋体" w:hAnsi="宋体" w:cs="宋体"/>
          <w:color w:val="auto"/>
          <w:sz w:val="24"/>
          <w:highlight w:val="none"/>
        </w:rPr>
      </w:pPr>
    </w:p>
    <w:p w14:paraId="53766688">
      <w:pPr>
        <w:spacing w:line="380" w:lineRule="exact"/>
        <w:rPr>
          <w:rFonts w:hint="eastAsia" w:ascii="宋体" w:hAnsi="宋体" w:cs="宋体"/>
          <w:color w:val="auto"/>
          <w:sz w:val="24"/>
          <w:highlight w:val="none"/>
        </w:rPr>
      </w:pPr>
    </w:p>
    <w:tbl>
      <w:tblPr>
        <w:tblStyle w:val="51"/>
        <w:tblpPr w:leftFromText="180" w:rightFromText="180" w:vertAnchor="text" w:tblpX="316" w:tblpY="10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0"/>
        <w:gridCol w:w="4575"/>
      </w:tblGrid>
      <w:tr w14:paraId="5EB06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0" w:hRule="atLeast"/>
        </w:trPr>
        <w:tc>
          <w:tcPr>
            <w:tcW w:w="4980" w:type="dxa"/>
            <w:noWrap w:val="0"/>
            <w:vAlign w:val="top"/>
          </w:tcPr>
          <w:p w14:paraId="744C3BF9">
            <w:pPr>
              <w:pStyle w:val="301"/>
              <w:widowControl w:val="0"/>
              <w:jc w:val="both"/>
              <w:rPr>
                <w:rFonts w:ascii="宋体" w:hAnsi="宋体" w:cs="宋体"/>
                <w:color w:val="auto"/>
                <w:sz w:val="24"/>
                <w:szCs w:val="24"/>
                <w:highlight w:val="none"/>
              </w:rPr>
            </w:pPr>
            <w:r>
              <w:rPr>
                <w:rFonts w:ascii="宋体" w:hAnsi="宋体" w:cs="宋体"/>
                <w:color w:val="auto"/>
                <w:sz w:val="24"/>
                <w:szCs w:val="24"/>
                <w:highlight w:val="none"/>
              </w:rPr>
              <w:t>法定代表人</w:t>
            </w:r>
            <w:r>
              <w:rPr>
                <w:rFonts w:ascii="宋体" w:hAnsi="宋体" w:cs="宋体"/>
                <w:color w:val="auto"/>
                <w:sz w:val="24"/>
                <w:highlight w:val="none"/>
              </w:rPr>
              <w:t>（或单位负责人）</w:t>
            </w:r>
            <w:r>
              <w:rPr>
                <w:rFonts w:ascii="宋体" w:hAnsi="宋体" w:cs="宋体"/>
                <w:color w:val="auto"/>
                <w:sz w:val="24"/>
                <w:szCs w:val="24"/>
                <w:highlight w:val="none"/>
              </w:rPr>
              <w:t>身份证正面</w:t>
            </w:r>
          </w:p>
        </w:tc>
        <w:tc>
          <w:tcPr>
            <w:tcW w:w="4575" w:type="dxa"/>
            <w:noWrap w:val="0"/>
            <w:vAlign w:val="top"/>
          </w:tcPr>
          <w:p w14:paraId="1553EC33">
            <w:pPr>
              <w:pStyle w:val="301"/>
              <w:widowControl w:val="0"/>
              <w:jc w:val="both"/>
              <w:rPr>
                <w:rFonts w:ascii="宋体" w:hAnsi="宋体" w:cs="宋体"/>
                <w:color w:val="auto"/>
                <w:sz w:val="24"/>
                <w:szCs w:val="24"/>
                <w:highlight w:val="none"/>
              </w:rPr>
            </w:pPr>
            <w:r>
              <w:rPr>
                <w:rFonts w:ascii="宋体" w:hAnsi="宋体" w:cs="宋体"/>
                <w:color w:val="auto"/>
                <w:sz w:val="24"/>
                <w:szCs w:val="24"/>
                <w:highlight w:val="none"/>
              </w:rPr>
              <w:t>法定代表人</w:t>
            </w:r>
            <w:r>
              <w:rPr>
                <w:rFonts w:ascii="宋体" w:hAnsi="宋体" w:cs="宋体"/>
                <w:color w:val="auto"/>
                <w:sz w:val="24"/>
                <w:highlight w:val="none"/>
              </w:rPr>
              <w:t>（或单位负责人）</w:t>
            </w:r>
            <w:r>
              <w:rPr>
                <w:rFonts w:ascii="宋体" w:hAnsi="宋体" w:cs="宋体"/>
                <w:color w:val="auto"/>
                <w:sz w:val="24"/>
                <w:szCs w:val="24"/>
                <w:highlight w:val="none"/>
              </w:rPr>
              <w:t>身份证反面</w:t>
            </w:r>
          </w:p>
        </w:tc>
      </w:tr>
      <w:tr w14:paraId="0D13A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5" w:hRule="atLeast"/>
        </w:trPr>
        <w:tc>
          <w:tcPr>
            <w:tcW w:w="4980" w:type="dxa"/>
            <w:noWrap w:val="0"/>
            <w:vAlign w:val="top"/>
          </w:tcPr>
          <w:p w14:paraId="49EB85CB">
            <w:pPr>
              <w:pStyle w:val="301"/>
              <w:widowControl w:val="0"/>
              <w:jc w:val="both"/>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ascii="宋体" w:hAnsi="宋体" w:cs="宋体"/>
                <w:color w:val="auto"/>
                <w:sz w:val="24"/>
                <w:szCs w:val="24"/>
                <w:highlight w:val="none"/>
              </w:rPr>
              <w:t>代表的身份证正面</w:t>
            </w:r>
          </w:p>
        </w:tc>
        <w:tc>
          <w:tcPr>
            <w:tcW w:w="4575" w:type="dxa"/>
            <w:noWrap w:val="0"/>
            <w:vAlign w:val="top"/>
          </w:tcPr>
          <w:p w14:paraId="0C707538">
            <w:pPr>
              <w:pStyle w:val="301"/>
              <w:widowControl w:val="0"/>
              <w:jc w:val="both"/>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投标人</w:t>
            </w:r>
            <w:r>
              <w:rPr>
                <w:rFonts w:ascii="宋体" w:hAnsi="宋体" w:cs="宋体"/>
                <w:color w:val="auto"/>
                <w:sz w:val="24"/>
                <w:szCs w:val="24"/>
                <w:highlight w:val="none"/>
              </w:rPr>
              <w:t>代表的身份证反面</w:t>
            </w:r>
          </w:p>
        </w:tc>
      </w:tr>
    </w:tbl>
    <w:p w14:paraId="2954A23E">
      <w:pPr>
        <w:spacing w:line="380" w:lineRule="exact"/>
        <w:rPr>
          <w:rFonts w:hint="eastAsia" w:ascii="宋体" w:hAnsi="宋体" w:cs="宋体"/>
          <w:color w:val="auto"/>
          <w:sz w:val="24"/>
          <w:highlight w:val="none"/>
        </w:rPr>
      </w:pPr>
    </w:p>
    <w:bookmarkEnd w:id="318"/>
    <w:bookmarkEnd w:id="319"/>
    <w:bookmarkEnd w:id="320"/>
    <w:bookmarkEnd w:id="321"/>
    <w:bookmarkEnd w:id="322"/>
    <w:bookmarkEnd w:id="323"/>
    <w:bookmarkEnd w:id="324"/>
    <w:bookmarkEnd w:id="325"/>
    <w:bookmarkEnd w:id="326"/>
    <w:bookmarkEnd w:id="327"/>
    <w:bookmarkEnd w:id="328"/>
    <w:bookmarkEnd w:id="329"/>
    <w:p w14:paraId="7C9552D6">
      <w:pPr>
        <w:pStyle w:val="145"/>
        <w:keepLines/>
        <w:pageBreakBefore/>
        <w:jc w:val="center"/>
        <w:outlineLvl w:val="2"/>
        <w:rPr>
          <w:rFonts w:hint="eastAsia" w:ascii="宋体" w:hAnsi="宋体" w:eastAsia="宋体" w:cs="宋体"/>
          <w:b/>
          <w:color w:val="auto"/>
          <w:sz w:val="30"/>
          <w:szCs w:val="30"/>
          <w:highlight w:val="none"/>
        </w:rPr>
      </w:pPr>
      <w:bookmarkStart w:id="330" w:name="_Toc448765903"/>
      <w:bookmarkStart w:id="331" w:name="_Toc10051"/>
      <w:bookmarkStart w:id="332" w:name="_Toc405929405"/>
      <w:bookmarkStart w:id="333" w:name="_Toc111095888"/>
      <w:bookmarkStart w:id="334" w:name="_Toc111053593"/>
      <w:bookmarkStart w:id="335" w:name="_Toc2606"/>
      <w:bookmarkStart w:id="336" w:name="_Toc12563"/>
      <w:bookmarkStart w:id="337" w:name="_Toc111381658"/>
      <w:bookmarkStart w:id="338" w:name="_Toc339897523"/>
      <w:bookmarkStart w:id="339" w:name="_Toc316289924"/>
      <w:bookmarkStart w:id="340" w:name="_Toc339897488"/>
      <w:bookmarkStart w:id="341" w:name="_Toc21434"/>
      <w:bookmarkStart w:id="342" w:name="_Toc314838402"/>
      <w:r>
        <w:rPr>
          <w:rFonts w:hint="eastAsia" w:ascii="宋体" w:hAnsi="宋体" w:eastAsia="宋体" w:cs="宋体"/>
          <w:b/>
          <w:color w:val="auto"/>
          <w:sz w:val="30"/>
          <w:szCs w:val="30"/>
          <w:highlight w:val="none"/>
        </w:rPr>
        <w:t>营业执照</w:t>
      </w:r>
      <w:bookmarkEnd w:id="330"/>
      <w:bookmarkEnd w:id="331"/>
      <w:bookmarkEnd w:id="332"/>
      <w:r>
        <w:rPr>
          <w:rFonts w:hint="eastAsia" w:ascii="宋体" w:hAnsi="宋体" w:eastAsia="宋体" w:cs="宋体"/>
          <w:b/>
          <w:color w:val="auto"/>
          <w:sz w:val="30"/>
          <w:szCs w:val="30"/>
          <w:highlight w:val="none"/>
        </w:rPr>
        <w:t>（或事业单位法人证书或执业许可证或相应具体证照）</w:t>
      </w:r>
      <w:bookmarkEnd w:id="333"/>
      <w:bookmarkEnd w:id="334"/>
      <w:bookmarkEnd w:id="335"/>
      <w:bookmarkEnd w:id="336"/>
      <w:bookmarkEnd w:id="337"/>
    </w:p>
    <w:p w14:paraId="1865848C">
      <w:pPr>
        <w:rPr>
          <w:rFonts w:hint="eastAsia" w:ascii="宋体" w:hAnsi="宋体" w:cs="宋体"/>
          <w:color w:val="auto"/>
          <w:sz w:val="24"/>
          <w:highlight w:val="none"/>
        </w:rPr>
      </w:pPr>
    </w:p>
    <w:p w14:paraId="6DFB9FFB">
      <w:pPr>
        <w:rPr>
          <w:rFonts w:hint="eastAsia" w:ascii="宋体" w:hAnsi="宋体" w:cs="宋体"/>
          <w:color w:val="auto"/>
          <w:sz w:val="24"/>
          <w:highlight w:val="none"/>
        </w:rPr>
      </w:pPr>
      <w:r>
        <w:rPr>
          <w:rFonts w:hint="eastAsia" w:ascii="宋体" w:hAnsi="宋体" w:cs="宋体"/>
          <w:color w:val="auto"/>
          <w:sz w:val="24"/>
          <w:highlight w:val="none"/>
          <w:u w:val="single"/>
        </w:rPr>
        <w:t>厦门市华沧采购招标有限公司</w:t>
      </w:r>
      <w:r>
        <w:rPr>
          <w:rFonts w:hint="eastAsia" w:ascii="宋体" w:hAnsi="宋体" w:cs="宋体"/>
          <w:color w:val="auto"/>
          <w:sz w:val="24"/>
          <w:highlight w:val="none"/>
        </w:rPr>
        <w:t>：</w:t>
      </w:r>
    </w:p>
    <w:p w14:paraId="51D8409E">
      <w:pPr>
        <w:rPr>
          <w:rFonts w:hint="eastAsia" w:ascii="宋体" w:hAnsi="宋体" w:cs="宋体"/>
          <w:color w:val="auto"/>
          <w:sz w:val="24"/>
          <w:highlight w:val="none"/>
        </w:rPr>
      </w:pPr>
    </w:p>
    <w:p w14:paraId="689ACAD8">
      <w:pPr>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现附上由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（签发机关名称）签发的我方营业执照（或事业单位法人证书或执业许可证或相应具体证照）副本复印件，</w:t>
      </w:r>
      <w:r>
        <w:rPr>
          <w:rFonts w:hint="eastAsia" w:ascii="宋体" w:hAnsi="宋体" w:cs="宋体"/>
          <w:color w:val="auto"/>
          <w:kern w:val="0"/>
          <w:sz w:val="24"/>
          <w:highlight w:val="none"/>
        </w:rPr>
        <w:t>该证件真实有效。</w:t>
      </w:r>
    </w:p>
    <w:p w14:paraId="316A9B8E">
      <w:pPr>
        <w:pStyle w:val="20"/>
        <w:spacing w:line="360" w:lineRule="auto"/>
        <w:jc w:val="left"/>
        <w:rPr>
          <w:rFonts w:hint="eastAsia" w:ascii="宋体" w:hAnsi="宋体" w:cs="宋体"/>
          <w:color w:val="auto"/>
          <w:highlight w:val="none"/>
        </w:rPr>
      </w:pPr>
    </w:p>
    <w:p w14:paraId="1FE3D9D4">
      <w:pPr>
        <w:spacing w:line="380" w:lineRule="exact"/>
        <w:rPr>
          <w:rFonts w:hint="eastAsia" w:ascii="宋体" w:hAnsi="宋体" w:cs="宋体"/>
          <w:color w:val="auto"/>
          <w:sz w:val="24"/>
          <w:highlight w:val="none"/>
        </w:rPr>
      </w:pPr>
    </w:p>
    <w:p w14:paraId="04C0D253">
      <w:pPr>
        <w:spacing w:line="380" w:lineRule="exact"/>
        <w:rPr>
          <w:rFonts w:hint="eastAsia" w:ascii="宋体" w:hAnsi="宋体" w:cs="宋体"/>
          <w:color w:val="auto"/>
          <w:sz w:val="24"/>
          <w:highlight w:val="none"/>
        </w:rPr>
      </w:pPr>
    </w:p>
    <w:p w14:paraId="243E3CFC">
      <w:pPr>
        <w:spacing w:line="380" w:lineRule="exact"/>
        <w:rPr>
          <w:rFonts w:hint="eastAsia" w:ascii="宋体" w:hAnsi="宋体" w:cs="宋体"/>
          <w:color w:val="auto"/>
          <w:sz w:val="24"/>
          <w:highlight w:val="none"/>
        </w:rPr>
      </w:pPr>
    </w:p>
    <w:p w14:paraId="139C224D">
      <w:pPr>
        <w:spacing w:line="380" w:lineRule="exact"/>
        <w:rPr>
          <w:rFonts w:hint="eastAsia" w:ascii="宋体" w:hAnsi="宋体" w:cs="宋体"/>
          <w:color w:val="auto"/>
          <w:sz w:val="24"/>
          <w:highlight w:val="none"/>
        </w:rPr>
      </w:pPr>
    </w:p>
    <w:p w14:paraId="6D12CD2C">
      <w:pPr>
        <w:spacing w:line="380" w:lineRule="exact"/>
        <w:rPr>
          <w:rFonts w:hint="eastAsia" w:ascii="宋体" w:hAnsi="宋体" w:cs="宋体"/>
          <w:color w:val="auto"/>
          <w:sz w:val="24"/>
          <w:highlight w:val="none"/>
        </w:rPr>
      </w:pPr>
    </w:p>
    <w:p w14:paraId="61A3C7C2">
      <w:pPr>
        <w:spacing w:line="380" w:lineRule="exact"/>
        <w:rPr>
          <w:rFonts w:hint="eastAsia" w:ascii="宋体" w:hAnsi="宋体" w:cs="宋体"/>
          <w:color w:val="auto"/>
          <w:sz w:val="24"/>
          <w:highlight w:val="none"/>
        </w:rPr>
      </w:pPr>
    </w:p>
    <w:p w14:paraId="0E9C0433">
      <w:pPr>
        <w:spacing w:line="380" w:lineRule="exact"/>
        <w:rPr>
          <w:rFonts w:hint="eastAsia" w:ascii="宋体" w:hAnsi="宋体" w:cs="宋体"/>
          <w:color w:val="auto"/>
          <w:sz w:val="24"/>
          <w:highlight w:val="none"/>
        </w:rPr>
      </w:pPr>
    </w:p>
    <w:p w14:paraId="75B48795">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p>
    <w:p w14:paraId="077B5134">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4EF380D1">
      <w:pPr>
        <w:spacing w:line="380" w:lineRule="exact"/>
        <w:rPr>
          <w:rFonts w:hint="eastAsia" w:ascii="宋体" w:hAnsi="宋体" w:cs="宋体"/>
          <w:color w:val="auto"/>
          <w:sz w:val="24"/>
          <w:highlight w:val="none"/>
        </w:rPr>
      </w:pPr>
      <w:bookmarkStart w:id="343" w:name="_Toc417993863"/>
      <w:bookmarkStart w:id="344" w:name="_Toc421181123"/>
      <w:bookmarkStart w:id="345" w:name="_Toc422421338"/>
      <w:bookmarkStart w:id="346" w:name="_Toc418071959"/>
      <w:bookmarkStart w:id="347" w:name="_Toc423253192"/>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4C51C63C">
      <w:pPr>
        <w:keepNext w:val="0"/>
        <w:pageBreakBefore/>
        <w:spacing w:before="0" w:after="0" w:line="360" w:lineRule="auto"/>
        <w:ind w:left="0"/>
        <w:jc w:val="center"/>
        <w:rPr>
          <w:rFonts w:hint="eastAsia" w:ascii="宋体" w:hAnsi="宋体" w:eastAsia="宋体" w:cs="宋体"/>
          <w:b/>
          <w:bCs/>
          <w:color w:val="auto"/>
          <w:sz w:val="28"/>
          <w:szCs w:val="28"/>
          <w:highlight w:val="none"/>
        </w:rPr>
      </w:pPr>
      <w:bookmarkStart w:id="348" w:name="_Toc32342"/>
      <w:bookmarkStart w:id="349" w:name="_Toc23707"/>
      <w:bookmarkStart w:id="350" w:name="_Toc9703"/>
      <w:bookmarkStart w:id="351" w:name="_Toc475125061"/>
      <w:bookmarkStart w:id="352" w:name="_Toc14525"/>
      <w:bookmarkStart w:id="353" w:name="_Toc475276963"/>
      <w:bookmarkStart w:id="354" w:name="_Toc475121972"/>
      <w:bookmarkStart w:id="355" w:name="_Toc475276962"/>
      <w:bookmarkStart w:id="356" w:name="_Toc474496056"/>
      <w:bookmarkStart w:id="357" w:name="_Toc416968363"/>
      <w:bookmarkStart w:id="358" w:name="_Toc2343"/>
      <w:r>
        <w:rPr>
          <w:rFonts w:hint="eastAsia" w:ascii="宋体" w:hAnsi="宋体" w:eastAsia="宋体" w:cs="宋体"/>
          <w:b/>
          <w:bCs/>
          <w:color w:val="auto"/>
          <w:sz w:val="28"/>
          <w:szCs w:val="28"/>
          <w:highlight w:val="none"/>
        </w:rPr>
        <w:t>资格承诺函</w:t>
      </w:r>
      <w:bookmarkEnd w:id="348"/>
      <w:bookmarkEnd w:id="349"/>
      <w:bookmarkEnd w:id="350"/>
    </w:p>
    <w:p w14:paraId="06323EBE">
      <w:pPr>
        <w:pStyle w:val="28"/>
        <w:tabs>
          <w:tab w:val="left" w:pos="900"/>
        </w:tabs>
        <w:spacing w:line="360" w:lineRule="auto"/>
        <w:rPr>
          <w:rFonts w:hint="eastAsia" w:ascii="宋体" w:hAnsi="宋体" w:cs="宋体"/>
          <w:b/>
          <w:color w:val="auto"/>
          <w:szCs w:val="24"/>
          <w:highlight w:val="none"/>
        </w:rPr>
      </w:pPr>
      <w:r>
        <w:rPr>
          <w:rFonts w:hint="eastAsia" w:ascii="宋体" w:hAnsi="宋体" w:cs="宋体"/>
          <w:color w:val="auto"/>
          <w:szCs w:val="24"/>
          <w:highlight w:val="none"/>
        </w:rPr>
        <w:t>致：</w:t>
      </w:r>
      <w:r>
        <w:rPr>
          <w:rFonts w:hint="eastAsia" w:ascii="宋体" w:hAnsi="宋体" w:cs="宋体"/>
          <w:color w:val="auto"/>
          <w:szCs w:val="24"/>
          <w:highlight w:val="none"/>
          <w:u w:val="single"/>
        </w:rPr>
        <w:t>厦门市华沧采购招标有限公司</w:t>
      </w:r>
    </w:p>
    <w:p w14:paraId="49FE7805">
      <w:pPr>
        <w:spacing w:line="360" w:lineRule="auto"/>
        <w:ind w:firstLine="480" w:firstLineChars="200"/>
        <w:rPr>
          <w:rFonts w:hint="eastAsia" w:ascii="宋体" w:hAnsi="宋体" w:cs="宋体"/>
          <w:color w:val="auto"/>
          <w:sz w:val="24"/>
          <w:highlight w:val="none"/>
        </w:rPr>
      </w:pPr>
      <w:r>
        <w:rPr>
          <w:rFonts w:hint="eastAsia" w:ascii="宋体" w:hAnsi="宋体" w:cs="宋体"/>
          <w:iCs/>
          <w:color w:val="auto"/>
          <w:sz w:val="24"/>
          <w:highlight w:val="none"/>
        </w:rPr>
        <w:t>我单位参与</w:t>
      </w:r>
      <w:r>
        <w:rPr>
          <w:rFonts w:hint="eastAsia" w:ascii="宋体" w:hAnsi="宋体" w:cs="宋体"/>
          <w:iCs/>
          <w:color w:val="auto"/>
          <w:sz w:val="24"/>
          <w:highlight w:val="none"/>
          <w:u w:val="single"/>
        </w:rPr>
        <w:t xml:space="preserve"> （项目名称）</w:t>
      </w:r>
      <w:r>
        <w:rPr>
          <w:rFonts w:hint="eastAsia" w:ascii="宋体" w:hAnsi="宋体" w:cs="宋体"/>
          <w:color w:val="auto"/>
          <w:sz w:val="24"/>
          <w:highlight w:val="none"/>
          <w:u w:val="single"/>
        </w:rPr>
        <w:t>（项目编号）</w:t>
      </w:r>
      <w:r>
        <w:rPr>
          <w:rFonts w:hint="eastAsia" w:ascii="宋体" w:hAnsi="宋体" w:cs="宋体"/>
          <w:color w:val="auto"/>
          <w:sz w:val="24"/>
          <w:highlight w:val="none"/>
        </w:rPr>
        <w:t>项目的采购活动，现我司承诺按如下条款执行：</w:t>
      </w:r>
    </w:p>
    <w:p w14:paraId="31079A83">
      <w:pPr>
        <w:spacing w:line="560" w:lineRule="exact"/>
        <w:ind w:firstLine="480" w:firstLineChars="200"/>
        <w:rPr>
          <w:rFonts w:hint="eastAsia" w:hAnsi="宋体"/>
          <w:color w:val="auto"/>
          <w:sz w:val="24"/>
          <w:highlight w:val="none"/>
        </w:rPr>
      </w:pPr>
      <w:r>
        <w:rPr>
          <w:rFonts w:hint="eastAsia" w:hAnsi="宋体"/>
          <w:color w:val="auto"/>
          <w:sz w:val="24"/>
          <w:highlight w:val="none"/>
          <w:lang w:val="en-US" w:eastAsia="zh-CN"/>
        </w:rPr>
        <w:t>1</w:t>
      </w:r>
      <w:r>
        <w:rPr>
          <w:rFonts w:hint="eastAsia" w:hAnsi="宋体"/>
          <w:color w:val="auto"/>
          <w:sz w:val="24"/>
          <w:highlight w:val="none"/>
        </w:rPr>
        <w:t>.我司郑重承诺，单位负责人、法定代表人为同一人或者存在直接控股、管理关系的不同供应商不得参加同一合同项目下的采购活动。</w:t>
      </w:r>
    </w:p>
    <w:p w14:paraId="61A8D72F">
      <w:pPr>
        <w:spacing w:line="560" w:lineRule="exact"/>
        <w:ind w:firstLine="480" w:firstLineChars="200"/>
        <w:rPr>
          <w:rFonts w:hAnsi="宋体"/>
          <w:color w:val="auto"/>
          <w:sz w:val="24"/>
          <w:highlight w:val="none"/>
        </w:rPr>
      </w:pPr>
      <w:r>
        <w:rPr>
          <w:rFonts w:hint="eastAsia" w:hAnsi="宋体"/>
          <w:color w:val="auto"/>
          <w:sz w:val="24"/>
          <w:highlight w:val="none"/>
          <w:lang w:val="en-US" w:eastAsia="zh-CN"/>
        </w:rPr>
        <w:t>2</w:t>
      </w:r>
      <w:r>
        <w:rPr>
          <w:rFonts w:hint="eastAsia" w:hAnsi="宋体"/>
          <w:color w:val="auto"/>
          <w:sz w:val="24"/>
          <w:highlight w:val="none"/>
        </w:rPr>
        <w:t>.我司郑重承诺，为本项目提供整体设计、规范编制或者项目管理、监理、检测等服务的供应商，不得再参加本项目采购活动。</w:t>
      </w:r>
    </w:p>
    <w:p w14:paraId="4F05DFB8">
      <w:pPr>
        <w:spacing w:line="560" w:lineRule="exact"/>
        <w:ind w:firstLine="480" w:firstLineChars="200"/>
        <w:rPr>
          <w:rFonts w:hint="eastAsia" w:hAnsi="宋体"/>
          <w:color w:val="auto"/>
          <w:sz w:val="24"/>
          <w:highlight w:val="none"/>
        </w:rPr>
      </w:pPr>
      <w:r>
        <w:rPr>
          <w:rFonts w:hint="eastAsia" w:hAnsi="宋体"/>
          <w:color w:val="auto"/>
          <w:sz w:val="24"/>
          <w:highlight w:val="none"/>
        </w:rPr>
        <w:t>若我单位承诺不实，自愿承担提供虚假材料谋取中标、成交的法律责任。</w:t>
      </w:r>
    </w:p>
    <w:p w14:paraId="151FAC05">
      <w:pPr>
        <w:pStyle w:val="20"/>
        <w:rPr>
          <w:rFonts w:hint="eastAsia" w:hAnsi="宋体"/>
          <w:color w:val="auto"/>
          <w:sz w:val="24"/>
          <w:highlight w:val="none"/>
        </w:rPr>
      </w:pPr>
    </w:p>
    <w:p w14:paraId="235A1E03">
      <w:pPr>
        <w:pStyle w:val="20"/>
        <w:rPr>
          <w:rFonts w:hint="eastAsia" w:hAnsi="宋体"/>
          <w:color w:val="auto"/>
          <w:sz w:val="24"/>
          <w:highlight w:val="none"/>
        </w:rPr>
      </w:pPr>
    </w:p>
    <w:p w14:paraId="127AB930">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p>
    <w:p w14:paraId="554A4C11">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449EA57D">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708E9E50">
      <w:pPr>
        <w:pStyle w:val="145"/>
        <w:pageBreakBefore/>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服务承诺书</w:t>
      </w:r>
      <w:bookmarkEnd w:id="351"/>
      <w:bookmarkEnd w:id="352"/>
      <w:bookmarkEnd w:id="353"/>
      <w:bookmarkEnd w:id="354"/>
      <w:bookmarkEnd w:id="355"/>
      <w:bookmarkEnd w:id="356"/>
      <w:bookmarkEnd w:id="357"/>
      <w:bookmarkEnd w:id="358"/>
    </w:p>
    <w:p w14:paraId="1A47AF1D">
      <w:pPr>
        <w:tabs>
          <w:tab w:val="left" w:pos="900"/>
        </w:tabs>
        <w:spacing w:line="360" w:lineRule="auto"/>
        <w:rPr>
          <w:rFonts w:hint="eastAsia" w:ascii="宋体" w:hAnsi="宋体" w:cs="宋体"/>
          <w:color w:val="auto"/>
          <w:spacing w:val="20"/>
          <w:sz w:val="24"/>
          <w:highlight w:val="none"/>
        </w:rPr>
      </w:pPr>
    </w:p>
    <w:p w14:paraId="2A5C823B">
      <w:pPr>
        <w:tabs>
          <w:tab w:val="left" w:pos="900"/>
        </w:tabs>
        <w:spacing w:line="360" w:lineRule="auto"/>
        <w:rPr>
          <w:rFonts w:hint="eastAsia" w:ascii="宋体" w:hAnsi="宋体" w:cs="宋体"/>
          <w:b/>
          <w:color w:val="auto"/>
          <w:spacing w:val="20"/>
          <w:sz w:val="24"/>
          <w:highlight w:val="none"/>
        </w:rPr>
      </w:pPr>
      <w:r>
        <w:rPr>
          <w:rFonts w:hint="eastAsia" w:ascii="宋体" w:hAnsi="宋体" w:cs="宋体"/>
          <w:b/>
          <w:color w:val="auto"/>
          <w:spacing w:val="20"/>
          <w:sz w:val="24"/>
          <w:highlight w:val="none"/>
        </w:rPr>
        <w:t>致：厦门市华沧采购招标有限公司</w:t>
      </w:r>
    </w:p>
    <w:p w14:paraId="4421C9A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根据贵方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招标项目的投标邀请，我司对本项目服务具体承诺如下：</w:t>
      </w:r>
    </w:p>
    <w:p w14:paraId="53EDFB75">
      <w:pPr>
        <w:spacing w:line="360" w:lineRule="auto"/>
        <w:ind w:firstLine="480" w:firstLineChars="200"/>
        <w:rPr>
          <w:rFonts w:hint="eastAsia" w:ascii="宋体" w:hAnsi="宋体" w:cs="宋体"/>
          <w:color w:val="auto"/>
          <w:sz w:val="24"/>
          <w:highlight w:val="none"/>
        </w:rPr>
      </w:pPr>
    </w:p>
    <w:p w14:paraId="48968F4F">
      <w:pPr>
        <w:spacing w:after="156" w:line="360" w:lineRule="auto"/>
        <w:ind w:firstLine="2115"/>
        <w:jc w:val="left"/>
        <w:rPr>
          <w:rFonts w:hint="eastAsia" w:ascii="宋体" w:hAnsi="宋体" w:cs="宋体"/>
          <w:b/>
          <w:color w:val="auto"/>
          <w:sz w:val="24"/>
          <w:highlight w:val="none"/>
        </w:rPr>
      </w:pPr>
      <w:r>
        <w:rPr>
          <w:rFonts w:hint="eastAsia" w:ascii="宋体" w:hAnsi="宋体" w:cs="宋体"/>
          <w:b/>
          <w:color w:val="auto"/>
          <w:sz w:val="24"/>
          <w:highlight w:val="none"/>
        </w:rPr>
        <w:t>（内容根据招标文件要求自拟）</w:t>
      </w:r>
    </w:p>
    <w:p w14:paraId="3EE27102">
      <w:pPr>
        <w:spacing w:line="360" w:lineRule="auto"/>
        <w:rPr>
          <w:rFonts w:hint="eastAsia" w:ascii="宋体" w:hAnsi="宋体" w:cs="宋体"/>
          <w:color w:val="auto"/>
          <w:sz w:val="24"/>
          <w:highlight w:val="none"/>
        </w:rPr>
      </w:pPr>
    </w:p>
    <w:p w14:paraId="78F5A134">
      <w:pPr>
        <w:spacing w:line="360" w:lineRule="auto"/>
        <w:rPr>
          <w:rFonts w:hint="eastAsia" w:ascii="宋体" w:hAnsi="宋体" w:cs="宋体"/>
          <w:color w:val="auto"/>
          <w:sz w:val="24"/>
          <w:highlight w:val="none"/>
        </w:rPr>
      </w:pPr>
    </w:p>
    <w:p w14:paraId="093A4FA2">
      <w:pPr>
        <w:spacing w:line="360" w:lineRule="auto"/>
        <w:rPr>
          <w:rFonts w:hint="eastAsia" w:ascii="宋体" w:hAnsi="宋体" w:cs="宋体"/>
          <w:color w:val="auto"/>
          <w:sz w:val="24"/>
          <w:highlight w:val="none"/>
        </w:rPr>
      </w:pPr>
    </w:p>
    <w:p w14:paraId="40B02059">
      <w:pPr>
        <w:spacing w:line="360" w:lineRule="auto"/>
        <w:rPr>
          <w:rFonts w:hint="eastAsia" w:ascii="宋体" w:hAnsi="宋体" w:cs="宋体"/>
          <w:color w:val="auto"/>
          <w:sz w:val="24"/>
          <w:highlight w:val="none"/>
        </w:rPr>
      </w:pPr>
    </w:p>
    <w:p w14:paraId="319DC87C">
      <w:pPr>
        <w:spacing w:line="360" w:lineRule="auto"/>
        <w:rPr>
          <w:rFonts w:hint="eastAsia" w:ascii="宋体" w:hAnsi="宋体" w:cs="宋体"/>
          <w:color w:val="auto"/>
          <w:sz w:val="24"/>
          <w:highlight w:val="none"/>
        </w:rPr>
      </w:pPr>
    </w:p>
    <w:p w14:paraId="2ECEA739">
      <w:pPr>
        <w:spacing w:line="360" w:lineRule="auto"/>
        <w:rPr>
          <w:rFonts w:hint="eastAsia" w:ascii="宋体" w:hAnsi="宋体" w:cs="宋体"/>
          <w:color w:val="auto"/>
          <w:sz w:val="24"/>
          <w:highlight w:val="none"/>
        </w:rPr>
      </w:pPr>
    </w:p>
    <w:p w14:paraId="6A22CFC1">
      <w:pPr>
        <w:spacing w:line="360" w:lineRule="auto"/>
        <w:rPr>
          <w:rFonts w:hint="eastAsia" w:ascii="宋体" w:hAnsi="宋体" w:cs="宋体"/>
          <w:color w:val="auto"/>
          <w:sz w:val="24"/>
          <w:highlight w:val="none"/>
        </w:rPr>
      </w:pPr>
    </w:p>
    <w:p w14:paraId="5F76B490">
      <w:pPr>
        <w:spacing w:line="360" w:lineRule="auto"/>
        <w:rPr>
          <w:rFonts w:hint="eastAsia" w:ascii="宋体" w:hAnsi="宋体" w:cs="宋体"/>
          <w:color w:val="auto"/>
          <w:sz w:val="24"/>
          <w:highlight w:val="none"/>
        </w:rPr>
      </w:pPr>
    </w:p>
    <w:p w14:paraId="5DA901BE">
      <w:pPr>
        <w:spacing w:line="360" w:lineRule="auto"/>
        <w:rPr>
          <w:rFonts w:hint="eastAsia" w:ascii="宋体" w:hAnsi="宋体" w:cs="宋体"/>
          <w:color w:val="auto"/>
          <w:sz w:val="24"/>
          <w:highlight w:val="none"/>
        </w:rPr>
      </w:pPr>
    </w:p>
    <w:p w14:paraId="1B766597">
      <w:pPr>
        <w:spacing w:line="360" w:lineRule="auto"/>
        <w:rPr>
          <w:rFonts w:hint="eastAsia" w:ascii="宋体" w:hAnsi="宋体" w:cs="宋体"/>
          <w:color w:val="auto"/>
          <w:sz w:val="24"/>
          <w:highlight w:val="none"/>
        </w:rPr>
      </w:pPr>
    </w:p>
    <w:p w14:paraId="377C09AA">
      <w:pPr>
        <w:spacing w:line="360" w:lineRule="auto"/>
        <w:rPr>
          <w:rFonts w:hint="eastAsia" w:ascii="宋体" w:hAnsi="宋体" w:cs="宋体"/>
          <w:color w:val="auto"/>
          <w:sz w:val="24"/>
          <w:highlight w:val="none"/>
        </w:rPr>
      </w:pPr>
    </w:p>
    <w:p w14:paraId="0FE1F768">
      <w:pPr>
        <w:spacing w:line="360" w:lineRule="auto"/>
        <w:rPr>
          <w:rFonts w:hint="eastAsia" w:ascii="宋体" w:hAnsi="宋体" w:cs="宋体"/>
          <w:color w:val="auto"/>
          <w:sz w:val="24"/>
          <w:highlight w:val="none"/>
        </w:rPr>
      </w:pPr>
    </w:p>
    <w:p w14:paraId="594BC32D">
      <w:pPr>
        <w:spacing w:line="360" w:lineRule="auto"/>
        <w:rPr>
          <w:rFonts w:hint="eastAsia" w:ascii="宋体" w:hAnsi="宋体" w:cs="宋体"/>
          <w:color w:val="auto"/>
          <w:sz w:val="24"/>
          <w:highlight w:val="none"/>
        </w:rPr>
      </w:pPr>
    </w:p>
    <w:p w14:paraId="6C05955B">
      <w:pPr>
        <w:spacing w:line="360" w:lineRule="auto"/>
        <w:rPr>
          <w:rFonts w:hint="eastAsia" w:ascii="宋体" w:hAnsi="宋体" w:cs="宋体"/>
          <w:color w:val="auto"/>
          <w:sz w:val="24"/>
          <w:highlight w:val="none"/>
        </w:rPr>
      </w:pPr>
    </w:p>
    <w:p w14:paraId="5B9BCEE0">
      <w:pPr>
        <w:spacing w:line="360" w:lineRule="auto"/>
        <w:rPr>
          <w:rFonts w:hint="eastAsia" w:ascii="宋体" w:hAnsi="宋体" w:cs="宋体"/>
          <w:color w:val="auto"/>
          <w:sz w:val="24"/>
          <w:highlight w:val="none"/>
        </w:rPr>
      </w:pPr>
    </w:p>
    <w:p w14:paraId="22A0D97F">
      <w:pPr>
        <w:spacing w:line="360" w:lineRule="auto"/>
        <w:rPr>
          <w:rFonts w:hint="eastAsia" w:ascii="宋体" w:hAnsi="宋体" w:cs="宋体"/>
          <w:color w:val="auto"/>
          <w:sz w:val="24"/>
          <w:highlight w:val="none"/>
        </w:rPr>
      </w:pPr>
    </w:p>
    <w:p w14:paraId="1615636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p>
    <w:p w14:paraId="2A86D1E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6B43D39A">
      <w:pPr>
        <w:spacing w:line="380" w:lineRule="exact"/>
        <w:rPr>
          <w:rFonts w:hint="eastAsia" w:ascii="宋体" w:hAnsi="宋体" w:cs="宋体"/>
          <w:color w:val="auto"/>
          <w:sz w:val="24"/>
          <w:highlight w:val="none"/>
        </w:rPr>
      </w:pPr>
      <w:bookmarkStart w:id="359" w:name="_Toc416968364"/>
      <w:bookmarkStart w:id="360" w:name="_Toc404847985"/>
      <w:bookmarkStart w:id="361" w:name="_Toc449629934"/>
      <w:bookmarkStart w:id="362" w:name="_Toc475125062"/>
      <w:bookmarkStart w:id="363" w:name="_Toc465953576"/>
      <w:bookmarkStart w:id="364" w:name="_Toc449618584"/>
      <w:bookmarkStart w:id="365" w:name="_Toc475121973"/>
      <w:bookmarkStart w:id="366" w:name="_Toc474496057"/>
      <w:bookmarkStart w:id="367" w:name="_Toc449618469"/>
      <w:bookmarkStart w:id="368" w:name="_Toc475276964"/>
      <w:r>
        <w:rPr>
          <w:rFonts w:hint="eastAsia" w:ascii="宋体" w:hAnsi="宋体" w:cs="宋体"/>
          <w:color w:val="auto"/>
          <w:sz w:val="24"/>
          <w:highlight w:val="none"/>
        </w:rPr>
        <w:t>日期：</w:t>
      </w:r>
      <w:bookmarkEnd w:id="359"/>
      <w:bookmarkEnd w:id="360"/>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年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bookmarkEnd w:id="361"/>
      <w:bookmarkEnd w:id="362"/>
      <w:bookmarkEnd w:id="363"/>
      <w:bookmarkEnd w:id="364"/>
      <w:bookmarkEnd w:id="365"/>
      <w:bookmarkEnd w:id="366"/>
      <w:bookmarkEnd w:id="367"/>
      <w:bookmarkEnd w:id="368"/>
    </w:p>
    <w:bookmarkEnd w:id="343"/>
    <w:bookmarkEnd w:id="344"/>
    <w:bookmarkEnd w:id="345"/>
    <w:bookmarkEnd w:id="346"/>
    <w:bookmarkEnd w:id="347"/>
    <w:p w14:paraId="3E6DBCB2">
      <w:pPr>
        <w:pStyle w:val="145"/>
        <w:pageBreakBefore/>
        <w:spacing w:line="360" w:lineRule="auto"/>
        <w:jc w:val="center"/>
        <w:outlineLvl w:val="1"/>
        <w:rPr>
          <w:rFonts w:hint="eastAsia" w:ascii="宋体" w:hAnsi="宋体" w:eastAsia="宋体" w:cs="宋体"/>
          <w:b/>
          <w:color w:val="auto"/>
          <w:sz w:val="30"/>
          <w:szCs w:val="30"/>
          <w:highlight w:val="none"/>
        </w:rPr>
      </w:pPr>
      <w:bookmarkStart w:id="369" w:name="_Toc22204"/>
      <w:bookmarkStart w:id="370" w:name="_Toc24106"/>
      <w:r>
        <w:rPr>
          <w:rFonts w:hint="eastAsia" w:ascii="宋体" w:hAnsi="宋体" w:eastAsia="宋体" w:cs="宋体"/>
          <w:b/>
          <w:color w:val="auto"/>
          <w:sz w:val="30"/>
          <w:szCs w:val="30"/>
          <w:highlight w:val="none"/>
        </w:rPr>
        <w:t>投标人提交的其他资料</w:t>
      </w:r>
      <w:bookmarkEnd w:id="338"/>
      <w:bookmarkEnd w:id="339"/>
      <w:bookmarkEnd w:id="340"/>
      <w:bookmarkEnd w:id="341"/>
      <w:bookmarkEnd w:id="342"/>
      <w:bookmarkEnd w:id="369"/>
      <w:bookmarkEnd w:id="370"/>
    </w:p>
    <w:p w14:paraId="4C511855">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   </w:t>
      </w:r>
    </w:p>
    <w:p w14:paraId="4C5784C0">
      <w:pPr>
        <w:spacing w:line="360" w:lineRule="auto"/>
        <w:ind w:firstLine="480" w:firstLineChars="200"/>
        <w:rPr>
          <w:rFonts w:hint="eastAsia" w:ascii="宋体" w:hAnsi="宋体" w:cs="宋体"/>
          <w:b/>
          <w:bCs/>
          <w:color w:val="auto"/>
          <w:sz w:val="24"/>
          <w:highlight w:val="none"/>
        </w:rPr>
      </w:pPr>
      <w:r>
        <w:rPr>
          <w:rFonts w:hint="eastAsia" w:ascii="宋体" w:hAnsi="宋体" w:cs="宋体"/>
          <w:color w:val="auto"/>
          <w:sz w:val="24"/>
          <w:highlight w:val="none"/>
        </w:rPr>
        <w:t>招标文件要求提供的或投标人认为应提交的其他材料， 可在此附件中提交。</w:t>
      </w:r>
    </w:p>
    <w:p w14:paraId="0EB6C66C">
      <w:pPr>
        <w:pStyle w:val="26"/>
        <w:snapToGrid w:val="0"/>
        <w:spacing w:line="360" w:lineRule="auto"/>
        <w:jc w:val="left"/>
        <w:rPr>
          <w:rFonts w:hint="eastAsia" w:ascii="宋体" w:hAnsi="宋体" w:eastAsia="宋体" w:cs="宋体"/>
          <w:color w:val="auto"/>
          <w:sz w:val="24"/>
          <w:szCs w:val="24"/>
          <w:highlight w:val="none"/>
        </w:rPr>
      </w:pPr>
    </w:p>
    <w:p w14:paraId="0EBE61FE">
      <w:pPr>
        <w:pStyle w:val="26"/>
        <w:snapToGrid w:val="0"/>
        <w:spacing w:line="360" w:lineRule="auto"/>
        <w:jc w:val="left"/>
        <w:rPr>
          <w:rFonts w:hint="eastAsia" w:ascii="宋体" w:hAnsi="宋体" w:eastAsia="宋体" w:cs="宋体"/>
          <w:color w:val="auto"/>
          <w:sz w:val="24"/>
          <w:szCs w:val="24"/>
          <w:highlight w:val="none"/>
        </w:rPr>
      </w:pPr>
    </w:p>
    <w:p w14:paraId="14BDC69E">
      <w:pPr>
        <w:pStyle w:val="26"/>
        <w:snapToGrid w:val="0"/>
        <w:spacing w:line="360" w:lineRule="auto"/>
        <w:jc w:val="left"/>
        <w:rPr>
          <w:rFonts w:hint="eastAsia" w:ascii="宋体" w:hAnsi="宋体" w:eastAsia="宋体" w:cs="宋体"/>
          <w:color w:val="auto"/>
          <w:sz w:val="24"/>
          <w:szCs w:val="24"/>
          <w:highlight w:val="none"/>
        </w:rPr>
      </w:pPr>
    </w:p>
    <w:p w14:paraId="07923998">
      <w:pPr>
        <w:spacing w:line="360" w:lineRule="auto"/>
        <w:rPr>
          <w:rFonts w:hint="eastAsia" w:ascii="宋体" w:hAnsi="宋体" w:cs="宋体"/>
          <w:color w:val="auto"/>
          <w:sz w:val="24"/>
          <w:highlight w:val="none"/>
        </w:rPr>
      </w:pPr>
    </w:p>
    <w:p w14:paraId="22EFF3DF">
      <w:pPr>
        <w:spacing w:line="360" w:lineRule="auto"/>
        <w:rPr>
          <w:rFonts w:hint="eastAsia" w:ascii="宋体" w:hAnsi="宋体" w:cs="宋体"/>
          <w:color w:val="auto"/>
          <w:sz w:val="24"/>
          <w:highlight w:val="none"/>
        </w:rPr>
      </w:pPr>
    </w:p>
    <w:p w14:paraId="0173424F">
      <w:pPr>
        <w:spacing w:line="360" w:lineRule="auto"/>
        <w:rPr>
          <w:rFonts w:hint="eastAsia" w:ascii="宋体" w:hAnsi="宋体" w:cs="宋体"/>
          <w:color w:val="auto"/>
          <w:sz w:val="24"/>
          <w:highlight w:val="none"/>
        </w:rPr>
      </w:pPr>
    </w:p>
    <w:p w14:paraId="5DAFD72C">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投标人（全称并加盖公章）：</w:t>
      </w:r>
      <w:r>
        <w:rPr>
          <w:rFonts w:hint="eastAsia" w:ascii="宋体" w:hAnsi="宋体" w:cs="宋体"/>
          <w:color w:val="auto"/>
          <w:sz w:val="24"/>
          <w:highlight w:val="none"/>
          <w:u w:val="single"/>
        </w:rPr>
        <w:t xml:space="preserve">                 </w:t>
      </w:r>
    </w:p>
    <w:p w14:paraId="0A2E8692">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5F30F469">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0113EB03">
      <w:pPr>
        <w:spacing w:line="360" w:lineRule="auto"/>
        <w:rPr>
          <w:rFonts w:hint="eastAsia" w:ascii="宋体" w:hAnsi="宋体" w:cs="宋体"/>
          <w:color w:val="auto"/>
          <w:sz w:val="24"/>
          <w:highlight w:val="none"/>
        </w:rPr>
      </w:pPr>
    </w:p>
    <w:p w14:paraId="5FEFBB27">
      <w:pPr>
        <w:pStyle w:val="145"/>
        <w:pageBreakBefore/>
        <w:spacing w:line="360" w:lineRule="auto"/>
        <w:jc w:val="center"/>
        <w:outlineLvl w:val="1"/>
        <w:rPr>
          <w:rFonts w:hint="eastAsia" w:ascii="宋体" w:hAnsi="宋体" w:eastAsia="宋体" w:cs="宋体"/>
          <w:b/>
          <w:color w:val="auto"/>
          <w:sz w:val="30"/>
          <w:szCs w:val="30"/>
          <w:highlight w:val="none"/>
        </w:rPr>
      </w:pPr>
      <w:bookmarkStart w:id="371" w:name="_Toc339897524"/>
      <w:bookmarkStart w:id="372" w:name="_Toc316289925"/>
      <w:bookmarkStart w:id="373" w:name="_Toc339897489"/>
      <w:bookmarkStart w:id="374" w:name="_Toc20402"/>
      <w:bookmarkStart w:id="375" w:name="_Toc10809"/>
      <w:bookmarkStart w:id="376" w:name="_Toc28113"/>
      <w:bookmarkStart w:id="377" w:name="_Toc314838403"/>
      <w:r>
        <w:rPr>
          <w:rFonts w:hint="eastAsia" w:ascii="宋体" w:hAnsi="宋体" w:eastAsia="宋体" w:cs="宋体"/>
          <w:b/>
          <w:color w:val="auto"/>
          <w:sz w:val="30"/>
          <w:szCs w:val="30"/>
          <w:highlight w:val="none"/>
        </w:rPr>
        <w:t>招标代理服务费承诺书</w:t>
      </w:r>
      <w:bookmarkEnd w:id="371"/>
      <w:bookmarkEnd w:id="372"/>
      <w:bookmarkEnd w:id="373"/>
      <w:bookmarkEnd w:id="374"/>
      <w:bookmarkEnd w:id="375"/>
      <w:bookmarkEnd w:id="376"/>
      <w:bookmarkEnd w:id="377"/>
    </w:p>
    <w:p w14:paraId="100220CF">
      <w:pPr>
        <w:pStyle w:val="145"/>
        <w:spacing w:line="36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73129A6">
      <w:pPr>
        <w:spacing w:line="360" w:lineRule="auto"/>
        <w:rPr>
          <w:rFonts w:hint="eastAsia"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厦门市华沧采购招标有限公司</w:t>
      </w:r>
    </w:p>
    <w:p w14:paraId="6EB4DBD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我们在贵公司组织的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项目招标中投标（项目编号：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），如获中标，我们保证按招标文件的规定，以转账、汇款或经贵公司认可的其他付款方式，向贵公司缴交招标代理服务费。</w:t>
      </w:r>
    </w:p>
    <w:p w14:paraId="1CBFAD3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我方如违反上述承诺，所提交的上述项目的投标保证金将不予退还我方，我方对此无异议。</w:t>
      </w:r>
    </w:p>
    <w:p w14:paraId="03FEEAD9">
      <w:pPr>
        <w:spacing w:line="360" w:lineRule="auto"/>
        <w:rPr>
          <w:rFonts w:hint="eastAsia" w:ascii="宋体" w:hAnsi="宋体" w:cs="宋体"/>
          <w:color w:val="auto"/>
          <w:sz w:val="24"/>
          <w:highlight w:val="none"/>
        </w:rPr>
      </w:pPr>
    </w:p>
    <w:p w14:paraId="3FB2BFC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特此承诺！</w:t>
      </w:r>
    </w:p>
    <w:p w14:paraId="20DA501C">
      <w:pPr>
        <w:spacing w:line="360" w:lineRule="auto"/>
        <w:rPr>
          <w:rFonts w:hint="eastAsia" w:ascii="宋体" w:hAnsi="宋体" w:cs="宋体"/>
          <w:color w:val="auto"/>
          <w:sz w:val="24"/>
          <w:highlight w:val="none"/>
        </w:rPr>
      </w:pPr>
    </w:p>
    <w:p w14:paraId="36BCB484">
      <w:pPr>
        <w:spacing w:line="360" w:lineRule="auto"/>
        <w:rPr>
          <w:rFonts w:hint="eastAsia" w:ascii="宋体" w:hAnsi="宋体" w:cs="宋体"/>
          <w:color w:val="auto"/>
          <w:sz w:val="24"/>
          <w:highlight w:val="none"/>
        </w:rPr>
      </w:pPr>
    </w:p>
    <w:p w14:paraId="0BF1BE22">
      <w:pPr>
        <w:spacing w:line="360" w:lineRule="auto"/>
        <w:rPr>
          <w:rFonts w:hint="eastAsia" w:ascii="宋体" w:hAnsi="宋体" w:cs="宋体"/>
          <w:color w:val="auto"/>
          <w:sz w:val="24"/>
          <w:highlight w:val="none"/>
        </w:rPr>
      </w:pPr>
    </w:p>
    <w:p w14:paraId="14DE0DF7">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 xml:space="preserve">投标人（全称并加盖公章）： </w:t>
      </w:r>
      <w:r>
        <w:rPr>
          <w:rFonts w:hint="eastAsia" w:ascii="宋体" w:hAnsi="宋体" w:cs="宋体"/>
          <w:color w:val="auto"/>
          <w:sz w:val="24"/>
          <w:highlight w:val="none"/>
          <w:u w:val="single"/>
        </w:rPr>
        <w:t xml:space="preserve">               </w:t>
      </w:r>
    </w:p>
    <w:p w14:paraId="0C72F0AB">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投标人代表签字：</w:t>
      </w:r>
      <w:r>
        <w:rPr>
          <w:rFonts w:hint="eastAsia" w:ascii="宋体" w:hAnsi="宋体" w:cs="宋体"/>
          <w:color w:val="auto"/>
          <w:sz w:val="24"/>
          <w:highlight w:val="none"/>
          <w:u w:val="single"/>
        </w:rPr>
        <w:t xml:space="preserve">                         </w:t>
      </w:r>
    </w:p>
    <w:p w14:paraId="4F5E0A19">
      <w:pPr>
        <w:spacing w:line="380" w:lineRule="exact"/>
        <w:rPr>
          <w:rFonts w:hint="eastAsia" w:ascii="宋体" w:hAnsi="宋体" w:cs="宋体"/>
          <w:color w:val="auto"/>
          <w:sz w:val="24"/>
          <w:highlight w:val="none"/>
          <w:u w:val="single"/>
        </w:rPr>
      </w:pPr>
      <w:r>
        <w:rPr>
          <w:rFonts w:hint="eastAsia" w:ascii="宋体" w:hAnsi="宋体" w:cs="宋体"/>
          <w:color w:val="auto"/>
          <w:sz w:val="24"/>
          <w:highlight w:val="none"/>
        </w:rPr>
        <w:t>邮 编：</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电 话：</w:t>
      </w:r>
      <w:r>
        <w:rPr>
          <w:rFonts w:hint="eastAsia" w:ascii="宋体" w:hAnsi="宋体" w:cs="宋体"/>
          <w:color w:val="auto"/>
          <w:sz w:val="24"/>
          <w:highlight w:val="none"/>
          <w:u w:val="single"/>
        </w:rPr>
        <w:t xml:space="preserve">          </w:t>
      </w:r>
    </w:p>
    <w:p w14:paraId="4F09B887">
      <w:pPr>
        <w:pStyle w:val="145"/>
        <w:pageBreakBefore/>
        <w:spacing w:line="360" w:lineRule="auto"/>
        <w:jc w:val="center"/>
        <w:outlineLvl w:val="1"/>
        <w:rPr>
          <w:rFonts w:hint="eastAsia" w:ascii="宋体" w:hAnsi="宋体" w:eastAsia="宋体" w:cs="宋体"/>
          <w:b/>
          <w:color w:val="auto"/>
          <w:sz w:val="30"/>
          <w:szCs w:val="30"/>
          <w:highlight w:val="none"/>
        </w:rPr>
      </w:pPr>
      <w:bookmarkStart w:id="378" w:name="_Toc448416158"/>
      <w:bookmarkStart w:id="379" w:name="_Toc15395"/>
      <w:bookmarkStart w:id="380" w:name="_Toc462583257"/>
      <w:bookmarkStart w:id="381" w:name="_Toc423253196"/>
      <w:bookmarkStart w:id="382" w:name="_Toc24454"/>
      <w:bookmarkStart w:id="383" w:name="_Toc369790992"/>
      <w:r>
        <w:rPr>
          <w:rFonts w:hint="eastAsia" w:hAnsi="宋体" w:cs="宋体"/>
          <w:b/>
          <w:color w:val="auto"/>
          <w:sz w:val="30"/>
          <w:szCs w:val="30"/>
          <w:highlight w:val="none"/>
          <w:lang w:val="en-US" w:eastAsia="zh-CN"/>
        </w:rPr>
        <w:t>投标</w:t>
      </w:r>
      <w:r>
        <w:rPr>
          <w:rFonts w:hint="eastAsia" w:ascii="宋体" w:hAnsi="宋体" w:eastAsia="宋体" w:cs="宋体"/>
          <w:b/>
          <w:color w:val="auto"/>
          <w:sz w:val="30"/>
          <w:szCs w:val="30"/>
          <w:highlight w:val="none"/>
        </w:rPr>
        <w:t>保证金退还申请书（参考格式）</w:t>
      </w:r>
      <w:bookmarkEnd w:id="378"/>
      <w:bookmarkEnd w:id="379"/>
      <w:bookmarkEnd w:id="380"/>
      <w:bookmarkEnd w:id="381"/>
      <w:bookmarkEnd w:id="382"/>
      <w:bookmarkEnd w:id="383"/>
    </w:p>
    <w:p w14:paraId="3549F3C6">
      <w:pPr>
        <w:spacing w:line="360" w:lineRule="auto"/>
        <w:jc w:val="center"/>
        <w:rPr>
          <w:rFonts w:hint="eastAsia" w:ascii="宋体" w:hAnsi="宋体" w:cs="宋体"/>
          <w:color w:val="auto"/>
          <w:sz w:val="24"/>
          <w:highlight w:val="none"/>
        </w:rPr>
      </w:pPr>
    </w:p>
    <w:p w14:paraId="3F80FF3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u w:val="single"/>
        </w:rPr>
        <w:t>厦门市华沧采购招标有限公司：</w:t>
      </w:r>
    </w:p>
    <w:p w14:paraId="6280E156">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我单位为</w:t>
      </w:r>
      <w:r>
        <w:rPr>
          <w:rFonts w:hint="eastAsia" w:ascii="宋体" w:hAnsi="宋体" w:cs="宋体"/>
          <w:color w:val="auto"/>
          <w:sz w:val="24"/>
          <w:highlight w:val="none"/>
          <w:u w:val="single"/>
        </w:rPr>
        <w:t>（采购项目名称）</w:t>
      </w:r>
      <w:r>
        <w:rPr>
          <w:rFonts w:hint="eastAsia" w:ascii="宋体" w:hAnsi="宋体" w:cs="宋体"/>
          <w:color w:val="auto"/>
          <w:sz w:val="24"/>
          <w:highlight w:val="none"/>
        </w:rPr>
        <w:t>项目（项目编号：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）的（□中标或成交；□未中标或未成交；□已报名但未投标或未报价）供应商。</w:t>
      </w:r>
    </w:p>
    <w:p w14:paraId="1ACE9605">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现申请将为此项目已缴交的采购保证金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元按缴款时的付款单位、账号、开户银行退还我单位。</w:t>
      </w:r>
    </w:p>
    <w:p w14:paraId="5555C7A7">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收款单位：</w:t>
      </w:r>
      <w:r>
        <w:rPr>
          <w:rFonts w:hint="eastAsia" w:ascii="宋体" w:hAnsi="宋体" w:cs="宋体"/>
          <w:color w:val="auto"/>
          <w:sz w:val="24"/>
          <w:highlight w:val="none"/>
          <w:u w:val="single"/>
        </w:rPr>
        <w:t>（供应商名称）</w:t>
      </w:r>
    </w:p>
    <w:p w14:paraId="43D63119">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账号：</w:t>
      </w:r>
    </w:p>
    <w:p w14:paraId="124580FF">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开户银行：</w:t>
      </w:r>
    </w:p>
    <w:p w14:paraId="27EB2F68">
      <w:pPr>
        <w:spacing w:line="360" w:lineRule="auto"/>
        <w:ind w:firstLine="600"/>
        <w:rPr>
          <w:rFonts w:hint="eastAsia" w:ascii="宋体" w:hAnsi="宋体" w:cs="宋体"/>
          <w:color w:val="auto"/>
          <w:sz w:val="24"/>
          <w:highlight w:val="none"/>
        </w:rPr>
      </w:pPr>
      <w:r>
        <w:rPr>
          <w:rFonts w:hint="eastAsia" w:ascii="宋体" w:hAnsi="宋体" w:cs="宋体"/>
          <w:color w:val="auto"/>
          <w:sz w:val="24"/>
          <w:highlight w:val="none"/>
        </w:rPr>
        <w:t>请予办理。</w:t>
      </w:r>
    </w:p>
    <w:p w14:paraId="3B0A0C0A">
      <w:pPr>
        <w:spacing w:line="360" w:lineRule="auto"/>
        <w:ind w:firstLine="600"/>
        <w:rPr>
          <w:rFonts w:hint="eastAsia" w:ascii="宋体" w:hAnsi="宋体" w:cs="宋体"/>
          <w:color w:val="auto"/>
          <w:sz w:val="24"/>
          <w:highlight w:val="none"/>
        </w:rPr>
      </w:pPr>
    </w:p>
    <w:p w14:paraId="5FBF239B">
      <w:pPr>
        <w:spacing w:line="360" w:lineRule="auto"/>
        <w:ind w:right="480"/>
        <w:rPr>
          <w:rFonts w:hint="eastAsia" w:ascii="宋体" w:hAnsi="宋体" w:cs="宋体"/>
          <w:bCs/>
          <w:color w:val="auto"/>
          <w:sz w:val="24"/>
          <w:highlight w:val="none"/>
          <w:u w:val="single"/>
        </w:rPr>
      </w:pPr>
      <w:r>
        <w:rPr>
          <w:rFonts w:hint="eastAsia" w:ascii="宋体" w:hAnsi="宋体" w:cs="宋体"/>
          <w:bCs/>
          <w:color w:val="auto"/>
          <w:sz w:val="24"/>
          <w:highlight w:val="none"/>
        </w:rPr>
        <w:t>投标人（加盖公章）：</w:t>
      </w:r>
      <w:r>
        <w:rPr>
          <w:rFonts w:hint="eastAsia" w:ascii="宋体" w:hAnsi="宋体" w:cs="宋体"/>
          <w:bCs/>
          <w:color w:val="auto"/>
          <w:sz w:val="24"/>
          <w:highlight w:val="none"/>
          <w:u w:val="single"/>
        </w:rPr>
        <w:t xml:space="preserve">            </w:t>
      </w:r>
    </w:p>
    <w:p w14:paraId="52625C4A">
      <w:pPr>
        <w:spacing w:line="380" w:lineRule="exact"/>
        <w:rPr>
          <w:rFonts w:hint="eastAsia" w:ascii="宋体" w:hAnsi="宋体" w:cs="宋体"/>
          <w:color w:val="auto"/>
          <w:sz w:val="24"/>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月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日</w:t>
      </w:r>
    </w:p>
    <w:p w14:paraId="355DE689">
      <w:pPr>
        <w:spacing w:line="380" w:lineRule="exact"/>
        <w:rPr>
          <w:rFonts w:hint="eastAsia" w:ascii="宋体" w:hAnsi="宋体" w:cs="宋体"/>
          <w:b/>
          <w:color w:val="auto"/>
          <w:sz w:val="24"/>
          <w:highlight w:val="none"/>
        </w:rPr>
      </w:pPr>
    </w:p>
    <w:p w14:paraId="54602638">
      <w:pPr>
        <w:spacing w:line="380" w:lineRule="exact"/>
        <w:rPr>
          <w:rFonts w:hint="eastAsia" w:ascii="宋体" w:hAnsi="宋体" w:cs="宋体"/>
          <w:b/>
          <w:color w:val="auto"/>
          <w:sz w:val="24"/>
          <w:highlight w:val="none"/>
        </w:rPr>
      </w:pPr>
    </w:p>
    <w:p w14:paraId="0B1323C3">
      <w:pPr>
        <w:spacing w:line="380" w:lineRule="exact"/>
        <w:rPr>
          <w:rFonts w:hint="eastAsia" w:ascii="宋体" w:hAnsi="宋体" w:cs="宋体"/>
          <w:b/>
          <w:color w:val="auto"/>
          <w:sz w:val="24"/>
          <w:highlight w:val="none"/>
        </w:rPr>
      </w:pPr>
    </w:p>
    <w:p w14:paraId="60C65457">
      <w:pPr>
        <w:pStyle w:val="20"/>
        <w:rPr>
          <w:rFonts w:hint="eastAsia"/>
          <w:color w:val="auto"/>
          <w:highlight w:val="none"/>
        </w:rPr>
      </w:pPr>
      <w:r>
        <w:rPr>
          <w:rFonts w:hint="eastAsia" w:ascii="宋体" w:hAnsi="宋体" w:cs="宋体"/>
          <w:b/>
          <w:color w:val="auto"/>
          <w:sz w:val="24"/>
          <w:highlight w:val="none"/>
        </w:rPr>
        <w:t>备注：投标人在提供投标文件时需将此申请书连同保证金缴交凭证一同递交。申请书中“（□中标或成交；□未中标或未成交；□已报名但未投标或未报价）”可先不打“√”，其余内容应填写完整并加盖投标人公章。</w:t>
      </w:r>
    </w:p>
    <w:p w14:paraId="1770603D">
      <w:pPr>
        <w:rPr>
          <w:rFonts w:hint="eastAsia" w:hAnsi="宋体" w:cs="宋体"/>
          <w:color w:val="auto"/>
          <w:highlight w:val="none"/>
        </w:rPr>
      </w:pPr>
    </w:p>
    <w:p w14:paraId="28021E6D">
      <w:pPr>
        <w:spacing w:line="360" w:lineRule="auto"/>
        <w:ind w:firstLine="630" w:firstLineChars="300"/>
        <w:rPr>
          <w:rFonts w:asciiTheme="majorEastAsia" w:hAnsiTheme="majorEastAsia" w:eastAsiaTheme="majorEastAsia"/>
          <w:color w:val="auto"/>
          <w:highlight w:val="none"/>
        </w:rPr>
      </w:pPr>
    </w:p>
    <w:sectPr>
      <w:headerReference r:id="rId9" w:type="default"/>
      <w:footerReference r:id="rId10" w:type="default"/>
      <w:pgSz w:w="11906" w:h="16838"/>
      <w:pgMar w:top="851" w:right="1247" w:bottom="709" w:left="1247" w:header="851" w:footer="992" w:gutter="0"/>
      <w:pgBorders>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G Times">
    <w:altName w:val="Times New Roman"/>
    <w:panose1 w:val="02020603050405020304"/>
    <w:charset w:val="00"/>
    <w:family w:val="roman"/>
    <w:pitch w:val="default"/>
    <w:sig w:usb0="00000000" w:usb1="00000000" w:usb2="00000000" w:usb3="00000000" w:csb0="00000000" w:csb1="00000000"/>
  </w:font>
  <w:font w:name="Franklin Gothic Book">
    <w:panose1 w:val="020B0503020102020204"/>
    <w:charset w:val="00"/>
    <w:family w:val="swiss"/>
    <w:pitch w:val="default"/>
    <w:sig w:usb0="00000287" w:usb1="00000000" w:usb2="00000000" w:usb3="00000000" w:csb0="2000009F" w:csb1="DFD70000"/>
  </w:font>
  <w:font w:name="仿宋_GB2312">
    <w:panose1 w:val="02010609030101010101"/>
    <w:charset w:val="86"/>
    <w:family w:val="modern"/>
    <w:pitch w:val="default"/>
    <w:sig w:usb0="00000001" w:usb1="080E0000" w:usb2="00000000" w:usb3="00000000" w:csb0="00040000" w:csb1="00000000"/>
  </w:font>
  <w:font w:name="Franklin Gothic Medium">
    <w:panose1 w:val="020B0603020102020204"/>
    <w:charset w:val="00"/>
    <w:family w:val="swiss"/>
    <w:pitch w:val="default"/>
    <w:sig w:usb0="00000287" w:usb1="00000000" w:usb2="00000000" w:usb3="00000000" w:csb0="2000009F" w:csb1="DFD7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Arial Narrow">
    <w:panose1 w:val="020B0606020202030204"/>
    <w:charset w:val="00"/>
    <w:family w:val="swiss"/>
    <w:pitch w:val="default"/>
    <w:sig w:usb0="00000287" w:usb1="000008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隶书">
    <w:panose1 w:val="02010509060101010101"/>
    <w:charset w:val="86"/>
    <w:family w:val="modern"/>
    <w:pitch w:val="default"/>
    <w:sig w:usb0="00000001"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CD9CB">
    <w:pPr>
      <w:pStyle w:val="32"/>
      <w:tabs>
        <w:tab w:val="left" w:pos="6480"/>
      </w:tabs>
      <w:ind w:left="2" w:leftChars="1" w:right="-447" w:rightChars="-213"/>
      <w:rPr>
        <w:rFonts w:asciiTheme="minorEastAsia" w:hAnsiTheme="minorEastAsia" w:eastAsiaTheme="minorEastAsia"/>
      </w:rPr>
    </w:pPr>
    <w:r>
      <w:rPr>
        <w:rFonts w:asciiTheme="minorEastAsia" w:hAnsiTheme="minorEastAsia" w:eastAsiaTheme="minorEastAsia"/>
      </w:rPr>
      <mc:AlternateContent>
        <mc:Choice Requires="wps">
          <w:drawing>
            <wp:anchor distT="0" distB="0" distL="114300" distR="114300" simplePos="0" relativeHeight="251659264" behindDoc="0" locked="0" layoutInCell="1" allowOverlap="1">
              <wp:simplePos x="0" y="0"/>
              <wp:positionH relativeFrom="column">
                <wp:posOffset>-2540</wp:posOffset>
              </wp:positionH>
              <wp:positionV relativeFrom="paragraph">
                <wp:posOffset>-31750</wp:posOffset>
              </wp:positionV>
              <wp:extent cx="5935345" cy="0"/>
              <wp:effectExtent l="0" t="4445" r="0" b="5080"/>
              <wp:wrapNone/>
              <wp:docPr id="1" name="直线 1"/>
              <wp:cNvGraphicFramePr/>
              <a:graphic xmlns:a="http://schemas.openxmlformats.org/drawingml/2006/main">
                <a:graphicData uri="http://schemas.microsoft.com/office/word/2010/wordprocessingShape">
                  <wps:wsp>
                    <wps:cNvCnPr/>
                    <wps:spPr>
                      <a:xfrm>
                        <a:off x="0" y="0"/>
                        <a:ext cx="593534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 o:spid="_x0000_s1026" o:spt="20" style="position:absolute;left:0pt;margin-left:-0.2pt;margin-top:-2.5pt;height:0pt;width:467.35pt;z-index:251659264;mso-width-relative:page;mso-height-relative:page;" filled="f" stroked="t" coordsize="21600,21600" o:gfxdata="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HquWE1QAAAAcBAAAPAAAA&#10;AAAAAAEAIAAAACIAAABkcnMvZG93bnJldi54bWxQSwECFAAUAAAACACHTuJA7Oq6Ut8BAADPAwAA&#10;DgAAAAAAAAABACAAAAAkAQAAZHJzL2Uyb0RvYy54bWxQSwUGAAAAAAYABgBZAQAAdQUAAAAA&#10;">
              <v:fill on="f" focussize="0,0"/>
              <v:stroke color="#000000" joinstyle="round"/>
              <v:imagedata o:title=""/>
              <o:lock v:ext="edit" aspectratio="f"/>
            </v:line>
          </w:pict>
        </mc:Fallback>
      </mc:AlternateContent>
    </w:r>
    <w:r>
      <w:rPr>
        <w:rFonts w:hint="eastAsia" w:ascii="宋体" w:hAnsi="宋体"/>
      </w:rPr>
      <w:t>项目名称：海沧半导体产业基地项目废水站系统运营服务采购</w:t>
    </w:r>
    <w:r>
      <w:rPr>
        <w:rFonts w:hint="eastAsia"/>
      </w:rPr>
      <w:t xml:space="preserve">     </w:t>
    </w:r>
    <w:r>
      <w:rPr>
        <w:rFonts w:hint="eastAsia"/>
        <w:lang w:val="en-US" w:eastAsia="zh-CN"/>
      </w:rPr>
      <w:t xml:space="preserve">                    </w:t>
    </w:r>
    <w:r>
      <w:rPr>
        <w:rFonts w:hint="eastAsia"/>
      </w:rPr>
      <w:t xml:space="preserve"> </w:t>
    </w:r>
    <w:r>
      <w:rPr>
        <w:rFonts w:hint="eastAsia"/>
        <w:lang w:val="en-US" w:eastAsia="zh-CN"/>
      </w:rPr>
      <w:t xml:space="preserve">         </w:t>
    </w:r>
    <w:r>
      <w:rPr>
        <w:rFonts w:hint="eastAsia"/>
      </w:rPr>
      <w:t xml:space="preserve">    </w:t>
    </w:r>
    <w:r>
      <w:rPr>
        <w:rFonts w:asciiTheme="minorEastAsia" w:hAnsiTheme="minorEastAsia" w:eastAsiaTheme="minorEastAsia"/>
      </w:rPr>
      <w:fldChar w:fldCharType="begin"/>
    </w:r>
    <w:r>
      <w:rPr>
        <w:rFonts w:asciiTheme="minorEastAsia" w:hAnsiTheme="minorEastAsia" w:eastAsiaTheme="minorEastAsia"/>
      </w:rPr>
      <w:instrText xml:space="preserve"> PAGE </w:instrText>
    </w:r>
    <w:r>
      <w:rPr>
        <w:rFonts w:asciiTheme="minorEastAsia" w:hAnsiTheme="minorEastAsia" w:eastAsiaTheme="minorEastAsia"/>
      </w:rPr>
      <w:fldChar w:fldCharType="separate"/>
    </w:r>
    <w:r>
      <w:rPr>
        <w:rFonts w:asciiTheme="minorEastAsia" w:hAnsiTheme="minorEastAsia" w:eastAsiaTheme="minorEastAsia"/>
      </w:rPr>
      <w:t>1</w:t>
    </w:r>
    <w:r>
      <w:rPr>
        <w:rFonts w:asciiTheme="minorEastAsia" w:hAnsiTheme="minorEastAsia" w:eastAsiaTheme="minorEastAsia"/>
      </w:rPr>
      <w:fldChar w:fldCharType="end"/>
    </w:r>
    <w:r>
      <w:rPr>
        <w:rFonts w:hint="eastAsia" w:asciiTheme="minorEastAsia" w:hAnsiTheme="minorEastAsia" w:eastAsiaTheme="minorEastAsia"/>
      </w:rPr>
      <w:t>-</w:t>
    </w:r>
    <w:r>
      <w:rPr>
        <w:rFonts w:asciiTheme="minorEastAsia" w:hAnsiTheme="minorEastAsia" w:eastAsiaTheme="minorEastAsia"/>
      </w:rPr>
      <w:fldChar w:fldCharType="begin"/>
    </w:r>
    <w:r>
      <w:rPr>
        <w:rFonts w:asciiTheme="minorEastAsia" w:hAnsiTheme="minorEastAsia" w:eastAsiaTheme="minorEastAsia"/>
      </w:rPr>
      <w:instrText xml:space="preserve"> NUMPAGES </w:instrText>
    </w:r>
    <w:r>
      <w:rPr>
        <w:rFonts w:asciiTheme="minorEastAsia" w:hAnsiTheme="minorEastAsia" w:eastAsiaTheme="minorEastAsia"/>
      </w:rPr>
      <w:fldChar w:fldCharType="separate"/>
    </w:r>
    <w:r>
      <w:rPr>
        <w:rFonts w:asciiTheme="minorEastAsia" w:hAnsiTheme="minorEastAsia" w:eastAsiaTheme="minorEastAsia"/>
      </w:rPr>
      <w:t>55</w:t>
    </w:r>
    <w:r>
      <w:rPr>
        <w:rFonts w:asciiTheme="minorEastAsia" w:hAnsiTheme="minorEastAsia" w:eastAsiaTheme="minorEastAsia"/>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531FE">
    <w:pPr>
      <w:pStyle w:val="32"/>
      <w:tabs>
        <w:tab w:val="left" w:pos="6480"/>
      </w:tabs>
      <w:ind w:left="2" w:leftChars="1" w:right="-447" w:rightChars="-213"/>
      <w:rPr>
        <w:rFonts w:asciiTheme="majorEastAsia" w:hAnsiTheme="majorEastAsia" w:eastAsiaTheme="majorEastAsia"/>
      </w:rPr>
    </w:pPr>
    <w:r>
      <w:rPr>
        <w:rFonts w:asciiTheme="majorEastAsia" w:hAnsiTheme="majorEastAsia" w:eastAsiaTheme="majorEastAsia"/>
      </w:rPr>
      <mc:AlternateContent>
        <mc:Choice Requires="wps">
          <w:drawing>
            <wp:anchor distT="0" distB="0" distL="114300" distR="114300" simplePos="0" relativeHeight="251660288" behindDoc="0" locked="0" layoutInCell="1" allowOverlap="1">
              <wp:simplePos x="0" y="0"/>
              <wp:positionH relativeFrom="column">
                <wp:posOffset>-2540</wp:posOffset>
              </wp:positionH>
              <wp:positionV relativeFrom="paragraph">
                <wp:posOffset>-31750</wp:posOffset>
              </wp:positionV>
              <wp:extent cx="5935345" cy="0"/>
              <wp:effectExtent l="0" t="4445" r="0" b="5080"/>
              <wp:wrapNone/>
              <wp:docPr id="6" name="直线 1026"/>
              <wp:cNvGraphicFramePr/>
              <a:graphic xmlns:a="http://schemas.openxmlformats.org/drawingml/2006/main">
                <a:graphicData uri="http://schemas.microsoft.com/office/word/2010/wordprocessingShape">
                  <wps:wsp>
                    <wps:cNvCnPr/>
                    <wps:spPr>
                      <a:xfrm>
                        <a:off x="0" y="0"/>
                        <a:ext cx="593534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1026" o:spid="_x0000_s1026" o:spt="20" style="position:absolute;left:0pt;margin-left:-0.2pt;margin-top:-2.5pt;height:0pt;width:467.35pt;z-index:251660288;mso-width-relative:page;mso-height-relative:page;" filled="f" stroked="t" coordsize="21600,21600" o:gfxdata="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HquWE1QAA&#10;AAcBAAAPAAAAAAAAAAEAIAAAACIAAABkcnMvZG93bnJldi54bWxQSwECFAAUAAAACACHTuJA+1Ja&#10;4egBAADgAwAADgAAAAAAAAABACAAAAAkAQAAZHJzL2Uyb0RvYy54bWxQSwUGAAAAAAYABgBZAQAA&#10;fgUAAAAA&#10;">
              <v:fill on="f" focussize="0,0"/>
              <v:stroke color="#000000" joinstyle="round"/>
              <v:imagedata o:title=""/>
              <o:lock v:ext="edit" aspectratio="f"/>
            </v:line>
          </w:pict>
        </mc:Fallback>
      </mc:AlternateContent>
    </w:r>
    <w:r>
      <w:rPr>
        <w:rFonts w:hint="eastAsia" w:asciiTheme="majorEastAsia" w:hAnsiTheme="majorEastAsia" w:eastAsiaTheme="majorEastAsia"/>
      </w:rPr>
      <w:t>项目名称：</w:t>
    </w:r>
    <w:r>
      <w:rPr>
        <w:rFonts w:hint="eastAsia" w:ascii="宋体" w:hAnsi="宋体"/>
      </w:rPr>
      <w:t>海沧半导体产业基地项目废水站系统运营服务采购</w:t>
    </w:r>
    <w:r>
      <w:rPr>
        <w:rFonts w:hint="eastAsia" w:asciiTheme="majorEastAsia" w:hAnsiTheme="majorEastAsia" w:eastAsiaTheme="majorEastAsia"/>
      </w:rPr>
      <w:t xml:space="preserve">                       </w:t>
    </w:r>
    <w:r>
      <w:rPr>
        <w:rFonts w:hint="eastAsia" w:asciiTheme="majorEastAsia" w:hAnsiTheme="majorEastAsia" w:eastAsiaTheme="majorEastAsia"/>
        <w:lang w:val="en-US" w:eastAsia="zh-CN"/>
      </w:rPr>
      <w:t xml:space="preserve">                   </w:t>
    </w:r>
    <w:r>
      <w:rPr>
        <w:rFonts w:hint="eastAsia" w:asciiTheme="majorEastAsia" w:hAnsiTheme="majorEastAsia" w:eastAsiaTheme="majorEastAsia"/>
      </w:rPr>
      <w:t xml:space="preserve">   </w:t>
    </w:r>
    <w:r>
      <w:rPr>
        <w:rFonts w:asciiTheme="majorEastAsia" w:hAnsiTheme="majorEastAsia" w:eastAsiaTheme="majorEastAsia"/>
      </w:rPr>
      <w:fldChar w:fldCharType="begin"/>
    </w:r>
    <w:r>
      <w:rPr>
        <w:rFonts w:asciiTheme="majorEastAsia" w:hAnsiTheme="majorEastAsia" w:eastAsiaTheme="majorEastAsia"/>
      </w:rPr>
      <w:instrText xml:space="preserve"> PAGE </w:instrText>
    </w:r>
    <w:r>
      <w:rPr>
        <w:rFonts w:asciiTheme="majorEastAsia" w:hAnsiTheme="majorEastAsia" w:eastAsiaTheme="majorEastAsia"/>
      </w:rPr>
      <w:fldChar w:fldCharType="separate"/>
    </w:r>
    <w:r>
      <w:rPr>
        <w:rFonts w:asciiTheme="majorEastAsia" w:hAnsiTheme="majorEastAsia" w:eastAsiaTheme="majorEastAsia"/>
      </w:rPr>
      <w:t>4</w:t>
    </w:r>
    <w:r>
      <w:rPr>
        <w:rFonts w:asciiTheme="majorEastAsia" w:hAnsiTheme="majorEastAsia" w:eastAsiaTheme="majorEastAsia"/>
      </w:rPr>
      <w:fldChar w:fldCharType="end"/>
    </w:r>
    <w:r>
      <w:rPr>
        <w:rFonts w:hint="eastAsia" w:asciiTheme="majorEastAsia" w:hAnsiTheme="majorEastAsia" w:eastAsiaTheme="majorEastAsia"/>
      </w:rPr>
      <w:t>-</w:t>
    </w:r>
    <w:r>
      <w:rPr>
        <w:rFonts w:asciiTheme="majorEastAsia" w:hAnsiTheme="majorEastAsia" w:eastAsiaTheme="majorEastAsia"/>
      </w:rPr>
      <w:fldChar w:fldCharType="begin"/>
    </w:r>
    <w:r>
      <w:rPr>
        <w:rFonts w:asciiTheme="majorEastAsia" w:hAnsiTheme="majorEastAsia" w:eastAsiaTheme="majorEastAsia"/>
      </w:rPr>
      <w:instrText xml:space="preserve"> NUMPAGES </w:instrText>
    </w:r>
    <w:r>
      <w:rPr>
        <w:rFonts w:asciiTheme="majorEastAsia" w:hAnsiTheme="majorEastAsia" w:eastAsiaTheme="majorEastAsia"/>
      </w:rPr>
      <w:fldChar w:fldCharType="separate"/>
    </w:r>
    <w:r>
      <w:rPr>
        <w:rFonts w:asciiTheme="majorEastAsia" w:hAnsiTheme="majorEastAsia" w:eastAsiaTheme="majorEastAsia"/>
      </w:rPr>
      <w:t>55</w:t>
    </w:r>
    <w:r>
      <w:rPr>
        <w:rFonts w:asciiTheme="majorEastAsia" w:hAnsiTheme="majorEastAsia" w:eastAsiaTheme="majorEastAsi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C8FEA">
    <w:pPr>
      <w:pStyle w:val="32"/>
      <w:rPr>
        <w:rFonts w:hint="eastAsia" w:ascii="宋体" w:hAnsi="宋体"/>
      </w:rPr>
    </w:pPr>
    <w:r>
      <w:rPr>
        <w:rFonts w:hint="eastAsia" w:hAnsi="宋体" w:cs="宋体"/>
        <w:bCs/>
        <w:u w:val="single"/>
      </w:rPr>
      <w:t xml:space="preserve">                                                                                                                                                          </w:t>
    </w:r>
    <w:r>
      <w:rPr>
        <w:rFonts w:hint="eastAsia" w:hAnsi="宋体"/>
        <w:sz w:val="20"/>
      </w:rPr>
      <w:t xml:space="preserve"> 项目名称：</w:t>
    </w:r>
    <w:r>
      <w:rPr>
        <w:rFonts w:hint="eastAsia" w:ascii="宋体" w:hAnsi="宋体"/>
      </w:rPr>
      <w:t>海沧半导体产业基地项目废水站系统运营服务采购</w:t>
    </w:r>
    <w:r>
      <w:rPr>
        <w:rFonts w:hint="eastAsia" w:hAnsi="宋体"/>
        <w:sz w:val="20"/>
      </w:rPr>
      <w:t xml:space="preserve">                                     </w:t>
    </w:r>
    <w:r>
      <w:rPr>
        <w:rFonts w:hint="eastAsia" w:ascii="宋体" w:hAnsi="宋体"/>
      </w:rPr>
      <w:fldChar w:fldCharType="begin"/>
    </w:r>
    <w:r>
      <w:rPr>
        <w:rFonts w:hint="eastAsia" w:ascii="宋体" w:hAnsi="宋体"/>
      </w:rPr>
      <w:instrText xml:space="preserve"> PAGE </w:instrText>
    </w:r>
    <w:r>
      <w:rPr>
        <w:rFonts w:hint="eastAsia" w:ascii="宋体" w:hAnsi="宋体"/>
      </w:rPr>
      <w:fldChar w:fldCharType="separate"/>
    </w:r>
    <w:r>
      <w:rPr>
        <w:rFonts w:ascii="宋体" w:hAnsi="宋体"/>
      </w:rPr>
      <w:t>7</w:t>
    </w:r>
    <w:r>
      <w:rPr>
        <w:rFonts w:hint="eastAsia" w:ascii="宋体" w:hAnsi="宋体"/>
      </w:rPr>
      <w:fldChar w:fldCharType="end"/>
    </w:r>
    <w:r>
      <w:rPr>
        <w:rFonts w:hint="eastAsia" w:ascii="宋体" w:hAnsi="宋体"/>
      </w:rPr>
      <w:t>-</w:t>
    </w:r>
    <w:r>
      <w:rPr>
        <w:rFonts w:hint="eastAsia" w:ascii="宋体" w:hAnsi="宋体"/>
      </w:rPr>
      <w:fldChar w:fldCharType="begin"/>
    </w:r>
    <w:r>
      <w:rPr>
        <w:rFonts w:hint="eastAsia" w:ascii="宋体" w:hAnsi="宋体"/>
      </w:rPr>
      <w:instrText xml:space="preserve"> NUMPAGES </w:instrText>
    </w:r>
    <w:r>
      <w:rPr>
        <w:rFonts w:hint="eastAsia" w:ascii="宋体" w:hAnsi="宋体"/>
      </w:rPr>
      <w:fldChar w:fldCharType="separate"/>
    </w:r>
    <w:r>
      <w:rPr>
        <w:rFonts w:ascii="宋体" w:hAnsi="宋体"/>
      </w:rPr>
      <w:t>108</w:t>
    </w:r>
    <w:r>
      <w:rPr>
        <w:rFonts w:hint="eastAsia" w:ascii="宋体" w:hAnsi="宋体"/>
      </w:rPr>
      <w:fldChar w:fldCharType="end"/>
    </w:r>
    <w:r>
      <w:rPr>
        <w:rFonts w:hint="eastAsia" w:ascii="宋体" w:hAnsi="宋体"/>
        <w:sz w:val="20"/>
      </w:rPr>
      <w:t xml:space="preserve"> </w:t>
    </w:r>
    <w:r>
      <w:rPr>
        <w:rFonts w:hint="eastAsia" w:hAnsi="宋体"/>
        <w:sz w:val="20"/>
      </w:rPr>
      <w:t xml:space="preserve"> </w:t>
    </w:r>
    <w:r>
      <w:rPr>
        <w:rFonts w:hint="eastAsia" w:ascii="宋体" w:hAnsi="宋体"/>
        <w:sz w:val="20"/>
      </w:rPr>
      <w:t xml:space="preserve">                         </w:t>
    </w:r>
    <w:r>
      <w:rPr>
        <w:rFonts w:ascii="宋体" w:hAnsi="宋体"/>
        <w:sz w:val="20"/>
      </w:rPr>
      <w:t xml:space="preserve">    </w:t>
    </w:r>
    <w:r>
      <w:rPr>
        <w:rFonts w:hint="eastAsia" w:ascii="宋体" w:hAnsi="宋体"/>
        <w:sz w:val="20"/>
      </w:rPr>
      <w:t xml:space="preserve">               </w:t>
    </w:r>
    <w:r>
      <w:rPr>
        <w:rFonts w:hint="eastAsia" w:ascii="宋体" w:hAnsi="宋体"/>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0BF5D">
    <w:pPr>
      <w:pStyle w:val="32"/>
      <w:ind w:left="2" w:leftChars="1"/>
      <w:rPr>
        <w:rFonts w:ascii="宋体"/>
      </w:rPr>
    </w:pPr>
    <w:r>
      <w:rPr>
        <w:rFonts w:ascii="宋体"/>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-30480</wp:posOffset>
              </wp:positionV>
              <wp:extent cx="5792470" cy="635"/>
              <wp:effectExtent l="0" t="0" r="0" b="0"/>
              <wp:wrapNone/>
              <wp:docPr id="2" name="Line 3"/>
              <wp:cNvGraphicFramePr/>
              <a:graphic xmlns:a="http://schemas.openxmlformats.org/drawingml/2006/main">
                <a:graphicData uri="http://schemas.microsoft.com/office/word/2010/wordprocessingShape">
                  <wps:wsp>
                    <wps:cNvCnPr/>
                    <wps:spPr>
                      <a:xfrm>
                        <a:off x="0" y="0"/>
                        <a:ext cx="5792470"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3" o:spid="_x0000_s1026" o:spt="20" style="position:absolute;left:0pt;margin-left:0pt;margin-top:-2.4pt;height:0.05pt;width:456.1pt;z-index:251661312;mso-width-relative:page;mso-height-relative:page;" filled="f" stroked="t" coordsize="21600,21600" o:gfxdata="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q3L+61AAAAAYBAAAPAAAAAAAAAAEAIAAAACIA&#10;AABkcnMvZG93bnJldi54bWxQSwECFAAUAAAACACHTuJAhRRS+dQBAADPAwAADgAAAAAAAAABACAA&#10;AAAjAQAAZHJzL2Uyb0RvYy54bWxQSwUGAAAAAAYABgBZAQAAaQUAAAAA&#10;">
              <v:fill on="f" focussize="0,0"/>
              <v:stroke color="#000000" joinstyle="round"/>
              <v:imagedata o:title=""/>
              <o:lock v:ext="edit" aspectratio="f"/>
            </v:line>
          </w:pict>
        </mc:Fallback>
      </mc:AlternateContent>
    </w:r>
    <w:r>
      <w:rPr>
        <w:rFonts w:hint="eastAsia" w:ascii="宋体"/>
      </w:rPr>
      <w:t>项目名称：</w:t>
    </w:r>
    <w:r>
      <w:rPr>
        <w:rFonts w:hint="eastAsia" w:ascii="宋体" w:hAnsi="宋体"/>
      </w:rPr>
      <w:t>海沧半导体产业基地项目废水站系统运营服务采购</w:t>
    </w:r>
    <w:r>
      <w:rPr>
        <w:rFonts w:hint="eastAsia"/>
      </w:rPr>
      <w:t xml:space="preserve">                  </w:t>
    </w:r>
    <w:r>
      <w:rPr>
        <w:rFonts w:hint="eastAsia"/>
        <w:lang w:val="en-US" w:eastAsia="zh-CN"/>
      </w:rPr>
      <w:t xml:space="preserve">              </w:t>
    </w:r>
    <w:r>
      <w:rPr>
        <w:rFonts w:hint="eastAsia"/>
      </w:rPr>
      <w:t xml:space="preserve">    </w:t>
    </w:r>
    <w:r>
      <w:rPr>
        <w:rFonts w:hint="eastAsia" w:ascii="宋体"/>
      </w:rPr>
      <w:fldChar w:fldCharType="begin"/>
    </w:r>
    <w:r>
      <w:rPr>
        <w:rFonts w:hint="eastAsia" w:ascii="宋体"/>
      </w:rPr>
      <w:instrText xml:space="preserve"> PAGE </w:instrText>
    </w:r>
    <w:r>
      <w:rPr>
        <w:rFonts w:hint="eastAsia" w:ascii="宋体"/>
      </w:rPr>
      <w:fldChar w:fldCharType="separate"/>
    </w:r>
    <w:r>
      <w:rPr>
        <w:rFonts w:ascii="宋体"/>
      </w:rPr>
      <w:t>55</w:t>
    </w:r>
    <w:r>
      <w:rPr>
        <w:rFonts w:hint="eastAsia" w:ascii="宋体"/>
      </w:rPr>
      <w:fldChar w:fldCharType="end"/>
    </w:r>
    <w:r>
      <w:rPr>
        <w:rFonts w:hint="eastAsia" w:ascii="宋体"/>
      </w:rPr>
      <w:t>-</w:t>
    </w:r>
    <w:r>
      <w:rPr>
        <w:rFonts w:hint="eastAsia" w:ascii="宋体"/>
      </w:rPr>
      <w:fldChar w:fldCharType="begin"/>
    </w:r>
    <w:r>
      <w:rPr>
        <w:rFonts w:hint="eastAsia" w:ascii="宋体"/>
      </w:rPr>
      <w:instrText xml:space="preserve"> NUMPAGES </w:instrText>
    </w:r>
    <w:r>
      <w:rPr>
        <w:rFonts w:hint="eastAsia" w:ascii="宋体"/>
      </w:rPr>
      <w:fldChar w:fldCharType="separate"/>
    </w:r>
    <w:r>
      <w:rPr>
        <w:rFonts w:ascii="宋体"/>
      </w:rPr>
      <w:t>55</w:t>
    </w:r>
    <w:r>
      <w:rPr>
        <w:rFonts w:hint="eastAsia" w:ascii="宋体"/>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D8D66">
    <w:pPr>
      <w:pStyle w:val="33"/>
      <w:ind w:firstLine="90" w:firstLineChars="50"/>
      <w:rPr>
        <w:rFonts w:hint="eastAsia" w:ascii="宋体" w:hAnsi="宋体" w:eastAsia="宋体"/>
        <w:lang w:eastAsia="zh-CN"/>
      </w:rPr>
    </w:pPr>
    <w:r>
      <w:drawing>
        <wp:inline distT="0" distB="0" distL="0" distR="0">
          <wp:extent cx="857250" cy="419100"/>
          <wp:effectExtent l="19050" t="0" r="0" b="0"/>
          <wp:docPr id="5" name="图片 0"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0" descr="商标--2016.09.18.png"/>
                  <pic:cNvPicPr>
                    <a:picLocks noChangeAspect="1" noChangeArrowheads="1"/>
                  </pic:cNvPicPr>
                </pic:nvPicPr>
                <pic:blipFill>
                  <a:blip r:embed="rId1"/>
                  <a:srcRect/>
                  <a:stretch>
                    <a:fillRect/>
                  </a:stretch>
                </pic:blipFill>
                <pic:spPr>
                  <a:xfrm>
                    <a:off x="0" y="0"/>
                    <a:ext cx="857250" cy="419100"/>
                  </a:xfrm>
                  <a:prstGeom prst="rect">
                    <a:avLst/>
                  </a:prstGeom>
                  <a:noFill/>
                  <a:ln w="9525">
                    <a:noFill/>
                    <a:miter lim="800000"/>
                    <a:headEnd/>
                    <a:tailEnd/>
                  </a:ln>
                </pic:spPr>
              </pic:pic>
            </a:graphicData>
          </a:graphic>
        </wp:inline>
      </w:drawing>
    </w:r>
    <w:r>
      <w:rPr>
        <w:rFonts w:hint="eastAsia"/>
      </w:rPr>
      <w:t xml:space="preserve">厦门市华沧采购招标有限公司                             </w:t>
    </w:r>
    <w:r>
      <w:rPr>
        <w:rFonts w:hint="eastAsia" w:ascii="宋体" w:hAnsi="宋体"/>
      </w:rPr>
      <w:t>项目编号：</w:t>
    </w:r>
    <w:r>
      <w:rPr>
        <w:rFonts w:hint="eastAsia" w:ascii="宋体" w:hAnsi="宋体"/>
        <w:lang w:eastAsia="zh-CN"/>
      </w:rPr>
      <w:t>2024-HCGK-SH1508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6CF6A">
    <w:pPr>
      <w:pStyle w:val="33"/>
      <w:pBdr>
        <w:bottom w:val="single" w:color="auto" w:sz="6" w:space="0"/>
      </w:pBdr>
      <w:rPr>
        <w:rFonts w:hint="default" w:ascii="宋体" w:hAnsi="宋体" w:eastAsia="宋体"/>
        <w:lang w:val="en-US" w:eastAsia="zh-CN"/>
      </w:rPr>
    </w:pPr>
    <w:r>
      <w:drawing>
        <wp:inline distT="0" distB="0" distL="114300" distR="114300">
          <wp:extent cx="855980" cy="421640"/>
          <wp:effectExtent l="0" t="0" r="1270" b="16510"/>
          <wp:docPr id="3" name="图片 1"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商标--2016.09.18.png"/>
                  <pic:cNvPicPr>
                    <a:picLocks noChangeAspect="1"/>
                  </pic:cNvPicPr>
                </pic:nvPicPr>
                <pic:blipFill>
                  <a:blip r:embed="rId1"/>
                  <a:stretch>
                    <a:fillRect/>
                  </a:stretch>
                </pic:blipFill>
                <pic:spPr>
                  <a:xfrm>
                    <a:off x="0" y="0"/>
                    <a:ext cx="855980" cy="421640"/>
                  </a:xfrm>
                  <a:prstGeom prst="rect">
                    <a:avLst/>
                  </a:prstGeom>
                  <a:noFill/>
                  <a:ln>
                    <a:noFill/>
                  </a:ln>
                </pic:spPr>
              </pic:pic>
            </a:graphicData>
          </a:graphic>
        </wp:inline>
      </w:drawing>
    </w:r>
    <w:r>
      <w:rPr>
        <w:rFonts w:hint="eastAsia"/>
      </w:rPr>
      <w:t>厦门市华沧采购招标有限公司</w:t>
    </w:r>
    <w:r>
      <w:rPr>
        <w:rFonts w:hint="eastAsia" w:ascii="宋体" w:hAnsi="宋体"/>
      </w:rPr>
      <w:t xml:space="preserve">                                   </w:t>
    </w:r>
    <w:r>
      <w:rPr>
        <w:rFonts w:hint="eastAsia" w:ascii="宋体" w:hAnsi="宋体"/>
        <w:iCs/>
      </w:rPr>
      <w:t>项目编号：2024-HCCS-SH</w:t>
    </w:r>
    <w:r>
      <w:rPr>
        <w:rFonts w:hint="eastAsia" w:ascii="宋体" w:hAnsi="宋体"/>
        <w:iCs/>
        <w:lang w:val="en-US" w:eastAsia="zh-CN"/>
      </w:rPr>
      <w:t>1508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F2EA4F">
    <w:pPr>
      <w:pStyle w:val="33"/>
      <w:rPr>
        <w:rFonts w:hint="eastAsia"/>
      </w:rPr>
    </w:pPr>
    <w:r>
      <w:rPr>
        <w:rFonts w:hint="eastAsia"/>
      </w:rPr>
      <w:t xml:space="preserve">目录                                                                                </w:t>
    </w:r>
    <w:r>
      <w:rPr>
        <w:rFonts w:hint="eastAsia"/>
        <w:i/>
        <w:iCs/>
      </w:rPr>
      <w:t>项目编号： 2023-HCCS-SH742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8607AF">
    <w:pPr>
      <w:pStyle w:val="33"/>
      <w:pBdr>
        <w:bottom w:val="single" w:color="auto" w:sz="6" w:space="2"/>
      </w:pBdr>
      <w:jc w:val="both"/>
      <w:rPr>
        <w:rFonts w:hint="default" w:ascii="宋体" w:hAnsi="宋体" w:eastAsia="宋体"/>
        <w:lang w:val="en-US" w:eastAsia="zh-CN"/>
      </w:rPr>
    </w:pPr>
    <w:r>
      <w:drawing>
        <wp:inline distT="0" distB="0" distL="114300" distR="114300">
          <wp:extent cx="862965" cy="424180"/>
          <wp:effectExtent l="0" t="0" r="13335" b="13970"/>
          <wp:docPr id="7" name="图片 2"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商标--2016.09.18.png"/>
                  <pic:cNvPicPr>
                    <a:picLocks noChangeAspect="1"/>
                  </pic:cNvPicPr>
                </pic:nvPicPr>
                <pic:blipFill>
                  <a:blip r:embed="rId1"/>
                  <a:stretch>
                    <a:fillRect/>
                  </a:stretch>
                </pic:blipFill>
                <pic:spPr>
                  <a:xfrm>
                    <a:off x="0" y="0"/>
                    <a:ext cx="862965" cy="424180"/>
                  </a:xfrm>
                  <a:prstGeom prst="rect">
                    <a:avLst/>
                  </a:prstGeom>
                  <a:noFill/>
                  <a:ln>
                    <a:noFill/>
                  </a:ln>
                </pic:spPr>
              </pic:pic>
            </a:graphicData>
          </a:graphic>
        </wp:inline>
      </w:drawing>
    </w:r>
    <w:r>
      <w:rPr>
        <w:rFonts w:hint="eastAsia"/>
      </w:rPr>
      <w:t>厦门市华沧采购招标有限公司</w:t>
    </w:r>
    <w:r>
      <w:rPr>
        <w:rFonts w:hint="eastAsia" w:ascii="宋体" w:hAnsi="宋体"/>
      </w:rPr>
      <w:t xml:space="preserve">                                   项</w:t>
    </w:r>
    <w:r>
      <w:rPr>
        <w:rFonts w:hint="eastAsia" w:ascii="宋体" w:hAnsi="宋体"/>
        <w:iCs/>
      </w:rPr>
      <w:t>目编号2024-HCCS-SH</w:t>
    </w:r>
    <w:r>
      <w:rPr>
        <w:rFonts w:hint="eastAsia" w:ascii="宋体" w:hAnsi="宋体"/>
        <w:iCs/>
        <w:lang w:val="en-US" w:eastAsia="zh-CN"/>
      </w:rPr>
      <w:t>1508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5B30AC"/>
    <w:multiLevelType w:val="singleLevel"/>
    <w:tmpl w:val="025B30AC"/>
    <w:lvl w:ilvl="0" w:tentative="0">
      <w:start w:val="2"/>
      <w:numFmt w:val="decimal"/>
      <w:lvlText w:val="%1."/>
      <w:lvlJc w:val="left"/>
      <w:pPr>
        <w:tabs>
          <w:tab w:val="left" w:pos="312"/>
        </w:tabs>
      </w:pPr>
    </w:lvl>
  </w:abstractNum>
  <w:abstractNum w:abstractNumId="1">
    <w:nsid w:val="1F15118A"/>
    <w:multiLevelType w:val="multilevel"/>
    <w:tmpl w:val="1F15118A"/>
    <w:lvl w:ilvl="0" w:tentative="0">
      <w:start w:val="1"/>
      <w:numFmt w:val="decimal"/>
      <w:lvlText w:val="（%1）"/>
      <w:lvlJc w:val="left"/>
      <w:pPr>
        <w:tabs>
          <w:tab w:val="left" w:pos="1200"/>
        </w:tabs>
        <w:ind w:left="120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25C22B40"/>
    <w:multiLevelType w:val="multilevel"/>
    <w:tmpl w:val="25C22B40"/>
    <w:lvl w:ilvl="0" w:tentative="0">
      <w:start w:val="1"/>
      <w:numFmt w:val="japaneseCounting"/>
      <w:lvlText w:val="%1、"/>
      <w:lvlJc w:val="left"/>
      <w:pPr>
        <w:tabs>
          <w:tab w:val="left" w:pos="480"/>
        </w:tabs>
        <w:ind w:left="480" w:hanging="48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41727978"/>
    <w:multiLevelType w:val="multilevel"/>
    <w:tmpl w:val="41727978"/>
    <w:lvl w:ilvl="0" w:tentative="0">
      <w:start w:val="1"/>
      <w:numFmt w:val="decimal"/>
      <w:pStyle w:val="252"/>
      <w:lvlText w:val="1-%1"/>
      <w:lvlJc w:val="left"/>
      <w:pPr>
        <w:tabs>
          <w:tab w:val="left" w:pos="360"/>
        </w:tabs>
        <w:ind w:left="360" w:hanging="360"/>
      </w:pPr>
      <w:rPr>
        <w:rFonts w:hint="default" w:ascii="Arial" w:hAnsi="Arial" w:cs="Arial"/>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39F6D34"/>
    <w:multiLevelType w:val="multilevel"/>
    <w:tmpl w:val="439F6D3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44E0102F"/>
    <w:multiLevelType w:val="multilevel"/>
    <w:tmpl w:val="44E0102F"/>
    <w:lvl w:ilvl="0" w:tentative="0">
      <w:start w:val="1"/>
      <w:numFmt w:val="decimal"/>
      <w:lvlText w:val="（%1）"/>
      <w:lvlJc w:val="left"/>
      <w:pPr>
        <w:ind w:left="1287" w:hanging="720"/>
      </w:pPr>
      <w:rPr>
        <w:rFonts w:hint="default"/>
      </w:rPr>
    </w:lvl>
    <w:lvl w:ilvl="1" w:tentative="0">
      <w:start w:val="1"/>
      <w:numFmt w:val="decimalEnclosedCircle"/>
      <w:lvlText w:val="%2"/>
      <w:lvlJc w:val="left"/>
      <w:pPr>
        <w:ind w:left="1347" w:hanging="360"/>
      </w:pPr>
      <w:rPr>
        <w:rFonts w:hint="default"/>
      </w:r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num w:numId="1">
    <w:abstractNumId w:val="3"/>
  </w:num>
  <w:num w:numId="2">
    <w:abstractNumId w:val="4"/>
  </w:num>
  <w:num w:numId="3">
    <w:abstractNumId w:val="2"/>
    <w:lvlOverride w:ilvl="0">
      <w:startOverride w:val="1"/>
    </w:lvlOverride>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hideSpellingErrors/>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hNmVjYTVjNTJiM2EwZDFkMTlmMGU3YTZiYzZmYmIifQ=="/>
  </w:docVars>
  <w:rsids>
    <w:rsidRoot w:val="00313788"/>
    <w:rsid w:val="00001C1E"/>
    <w:rsid w:val="000037FC"/>
    <w:rsid w:val="00004A10"/>
    <w:rsid w:val="00004D66"/>
    <w:rsid w:val="000053D8"/>
    <w:rsid w:val="00012B19"/>
    <w:rsid w:val="00013911"/>
    <w:rsid w:val="00016742"/>
    <w:rsid w:val="000265F4"/>
    <w:rsid w:val="00030004"/>
    <w:rsid w:val="000359BA"/>
    <w:rsid w:val="0004452B"/>
    <w:rsid w:val="000449F2"/>
    <w:rsid w:val="00050D43"/>
    <w:rsid w:val="00052106"/>
    <w:rsid w:val="000529BD"/>
    <w:rsid w:val="00052D07"/>
    <w:rsid w:val="000550DF"/>
    <w:rsid w:val="00056EFE"/>
    <w:rsid w:val="00057F86"/>
    <w:rsid w:val="0006739B"/>
    <w:rsid w:val="00071543"/>
    <w:rsid w:val="00071CF4"/>
    <w:rsid w:val="00072227"/>
    <w:rsid w:val="00087338"/>
    <w:rsid w:val="000931B2"/>
    <w:rsid w:val="00095CA9"/>
    <w:rsid w:val="000A7C2D"/>
    <w:rsid w:val="000B0EF2"/>
    <w:rsid w:val="000B42FC"/>
    <w:rsid w:val="000B44D3"/>
    <w:rsid w:val="000C5DCB"/>
    <w:rsid w:val="000C7214"/>
    <w:rsid w:val="000D038B"/>
    <w:rsid w:val="000E14AD"/>
    <w:rsid w:val="000E17FA"/>
    <w:rsid w:val="000E192A"/>
    <w:rsid w:val="000F57F2"/>
    <w:rsid w:val="000F7704"/>
    <w:rsid w:val="001018B2"/>
    <w:rsid w:val="001039EA"/>
    <w:rsid w:val="001065F8"/>
    <w:rsid w:val="00112D5C"/>
    <w:rsid w:val="0012160E"/>
    <w:rsid w:val="00121610"/>
    <w:rsid w:val="00121E91"/>
    <w:rsid w:val="00126450"/>
    <w:rsid w:val="0012669E"/>
    <w:rsid w:val="00130B9B"/>
    <w:rsid w:val="001337E4"/>
    <w:rsid w:val="001350B7"/>
    <w:rsid w:val="001377A1"/>
    <w:rsid w:val="00141490"/>
    <w:rsid w:val="00145021"/>
    <w:rsid w:val="00145216"/>
    <w:rsid w:val="001534E9"/>
    <w:rsid w:val="0015350E"/>
    <w:rsid w:val="001557A6"/>
    <w:rsid w:val="00156ED9"/>
    <w:rsid w:val="00165C85"/>
    <w:rsid w:val="00167312"/>
    <w:rsid w:val="00173B43"/>
    <w:rsid w:val="001766F8"/>
    <w:rsid w:val="00176A0C"/>
    <w:rsid w:val="0018090F"/>
    <w:rsid w:val="00180C71"/>
    <w:rsid w:val="001822C6"/>
    <w:rsid w:val="00183659"/>
    <w:rsid w:val="001901AD"/>
    <w:rsid w:val="00190CDF"/>
    <w:rsid w:val="001924C8"/>
    <w:rsid w:val="001945DE"/>
    <w:rsid w:val="001A114C"/>
    <w:rsid w:val="001A3295"/>
    <w:rsid w:val="001A332B"/>
    <w:rsid w:val="001A7623"/>
    <w:rsid w:val="001C1338"/>
    <w:rsid w:val="001C2122"/>
    <w:rsid w:val="001C2DB9"/>
    <w:rsid w:val="001C333F"/>
    <w:rsid w:val="001C5325"/>
    <w:rsid w:val="001D068B"/>
    <w:rsid w:val="001D0700"/>
    <w:rsid w:val="001D3683"/>
    <w:rsid w:val="001D7B77"/>
    <w:rsid w:val="001E3EAA"/>
    <w:rsid w:val="001E46AB"/>
    <w:rsid w:val="001E64B1"/>
    <w:rsid w:val="001E6754"/>
    <w:rsid w:val="001E7582"/>
    <w:rsid w:val="001E7DC9"/>
    <w:rsid w:val="001F12FF"/>
    <w:rsid w:val="001F777C"/>
    <w:rsid w:val="002002DF"/>
    <w:rsid w:val="00205240"/>
    <w:rsid w:val="002053C5"/>
    <w:rsid w:val="00211FB7"/>
    <w:rsid w:val="00214ED4"/>
    <w:rsid w:val="002169AC"/>
    <w:rsid w:val="002177DE"/>
    <w:rsid w:val="0021790C"/>
    <w:rsid w:val="00221752"/>
    <w:rsid w:val="00224208"/>
    <w:rsid w:val="00225378"/>
    <w:rsid w:val="00227960"/>
    <w:rsid w:val="00230754"/>
    <w:rsid w:val="00231680"/>
    <w:rsid w:val="00232C35"/>
    <w:rsid w:val="002347BE"/>
    <w:rsid w:val="002354DB"/>
    <w:rsid w:val="00236F71"/>
    <w:rsid w:val="002379BF"/>
    <w:rsid w:val="00241D44"/>
    <w:rsid w:val="00246100"/>
    <w:rsid w:val="002466F8"/>
    <w:rsid w:val="00246C04"/>
    <w:rsid w:val="00247D26"/>
    <w:rsid w:val="002510F0"/>
    <w:rsid w:val="00260EC3"/>
    <w:rsid w:val="00261775"/>
    <w:rsid w:val="0026535F"/>
    <w:rsid w:val="00280E1F"/>
    <w:rsid w:val="002854E3"/>
    <w:rsid w:val="00287B70"/>
    <w:rsid w:val="00290113"/>
    <w:rsid w:val="00292998"/>
    <w:rsid w:val="00294A47"/>
    <w:rsid w:val="00294F12"/>
    <w:rsid w:val="00296CC6"/>
    <w:rsid w:val="002A6830"/>
    <w:rsid w:val="002A73BC"/>
    <w:rsid w:val="002A7A53"/>
    <w:rsid w:val="002B20D8"/>
    <w:rsid w:val="002B4146"/>
    <w:rsid w:val="002B591B"/>
    <w:rsid w:val="002C5162"/>
    <w:rsid w:val="002C6C75"/>
    <w:rsid w:val="002D0B4C"/>
    <w:rsid w:val="002D7434"/>
    <w:rsid w:val="002E0D4D"/>
    <w:rsid w:val="002E0F0F"/>
    <w:rsid w:val="002E5B1C"/>
    <w:rsid w:val="002F0542"/>
    <w:rsid w:val="002F2215"/>
    <w:rsid w:val="002F7956"/>
    <w:rsid w:val="00300E11"/>
    <w:rsid w:val="00303653"/>
    <w:rsid w:val="00304391"/>
    <w:rsid w:val="00313788"/>
    <w:rsid w:val="0031593D"/>
    <w:rsid w:val="00322041"/>
    <w:rsid w:val="00323407"/>
    <w:rsid w:val="003250BC"/>
    <w:rsid w:val="003322D6"/>
    <w:rsid w:val="00332510"/>
    <w:rsid w:val="003329CF"/>
    <w:rsid w:val="00336938"/>
    <w:rsid w:val="00341042"/>
    <w:rsid w:val="00342571"/>
    <w:rsid w:val="00343420"/>
    <w:rsid w:val="00344492"/>
    <w:rsid w:val="003462E9"/>
    <w:rsid w:val="00346E2A"/>
    <w:rsid w:val="00346FB6"/>
    <w:rsid w:val="0035122F"/>
    <w:rsid w:val="00351B8A"/>
    <w:rsid w:val="00351E01"/>
    <w:rsid w:val="00353FA8"/>
    <w:rsid w:val="003552A0"/>
    <w:rsid w:val="0036077F"/>
    <w:rsid w:val="00362277"/>
    <w:rsid w:val="00363BD4"/>
    <w:rsid w:val="00365C75"/>
    <w:rsid w:val="003666BE"/>
    <w:rsid w:val="003705A8"/>
    <w:rsid w:val="00370D01"/>
    <w:rsid w:val="003716BA"/>
    <w:rsid w:val="00373E24"/>
    <w:rsid w:val="003816CA"/>
    <w:rsid w:val="00382DEE"/>
    <w:rsid w:val="0038533C"/>
    <w:rsid w:val="00385DD3"/>
    <w:rsid w:val="0038775D"/>
    <w:rsid w:val="00391B7B"/>
    <w:rsid w:val="00392B26"/>
    <w:rsid w:val="00397770"/>
    <w:rsid w:val="00397E7D"/>
    <w:rsid w:val="003A0E64"/>
    <w:rsid w:val="003A7146"/>
    <w:rsid w:val="003B019C"/>
    <w:rsid w:val="003B4C20"/>
    <w:rsid w:val="003C0938"/>
    <w:rsid w:val="003C3FC9"/>
    <w:rsid w:val="003C6526"/>
    <w:rsid w:val="003D018A"/>
    <w:rsid w:val="003D2C13"/>
    <w:rsid w:val="003E29CD"/>
    <w:rsid w:val="003E5F18"/>
    <w:rsid w:val="003F31FB"/>
    <w:rsid w:val="003F37F6"/>
    <w:rsid w:val="003F7535"/>
    <w:rsid w:val="003F78D4"/>
    <w:rsid w:val="0040066C"/>
    <w:rsid w:val="0040206D"/>
    <w:rsid w:val="004041C8"/>
    <w:rsid w:val="00404DF9"/>
    <w:rsid w:val="00410E4B"/>
    <w:rsid w:val="004211BE"/>
    <w:rsid w:val="00423B2C"/>
    <w:rsid w:val="00423CA4"/>
    <w:rsid w:val="004303A7"/>
    <w:rsid w:val="00431D31"/>
    <w:rsid w:val="00431DF9"/>
    <w:rsid w:val="0043799C"/>
    <w:rsid w:val="00441BA6"/>
    <w:rsid w:val="00441F0E"/>
    <w:rsid w:val="004544D4"/>
    <w:rsid w:val="004558DD"/>
    <w:rsid w:val="00456DA3"/>
    <w:rsid w:val="00461A11"/>
    <w:rsid w:val="004634E9"/>
    <w:rsid w:val="00465AC4"/>
    <w:rsid w:val="00470488"/>
    <w:rsid w:val="00471EB1"/>
    <w:rsid w:val="004760E1"/>
    <w:rsid w:val="00476956"/>
    <w:rsid w:val="004769C2"/>
    <w:rsid w:val="00482DCF"/>
    <w:rsid w:val="0048629D"/>
    <w:rsid w:val="004900F5"/>
    <w:rsid w:val="00495D3D"/>
    <w:rsid w:val="004A0058"/>
    <w:rsid w:val="004A1061"/>
    <w:rsid w:val="004A1C1B"/>
    <w:rsid w:val="004A5F1B"/>
    <w:rsid w:val="004B2739"/>
    <w:rsid w:val="004B7546"/>
    <w:rsid w:val="004C25D9"/>
    <w:rsid w:val="004C728D"/>
    <w:rsid w:val="004D4460"/>
    <w:rsid w:val="004D5740"/>
    <w:rsid w:val="004D5C08"/>
    <w:rsid w:val="004D603D"/>
    <w:rsid w:val="004D719A"/>
    <w:rsid w:val="004D7550"/>
    <w:rsid w:val="004E3AF8"/>
    <w:rsid w:val="004E4D73"/>
    <w:rsid w:val="004F1C30"/>
    <w:rsid w:val="0050509C"/>
    <w:rsid w:val="00506E3D"/>
    <w:rsid w:val="005074E0"/>
    <w:rsid w:val="0051049C"/>
    <w:rsid w:val="005123D4"/>
    <w:rsid w:val="005127F5"/>
    <w:rsid w:val="00513A5B"/>
    <w:rsid w:val="00513EB8"/>
    <w:rsid w:val="00517EB6"/>
    <w:rsid w:val="00522B43"/>
    <w:rsid w:val="005269A1"/>
    <w:rsid w:val="00527413"/>
    <w:rsid w:val="00527D7D"/>
    <w:rsid w:val="00534FF3"/>
    <w:rsid w:val="0054379A"/>
    <w:rsid w:val="0054413E"/>
    <w:rsid w:val="00545EE1"/>
    <w:rsid w:val="0054636B"/>
    <w:rsid w:val="0055023F"/>
    <w:rsid w:val="00557BDB"/>
    <w:rsid w:val="00562460"/>
    <w:rsid w:val="005676A3"/>
    <w:rsid w:val="00571690"/>
    <w:rsid w:val="0057327B"/>
    <w:rsid w:val="00573A25"/>
    <w:rsid w:val="005744F6"/>
    <w:rsid w:val="00574866"/>
    <w:rsid w:val="00580C79"/>
    <w:rsid w:val="00583E82"/>
    <w:rsid w:val="005847CE"/>
    <w:rsid w:val="00594120"/>
    <w:rsid w:val="00594925"/>
    <w:rsid w:val="00597A6C"/>
    <w:rsid w:val="005A3916"/>
    <w:rsid w:val="005A4AD9"/>
    <w:rsid w:val="005B38E0"/>
    <w:rsid w:val="005B5F53"/>
    <w:rsid w:val="005B6486"/>
    <w:rsid w:val="005C011E"/>
    <w:rsid w:val="005C3645"/>
    <w:rsid w:val="005C4CCF"/>
    <w:rsid w:val="005C4DC1"/>
    <w:rsid w:val="005C4DE4"/>
    <w:rsid w:val="005C4DEC"/>
    <w:rsid w:val="005C7157"/>
    <w:rsid w:val="005C7EF7"/>
    <w:rsid w:val="005D244C"/>
    <w:rsid w:val="005D54A2"/>
    <w:rsid w:val="005D61FA"/>
    <w:rsid w:val="005E0FD7"/>
    <w:rsid w:val="005E3CE3"/>
    <w:rsid w:val="005E7782"/>
    <w:rsid w:val="005F22BF"/>
    <w:rsid w:val="005F34DF"/>
    <w:rsid w:val="005F52BB"/>
    <w:rsid w:val="005F62E3"/>
    <w:rsid w:val="006026BB"/>
    <w:rsid w:val="00604DF2"/>
    <w:rsid w:val="00612D0B"/>
    <w:rsid w:val="006158F3"/>
    <w:rsid w:val="006164F6"/>
    <w:rsid w:val="00622B5D"/>
    <w:rsid w:val="006243C4"/>
    <w:rsid w:val="0062694C"/>
    <w:rsid w:val="00630460"/>
    <w:rsid w:val="0063104C"/>
    <w:rsid w:val="006352C8"/>
    <w:rsid w:val="00641D23"/>
    <w:rsid w:val="00641EC9"/>
    <w:rsid w:val="00650026"/>
    <w:rsid w:val="006513C1"/>
    <w:rsid w:val="00652649"/>
    <w:rsid w:val="006535CA"/>
    <w:rsid w:val="006567C5"/>
    <w:rsid w:val="00657B23"/>
    <w:rsid w:val="00660E55"/>
    <w:rsid w:val="006610DC"/>
    <w:rsid w:val="0066228D"/>
    <w:rsid w:val="0066520A"/>
    <w:rsid w:val="00666575"/>
    <w:rsid w:val="00677A13"/>
    <w:rsid w:val="00677A85"/>
    <w:rsid w:val="0068130A"/>
    <w:rsid w:val="00681FC0"/>
    <w:rsid w:val="006830F8"/>
    <w:rsid w:val="00683983"/>
    <w:rsid w:val="0069273D"/>
    <w:rsid w:val="00693AFA"/>
    <w:rsid w:val="00696385"/>
    <w:rsid w:val="006A1F31"/>
    <w:rsid w:val="006A2E69"/>
    <w:rsid w:val="006A5E79"/>
    <w:rsid w:val="006A5FB6"/>
    <w:rsid w:val="006B0F38"/>
    <w:rsid w:val="006B3B4A"/>
    <w:rsid w:val="006B720C"/>
    <w:rsid w:val="006C6731"/>
    <w:rsid w:val="006D10E9"/>
    <w:rsid w:val="006E1F38"/>
    <w:rsid w:val="006E3C37"/>
    <w:rsid w:val="006F3363"/>
    <w:rsid w:val="006F3EAB"/>
    <w:rsid w:val="006F643F"/>
    <w:rsid w:val="006F7CED"/>
    <w:rsid w:val="00703F41"/>
    <w:rsid w:val="007043FB"/>
    <w:rsid w:val="00706354"/>
    <w:rsid w:val="00707444"/>
    <w:rsid w:val="00707DBC"/>
    <w:rsid w:val="007137AB"/>
    <w:rsid w:val="00716FE4"/>
    <w:rsid w:val="0071707F"/>
    <w:rsid w:val="00717EC2"/>
    <w:rsid w:val="00720E23"/>
    <w:rsid w:val="00720E66"/>
    <w:rsid w:val="00724B11"/>
    <w:rsid w:val="00727E46"/>
    <w:rsid w:val="00733FB4"/>
    <w:rsid w:val="007342E6"/>
    <w:rsid w:val="00735072"/>
    <w:rsid w:val="007352C4"/>
    <w:rsid w:val="007405D3"/>
    <w:rsid w:val="00741658"/>
    <w:rsid w:val="00742B5D"/>
    <w:rsid w:val="007445CD"/>
    <w:rsid w:val="007447EE"/>
    <w:rsid w:val="00745488"/>
    <w:rsid w:val="00745B2C"/>
    <w:rsid w:val="00745FF1"/>
    <w:rsid w:val="00747276"/>
    <w:rsid w:val="0074775E"/>
    <w:rsid w:val="007538BE"/>
    <w:rsid w:val="00761384"/>
    <w:rsid w:val="007621E1"/>
    <w:rsid w:val="007661F5"/>
    <w:rsid w:val="007676B1"/>
    <w:rsid w:val="007677C1"/>
    <w:rsid w:val="00767B83"/>
    <w:rsid w:val="00774972"/>
    <w:rsid w:val="007754AA"/>
    <w:rsid w:val="0077629F"/>
    <w:rsid w:val="007801EC"/>
    <w:rsid w:val="00783042"/>
    <w:rsid w:val="007842B4"/>
    <w:rsid w:val="00793041"/>
    <w:rsid w:val="0079626F"/>
    <w:rsid w:val="007A4D36"/>
    <w:rsid w:val="007B0B30"/>
    <w:rsid w:val="007B27FA"/>
    <w:rsid w:val="007B39F2"/>
    <w:rsid w:val="007C3539"/>
    <w:rsid w:val="007C49D5"/>
    <w:rsid w:val="007C68C2"/>
    <w:rsid w:val="007D2DF4"/>
    <w:rsid w:val="007E39DF"/>
    <w:rsid w:val="007E72AE"/>
    <w:rsid w:val="007F0FE5"/>
    <w:rsid w:val="007F1C38"/>
    <w:rsid w:val="007F74E1"/>
    <w:rsid w:val="00801392"/>
    <w:rsid w:val="008129AF"/>
    <w:rsid w:val="00814315"/>
    <w:rsid w:val="008153E1"/>
    <w:rsid w:val="0081757A"/>
    <w:rsid w:val="008206FB"/>
    <w:rsid w:val="00821AD6"/>
    <w:rsid w:val="00821EC6"/>
    <w:rsid w:val="0082447F"/>
    <w:rsid w:val="00832414"/>
    <w:rsid w:val="00832E46"/>
    <w:rsid w:val="00836E6E"/>
    <w:rsid w:val="00837F9E"/>
    <w:rsid w:val="00852E2D"/>
    <w:rsid w:val="0085388D"/>
    <w:rsid w:val="008541CA"/>
    <w:rsid w:val="00854B6E"/>
    <w:rsid w:val="00854C14"/>
    <w:rsid w:val="008572CB"/>
    <w:rsid w:val="00861EF6"/>
    <w:rsid w:val="00862C5D"/>
    <w:rsid w:val="008636B1"/>
    <w:rsid w:val="00863C41"/>
    <w:rsid w:val="008661E5"/>
    <w:rsid w:val="008668FA"/>
    <w:rsid w:val="00867142"/>
    <w:rsid w:val="00871A94"/>
    <w:rsid w:val="00873005"/>
    <w:rsid w:val="00873B26"/>
    <w:rsid w:val="00881E99"/>
    <w:rsid w:val="00886AC5"/>
    <w:rsid w:val="008933E9"/>
    <w:rsid w:val="00893AE7"/>
    <w:rsid w:val="008A03CE"/>
    <w:rsid w:val="008A1883"/>
    <w:rsid w:val="008A3561"/>
    <w:rsid w:val="008A3B71"/>
    <w:rsid w:val="008A3F55"/>
    <w:rsid w:val="008A7B58"/>
    <w:rsid w:val="008B0757"/>
    <w:rsid w:val="008B14FD"/>
    <w:rsid w:val="008B1919"/>
    <w:rsid w:val="008B2425"/>
    <w:rsid w:val="008B5D66"/>
    <w:rsid w:val="008B75FA"/>
    <w:rsid w:val="008B7C36"/>
    <w:rsid w:val="008C0151"/>
    <w:rsid w:val="008C04CF"/>
    <w:rsid w:val="008C4A47"/>
    <w:rsid w:val="008C642E"/>
    <w:rsid w:val="008D3249"/>
    <w:rsid w:val="008E15C2"/>
    <w:rsid w:val="008E5A6A"/>
    <w:rsid w:val="008F17F7"/>
    <w:rsid w:val="008F1E12"/>
    <w:rsid w:val="008F2C1A"/>
    <w:rsid w:val="008F5B1D"/>
    <w:rsid w:val="00901D5C"/>
    <w:rsid w:val="00902D97"/>
    <w:rsid w:val="009040B7"/>
    <w:rsid w:val="00910C0B"/>
    <w:rsid w:val="00925698"/>
    <w:rsid w:val="0093005E"/>
    <w:rsid w:val="009334BE"/>
    <w:rsid w:val="00934265"/>
    <w:rsid w:val="00937016"/>
    <w:rsid w:val="00950C69"/>
    <w:rsid w:val="00957EC6"/>
    <w:rsid w:val="00961A4A"/>
    <w:rsid w:val="00965B0B"/>
    <w:rsid w:val="00967F43"/>
    <w:rsid w:val="009719A2"/>
    <w:rsid w:val="00972BEA"/>
    <w:rsid w:val="0097335D"/>
    <w:rsid w:val="0097352D"/>
    <w:rsid w:val="00975ECA"/>
    <w:rsid w:val="00977402"/>
    <w:rsid w:val="00982BCB"/>
    <w:rsid w:val="009839EF"/>
    <w:rsid w:val="009846D9"/>
    <w:rsid w:val="00984739"/>
    <w:rsid w:val="00985507"/>
    <w:rsid w:val="009A464C"/>
    <w:rsid w:val="009B1276"/>
    <w:rsid w:val="009B2E86"/>
    <w:rsid w:val="009B4FF1"/>
    <w:rsid w:val="009C07AB"/>
    <w:rsid w:val="009C1910"/>
    <w:rsid w:val="009C439C"/>
    <w:rsid w:val="009C6479"/>
    <w:rsid w:val="009D1F0B"/>
    <w:rsid w:val="009D443E"/>
    <w:rsid w:val="009E1E70"/>
    <w:rsid w:val="009E523C"/>
    <w:rsid w:val="009E7123"/>
    <w:rsid w:val="009F0FFD"/>
    <w:rsid w:val="009F1AE9"/>
    <w:rsid w:val="009F1BE3"/>
    <w:rsid w:val="009F1F0A"/>
    <w:rsid w:val="009F219B"/>
    <w:rsid w:val="009F545D"/>
    <w:rsid w:val="00A0070E"/>
    <w:rsid w:val="00A0125F"/>
    <w:rsid w:val="00A02742"/>
    <w:rsid w:val="00A05099"/>
    <w:rsid w:val="00A06C03"/>
    <w:rsid w:val="00A120C6"/>
    <w:rsid w:val="00A130F7"/>
    <w:rsid w:val="00A250BE"/>
    <w:rsid w:val="00A3419F"/>
    <w:rsid w:val="00A36F30"/>
    <w:rsid w:val="00A37E51"/>
    <w:rsid w:val="00A422D9"/>
    <w:rsid w:val="00A45379"/>
    <w:rsid w:val="00A45BC6"/>
    <w:rsid w:val="00A475DC"/>
    <w:rsid w:val="00A47654"/>
    <w:rsid w:val="00A511DB"/>
    <w:rsid w:val="00A519F3"/>
    <w:rsid w:val="00A54F99"/>
    <w:rsid w:val="00A56F5A"/>
    <w:rsid w:val="00A607EF"/>
    <w:rsid w:val="00A61A38"/>
    <w:rsid w:val="00A6214F"/>
    <w:rsid w:val="00A63990"/>
    <w:rsid w:val="00A73410"/>
    <w:rsid w:val="00A75D5B"/>
    <w:rsid w:val="00A76588"/>
    <w:rsid w:val="00A76A75"/>
    <w:rsid w:val="00A80B93"/>
    <w:rsid w:val="00A8603F"/>
    <w:rsid w:val="00A87953"/>
    <w:rsid w:val="00A90924"/>
    <w:rsid w:val="00A90E30"/>
    <w:rsid w:val="00A90FDE"/>
    <w:rsid w:val="00A95664"/>
    <w:rsid w:val="00A96495"/>
    <w:rsid w:val="00A965E1"/>
    <w:rsid w:val="00AA2B73"/>
    <w:rsid w:val="00AA2DCC"/>
    <w:rsid w:val="00AA3FF6"/>
    <w:rsid w:val="00AA49C6"/>
    <w:rsid w:val="00AA55B4"/>
    <w:rsid w:val="00AA66FA"/>
    <w:rsid w:val="00AA7059"/>
    <w:rsid w:val="00AA7BBA"/>
    <w:rsid w:val="00AB1A6C"/>
    <w:rsid w:val="00AB21D2"/>
    <w:rsid w:val="00AB4B46"/>
    <w:rsid w:val="00AB6B23"/>
    <w:rsid w:val="00AB7B0D"/>
    <w:rsid w:val="00AC039F"/>
    <w:rsid w:val="00AC2253"/>
    <w:rsid w:val="00AC3062"/>
    <w:rsid w:val="00AC4850"/>
    <w:rsid w:val="00AC6B01"/>
    <w:rsid w:val="00AD1777"/>
    <w:rsid w:val="00AD2D07"/>
    <w:rsid w:val="00AD5186"/>
    <w:rsid w:val="00AE0756"/>
    <w:rsid w:val="00AE128E"/>
    <w:rsid w:val="00AE68C0"/>
    <w:rsid w:val="00AF41F8"/>
    <w:rsid w:val="00AF5BBF"/>
    <w:rsid w:val="00B01573"/>
    <w:rsid w:val="00B068B9"/>
    <w:rsid w:val="00B10FE5"/>
    <w:rsid w:val="00B12ECD"/>
    <w:rsid w:val="00B13418"/>
    <w:rsid w:val="00B15A28"/>
    <w:rsid w:val="00B237C7"/>
    <w:rsid w:val="00B241CC"/>
    <w:rsid w:val="00B24654"/>
    <w:rsid w:val="00B25BED"/>
    <w:rsid w:val="00B31D49"/>
    <w:rsid w:val="00B33259"/>
    <w:rsid w:val="00B33558"/>
    <w:rsid w:val="00B42523"/>
    <w:rsid w:val="00B43CF7"/>
    <w:rsid w:val="00B45A02"/>
    <w:rsid w:val="00B45DC2"/>
    <w:rsid w:val="00B520E0"/>
    <w:rsid w:val="00B56205"/>
    <w:rsid w:val="00B57D87"/>
    <w:rsid w:val="00B57DFC"/>
    <w:rsid w:val="00B6138E"/>
    <w:rsid w:val="00B62311"/>
    <w:rsid w:val="00B639D1"/>
    <w:rsid w:val="00B74D64"/>
    <w:rsid w:val="00B77FC5"/>
    <w:rsid w:val="00B811FC"/>
    <w:rsid w:val="00B86888"/>
    <w:rsid w:val="00B92743"/>
    <w:rsid w:val="00B937AD"/>
    <w:rsid w:val="00B95865"/>
    <w:rsid w:val="00B95929"/>
    <w:rsid w:val="00B97132"/>
    <w:rsid w:val="00B97E5A"/>
    <w:rsid w:val="00BA0859"/>
    <w:rsid w:val="00BA3B1A"/>
    <w:rsid w:val="00BB36D2"/>
    <w:rsid w:val="00BB6CAA"/>
    <w:rsid w:val="00BB7368"/>
    <w:rsid w:val="00BB767E"/>
    <w:rsid w:val="00BC1779"/>
    <w:rsid w:val="00BC3E99"/>
    <w:rsid w:val="00BD5536"/>
    <w:rsid w:val="00BE01B7"/>
    <w:rsid w:val="00BE3774"/>
    <w:rsid w:val="00BE422B"/>
    <w:rsid w:val="00BF1DC0"/>
    <w:rsid w:val="00C07114"/>
    <w:rsid w:val="00C23E7A"/>
    <w:rsid w:val="00C26C0D"/>
    <w:rsid w:val="00C31CEA"/>
    <w:rsid w:val="00C325C9"/>
    <w:rsid w:val="00C32B8C"/>
    <w:rsid w:val="00C40E71"/>
    <w:rsid w:val="00C44B18"/>
    <w:rsid w:val="00C453C3"/>
    <w:rsid w:val="00C47190"/>
    <w:rsid w:val="00C50470"/>
    <w:rsid w:val="00C505A4"/>
    <w:rsid w:val="00C515EA"/>
    <w:rsid w:val="00C53C9E"/>
    <w:rsid w:val="00C56026"/>
    <w:rsid w:val="00C636B2"/>
    <w:rsid w:val="00C66CE9"/>
    <w:rsid w:val="00C708B3"/>
    <w:rsid w:val="00C7311D"/>
    <w:rsid w:val="00C739C6"/>
    <w:rsid w:val="00C8695F"/>
    <w:rsid w:val="00C92E09"/>
    <w:rsid w:val="00CA0999"/>
    <w:rsid w:val="00CA0D96"/>
    <w:rsid w:val="00CA2A79"/>
    <w:rsid w:val="00CA3503"/>
    <w:rsid w:val="00CA4BF9"/>
    <w:rsid w:val="00CB08EB"/>
    <w:rsid w:val="00CB191F"/>
    <w:rsid w:val="00CB1EB4"/>
    <w:rsid w:val="00CB278C"/>
    <w:rsid w:val="00CB6813"/>
    <w:rsid w:val="00CC00FD"/>
    <w:rsid w:val="00CC042C"/>
    <w:rsid w:val="00CC0FE3"/>
    <w:rsid w:val="00CC11BD"/>
    <w:rsid w:val="00CD0CF9"/>
    <w:rsid w:val="00CD3537"/>
    <w:rsid w:val="00CD5024"/>
    <w:rsid w:val="00CD59CE"/>
    <w:rsid w:val="00CD6B92"/>
    <w:rsid w:val="00CE35CB"/>
    <w:rsid w:val="00CE615C"/>
    <w:rsid w:val="00CE6C79"/>
    <w:rsid w:val="00CF79A5"/>
    <w:rsid w:val="00D009B7"/>
    <w:rsid w:val="00D03E26"/>
    <w:rsid w:val="00D06F81"/>
    <w:rsid w:val="00D11E24"/>
    <w:rsid w:val="00D26A72"/>
    <w:rsid w:val="00D33A6D"/>
    <w:rsid w:val="00D33DC3"/>
    <w:rsid w:val="00D4003C"/>
    <w:rsid w:val="00D41D1B"/>
    <w:rsid w:val="00D463BD"/>
    <w:rsid w:val="00D50F37"/>
    <w:rsid w:val="00D51F05"/>
    <w:rsid w:val="00D52678"/>
    <w:rsid w:val="00D538D4"/>
    <w:rsid w:val="00D53BD5"/>
    <w:rsid w:val="00D55129"/>
    <w:rsid w:val="00D569A2"/>
    <w:rsid w:val="00D56CD9"/>
    <w:rsid w:val="00D56E96"/>
    <w:rsid w:val="00D57F09"/>
    <w:rsid w:val="00D62A1E"/>
    <w:rsid w:val="00D6357F"/>
    <w:rsid w:val="00D6599B"/>
    <w:rsid w:val="00D676E1"/>
    <w:rsid w:val="00D7019C"/>
    <w:rsid w:val="00D7159F"/>
    <w:rsid w:val="00D72A22"/>
    <w:rsid w:val="00D73413"/>
    <w:rsid w:val="00D7446C"/>
    <w:rsid w:val="00D75681"/>
    <w:rsid w:val="00D800A6"/>
    <w:rsid w:val="00D80EBC"/>
    <w:rsid w:val="00D8642B"/>
    <w:rsid w:val="00D951E0"/>
    <w:rsid w:val="00D963A3"/>
    <w:rsid w:val="00D967D4"/>
    <w:rsid w:val="00D97BC6"/>
    <w:rsid w:val="00DA2513"/>
    <w:rsid w:val="00DA2989"/>
    <w:rsid w:val="00DA468C"/>
    <w:rsid w:val="00DA53F2"/>
    <w:rsid w:val="00DB1FE6"/>
    <w:rsid w:val="00DB2192"/>
    <w:rsid w:val="00DB4777"/>
    <w:rsid w:val="00DC0C72"/>
    <w:rsid w:val="00DC172F"/>
    <w:rsid w:val="00DC194B"/>
    <w:rsid w:val="00DD0FB5"/>
    <w:rsid w:val="00DD31B9"/>
    <w:rsid w:val="00DD42BF"/>
    <w:rsid w:val="00DD4C43"/>
    <w:rsid w:val="00DD6050"/>
    <w:rsid w:val="00DE07BB"/>
    <w:rsid w:val="00DE0F17"/>
    <w:rsid w:val="00DE103C"/>
    <w:rsid w:val="00DE3193"/>
    <w:rsid w:val="00DE3F94"/>
    <w:rsid w:val="00DE41E1"/>
    <w:rsid w:val="00DE44B4"/>
    <w:rsid w:val="00DE74F4"/>
    <w:rsid w:val="00DF0A53"/>
    <w:rsid w:val="00DF5D78"/>
    <w:rsid w:val="00E000AD"/>
    <w:rsid w:val="00E006FC"/>
    <w:rsid w:val="00E019F9"/>
    <w:rsid w:val="00E065B0"/>
    <w:rsid w:val="00E1088C"/>
    <w:rsid w:val="00E10DED"/>
    <w:rsid w:val="00E1459E"/>
    <w:rsid w:val="00E20AB5"/>
    <w:rsid w:val="00E20EBE"/>
    <w:rsid w:val="00E24117"/>
    <w:rsid w:val="00E34784"/>
    <w:rsid w:val="00E35031"/>
    <w:rsid w:val="00E3531B"/>
    <w:rsid w:val="00E43883"/>
    <w:rsid w:val="00E47A6A"/>
    <w:rsid w:val="00E50EF2"/>
    <w:rsid w:val="00E62381"/>
    <w:rsid w:val="00E6736C"/>
    <w:rsid w:val="00E7051B"/>
    <w:rsid w:val="00E7080E"/>
    <w:rsid w:val="00E807A7"/>
    <w:rsid w:val="00E80FDB"/>
    <w:rsid w:val="00E82221"/>
    <w:rsid w:val="00E82334"/>
    <w:rsid w:val="00E82A15"/>
    <w:rsid w:val="00E9294C"/>
    <w:rsid w:val="00E94B88"/>
    <w:rsid w:val="00E96001"/>
    <w:rsid w:val="00E963DC"/>
    <w:rsid w:val="00E975E6"/>
    <w:rsid w:val="00EA1171"/>
    <w:rsid w:val="00EA233A"/>
    <w:rsid w:val="00EA283A"/>
    <w:rsid w:val="00EA3951"/>
    <w:rsid w:val="00EA3E42"/>
    <w:rsid w:val="00EA59C2"/>
    <w:rsid w:val="00EA6A0B"/>
    <w:rsid w:val="00EA6BF0"/>
    <w:rsid w:val="00EB039C"/>
    <w:rsid w:val="00EB082E"/>
    <w:rsid w:val="00EB1795"/>
    <w:rsid w:val="00EB70C5"/>
    <w:rsid w:val="00EC09BD"/>
    <w:rsid w:val="00EC24EE"/>
    <w:rsid w:val="00EC51A2"/>
    <w:rsid w:val="00EC640F"/>
    <w:rsid w:val="00EC723A"/>
    <w:rsid w:val="00EC7F30"/>
    <w:rsid w:val="00EE6062"/>
    <w:rsid w:val="00EE617D"/>
    <w:rsid w:val="00EF16AF"/>
    <w:rsid w:val="00EF31D0"/>
    <w:rsid w:val="00F03675"/>
    <w:rsid w:val="00F04A50"/>
    <w:rsid w:val="00F06B1B"/>
    <w:rsid w:val="00F151F8"/>
    <w:rsid w:val="00F16DFC"/>
    <w:rsid w:val="00F2105C"/>
    <w:rsid w:val="00F26892"/>
    <w:rsid w:val="00F26A20"/>
    <w:rsid w:val="00F26CEB"/>
    <w:rsid w:val="00F300FC"/>
    <w:rsid w:val="00F304F1"/>
    <w:rsid w:val="00F30832"/>
    <w:rsid w:val="00F31B3C"/>
    <w:rsid w:val="00F3632E"/>
    <w:rsid w:val="00F41527"/>
    <w:rsid w:val="00F45E6D"/>
    <w:rsid w:val="00F5026C"/>
    <w:rsid w:val="00F51E4E"/>
    <w:rsid w:val="00F5498B"/>
    <w:rsid w:val="00F60C9F"/>
    <w:rsid w:val="00F62224"/>
    <w:rsid w:val="00F62B10"/>
    <w:rsid w:val="00F641E3"/>
    <w:rsid w:val="00F652A2"/>
    <w:rsid w:val="00F66BAB"/>
    <w:rsid w:val="00F70A24"/>
    <w:rsid w:val="00F71A4B"/>
    <w:rsid w:val="00F71DB3"/>
    <w:rsid w:val="00F729E3"/>
    <w:rsid w:val="00F74F6C"/>
    <w:rsid w:val="00F81712"/>
    <w:rsid w:val="00F8206F"/>
    <w:rsid w:val="00F8438C"/>
    <w:rsid w:val="00F90BEE"/>
    <w:rsid w:val="00F934AE"/>
    <w:rsid w:val="00F93A76"/>
    <w:rsid w:val="00F93F2C"/>
    <w:rsid w:val="00F9478A"/>
    <w:rsid w:val="00F96A54"/>
    <w:rsid w:val="00FA3F0B"/>
    <w:rsid w:val="00FB0B84"/>
    <w:rsid w:val="00FB6172"/>
    <w:rsid w:val="00FC19DD"/>
    <w:rsid w:val="00FD3AB4"/>
    <w:rsid w:val="00FD53E0"/>
    <w:rsid w:val="00FD726B"/>
    <w:rsid w:val="00FD7A4E"/>
    <w:rsid w:val="00FE4D82"/>
    <w:rsid w:val="00FE6D2C"/>
    <w:rsid w:val="00FF08B3"/>
    <w:rsid w:val="00FF35EA"/>
    <w:rsid w:val="00FF52F2"/>
    <w:rsid w:val="010E70F1"/>
    <w:rsid w:val="011A6747"/>
    <w:rsid w:val="01233A9E"/>
    <w:rsid w:val="01261A8C"/>
    <w:rsid w:val="013C06BC"/>
    <w:rsid w:val="01690699"/>
    <w:rsid w:val="018265AE"/>
    <w:rsid w:val="018C33F1"/>
    <w:rsid w:val="01D54D98"/>
    <w:rsid w:val="01E2462E"/>
    <w:rsid w:val="01FA47FF"/>
    <w:rsid w:val="02076422"/>
    <w:rsid w:val="02110B3C"/>
    <w:rsid w:val="021B6523"/>
    <w:rsid w:val="022473D5"/>
    <w:rsid w:val="02EE59E6"/>
    <w:rsid w:val="02FD7C51"/>
    <w:rsid w:val="0307617D"/>
    <w:rsid w:val="031F3DF1"/>
    <w:rsid w:val="033E332C"/>
    <w:rsid w:val="03520AB8"/>
    <w:rsid w:val="03595555"/>
    <w:rsid w:val="036D1000"/>
    <w:rsid w:val="03964C5D"/>
    <w:rsid w:val="03A8028B"/>
    <w:rsid w:val="03DB240E"/>
    <w:rsid w:val="043833BC"/>
    <w:rsid w:val="044A30F0"/>
    <w:rsid w:val="045126D0"/>
    <w:rsid w:val="04536448"/>
    <w:rsid w:val="045B70AB"/>
    <w:rsid w:val="04714B20"/>
    <w:rsid w:val="048E55BC"/>
    <w:rsid w:val="048F14A4"/>
    <w:rsid w:val="04C06BAA"/>
    <w:rsid w:val="04DA26C6"/>
    <w:rsid w:val="04E77F9C"/>
    <w:rsid w:val="05467D5B"/>
    <w:rsid w:val="05557F9E"/>
    <w:rsid w:val="0567385B"/>
    <w:rsid w:val="05D435B9"/>
    <w:rsid w:val="05F94DCD"/>
    <w:rsid w:val="06071298"/>
    <w:rsid w:val="06157AD8"/>
    <w:rsid w:val="063F547A"/>
    <w:rsid w:val="06471FDD"/>
    <w:rsid w:val="066E1317"/>
    <w:rsid w:val="06741E05"/>
    <w:rsid w:val="069114AA"/>
    <w:rsid w:val="069B5E85"/>
    <w:rsid w:val="06C322EE"/>
    <w:rsid w:val="06C673A5"/>
    <w:rsid w:val="06CF0667"/>
    <w:rsid w:val="06D20B9D"/>
    <w:rsid w:val="06E71703"/>
    <w:rsid w:val="06F01445"/>
    <w:rsid w:val="07013F3A"/>
    <w:rsid w:val="070677A2"/>
    <w:rsid w:val="072440CC"/>
    <w:rsid w:val="073F2CB4"/>
    <w:rsid w:val="074F7D92"/>
    <w:rsid w:val="07707311"/>
    <w:rsid w:val="07807554"/>
    <w:rsid w:val="07830DF3"/>
    <w:rsid w:val="078A03D3"/>
    <w:rsid w:val="079C3C62"/>
    <w:rsid w:val="079E20A9"/>
    <w:rsid w:val="07A4199C"/>
    <w:rsid w:val="07BC2556"/>
    <w:rsid w:val="07DF7E70"/>
    <w:rsid w:val="07FD5E03"/>
    <w:rsid w:val="0813103B"/>
    <w:rsid w:val="082500FC"/>
    <w:rsid w:val="08297BEC"/>
    <w:rsid w:val="08397703"/>
    <w:rsid w:val="088564A0"/>
    <w:rsid w:val="088A7F5F"/>
    <w:rsid w:val="08A62B3B"/>
    <w:rsid w:val="08E51639"/>
    <w:rsid w:val="08F92DA6"/>
    <w:rsid w:val="08FA50E4"/>
    <w:rsid w:val="096C444A"/>
    <w:rsid w:val="097A3378"/>
    <w:rsid w:val="09D861CB"/>
    <w:rsid w:val="0A1951F0"/>
    <w:rsid w:val="0AA502AC"/>
    <w:rsid w:val="0AB93D36"/>
    <w:rsid w:val="0AC37E28"/>
    <w:rsid w:val="0B0C10FF"/>
    <w:rsid w:val="0B1B1342"/>
    <w:rsid w:val="0B3A7A6C"/>
    <w:rsid w:val="0B3E3025"/>
    <w:rsid w:val="0B5F3925"/>
    <w:rsid w:val="0B710869"/>
    <w:rsid w:val="0B84338B"/>
    <w:rsid w:val="0B8B296C"/>
    <w:rsid w:val="0B947379"/>
    <w:rsid w:val="0BCF5714"/>
    <w:rsid w:val="0C0D512F"/>
    <w:rsid w:val="0C366086"/>
    <w:rsid w:val="0C500ED7"/>
    <w:rsid w:val="0C6270EE"/>
    <w:rsid w:val="0C7D0506"/>
    <w:rsid w:val="0C9F0ABE"/>
    <w:rsid w:val="0CBC7FB2"/>
    <w:rsid w:val="0CBD6B55"/>
    <w:rsid w:val="0CC33C1B"/>
    <w:rsid w:val="0CCC760E"/>
    <w:rsid w:val="0CF5121F"/>
    <w:rsid w:val="0CF84031"/>
    <w:rsid w:val="0CF956B3"/>
    <w:rsid w:val="0D0262E1"/>
    <w:rsid w:val="0D18022F"/>
    <w:rsid w:val="0D257E29"/>
    <w:rsid w:val="0D51729D"/>
    <w:rsid w:val="0D570D57"/>
    <w:rsid w:val="0D815DD4"/>
    <w:rsid w:val="0D8256A8"/>
    <w:rsid w:val="0DBD1EBF"/>
    <w:rsid w:val="0DED1A05"/>
    <w:rsid w:val="0DF06AB6"/>
    <w:rsid w:val="0E220142"/>
    <w:rsid w:val="0E264749"/>
    <w:rsid w:val="0E3017BB"/>
    <w:rsid w:val="0E856A82"/>
    <w:rsid w:val="0EEF6D6E"/>
    <w:rsid w:val="0EF7232D"/>
    <w:rsid w:val="0F3E1EFC"/>
    <w:rsid w:val="0F663B59"/>
    <w:rsid w:val="0F9301BE"/>
    <w:rsid w:val="0FA67D74"/>
    <w:rsid w:val="0FB32491"/>
    <w:rsid w:val="0FCB77DB"/>
    <w:rsid w:val="0FFC7994"/>
    <w:rsid w:val="0FFE370C"/>
    <w:rsid w:val="10016F8D"/>
    <w:rsid w:val="103A04BC"/>
    <w:rsid w:val="10701ECB"/>
    <w:rsid w:val="108A1444"/>
    <w:rsid w:val="10B10992"/>
    <w:rsid w:val="10D27CCB"/>
    <w:rsid w:val="10F11235"/>
    <w:rsid w:val="10F863AD"/>
    <w:rsid w:val="11254CC9"/>
    <w:rsid w:val="113E0119"/>
    <w:rsid w:val="118C4D48"/>
    <w:rsid w:val="11C12C43"/>
    <w:rsid w:val="11EE6888"/>
    <w:rsid w:val="12017F94"/>
    <w:rsid w:val="1211524D"/>
    <w:rsid w:val="12301B77"/>
    <w:rsid w:val="12696E37"/>
    <w:rsid w:val="12A12A75"/>
    <w:rsid w:val="12C66037"/>
    <w:rsid w:val="12F3673A"/>
    <w:rsid w:val="12FE1C75"/>
    <w:rsid w:val="13180F89"/>
    <w:rsid w:val="1323348A"/>
    <w:rsid w:val="13394A5B"/>
    <w:rsid w:val="13702B73"/>
    <w:rsid w:val="13750071"/>
    <w:rsid w:val="13E62E35"/>
    <w:rsid w:val="141817CE"/>
    <w:rsid w:val="141D25CF"/>
    <w:rsid w:val="1424395D"/>
    <w:rsid w:val="14260DDA"/>
    <w:rsid w:val="14353475"/>
    <w:rsid w:val="14382F65"/>
    <w:rsid w:val="143F649B"/>
    <w:rsid w:val="14423377"/>
    <w:rsid w:val="144D2A37"/>
    <w:rsid w:val="14755F67"/>
    <w:rsid w:val="148368D6"/>
    <w:rsid w:val="14860BF1"/>
    <w:rsid w:val="14A54F8A"/>
    <w:rsid w:val="14D84158"/>
    <w:rsid w:val="14E44445"/>
    <w:rsid w:val="14E92279"/>
    <w:rsid w:val="153E0A4F"/>
    <w:rsid w:val="154303C0"/>
    <w:rsid w:val="15602773"/>
    <w:rsid w:val="15B127BA"/>
    <w:rsid w:val="15E72796"/>
    <w:rsid w:val="16483661"/>
    <w:rsid w:val="16826719"/>
    <w:rsid w:val="1684137A"/>
    <w:rsid w:val="169E5034"/>
    <w:rsid w:val="16B965DF"/>
    <w:rsid w:val="16D2144F"/>
    <w:rsid w:val="171932EA"/>
    <w:rsid w:val="171E28E6"/>
    <w:rsid w:val="172872C1"/>
    <w:rsid w:val="172D0D7B"/>
    <w:rsid w:val="173F405B"/>
    <w:rsid w:val="17681DB3"/>
    <w:rsid w:val="179130B8"/>
    <w:rsid w:val="17DD39AA"/>
    <w:rsid w:val="17DD5E1F"/>
    <w:rsid w:val="17F808CD"/>
    <w:rsid w:val="18105A37"/>
    <w:rsid w:val="18334653"/>
    <w:rsid w:val="18E92A80"/>
    <w:rsid w:val="18F90F15"/>
    <w:rsid w:val="18FB42F7"/>
    <w:rsid w:val="19023963"/>
    <w:rsid w:val="19210A83"/>
    <w:rsid w:val="19212219"/>
    <w:rsid w:val="194222A2"/>
    <w:rsid w:val="19625234"/>
    <w:rsid w:val="19952FDA"/>
    <w:rsid w:val="199F530A"/>
    <w:rsid w:val="19A03A86"/>
    <w:rsid w:val="19B65058"/>
    <w:rsid w:val="19BB08C0"/>
    <w:rsid w:val="19C74C01"/>
    <w:rsid w:val="19CD4E7D"/>
    <w:rsid w:val="1A116732"/>
    <w:rsid w:val="1A3E5DB7"/>
    <w:rsid w:val="1A4E34E2"/>
    <w:rsid w:val="1A670100"/>
    <w:rsid w:val="1AA21C08"/>
    <w:rsid w:val="1ABA0B77"/>
    <w:rsid w:val="1B0431CD"/>
    <w:rsid w:val="1B1D5FE3"/>
    <w:rsid w:val="1B386777"/>
    <w:rsid w:val="1B3A2C32"/>
    <w:rsid w:val="1C093B64"/>
    <w:rsid w:val="1C0948DA"/>
    <w:rsid w:val="1C1222ED"/>
    <w:rsid w:val="1C1226C3"/>
    <w:rsid w:val="1C17459D"/>
    <w:rsid w:val="1C1F2E0A"/>
    <w:rsid w:val="1C597F1C"/>
    <w:rsid w:val="1C5C30AE"/>
    <w:rsid w:val="1C6963B1"/>
    <w:rsid w:val="1C6E3FBF"/>
    <w:rsid w:val="1C7125EE"/>
    <w:rsid w:val="1CAC2742"/>
    <w:rsid w:val="1CB56BBA"/>
    <w:rsid w:val="1CE956FE"/>
    <w:rsid w:val="1CF814E3"/>
    <w:rsid w:val="1D456CB0"/>
    <w:rsid w:val="1D754B2E"/>
    <w:rsid w:val="1D81336E"/>
    <w:rsid w:val="1DB00010"/>
    <w:rsid w:val="1DB95116"/>
    <w:rsid w:val="1DDB508D"/>
    <w:rsid w:val="1DE026A3"/>
    <w:rsid w:val="1E2307E2"/>
    <w:rsid w:val="1E296894"/>
    <w:rsid w:val="1E3511F3"/>
    <w:rsid w:val="1E3C7C36"/>
    <w:rsid w:val="1E4D585F"/>
    <w:rsid w:val="1E796654"/>
    <w:rsid w:val="1E8262C8"/>
    <w:rsid w:val="1E827BFE"/>
    <w:rsid w:val="1EA96F39"/>
    <w:rsid w:val="1EF81434"/>
    <w:rsid w:val="1EFF4DAB"/>
    <w:rsid w:val="1F046865"/>
    <w:rsid w:val="1F0979D8"/>
    <w:rsid w:val="1F70521E"/>
    <w:rsid w:val="1FA0313C"/>
    <w:rsid w:val="1FA63478"/>
    <w:rsid w:val="1FAD3310"/>
    <w:rsid w:val="1FC81641"/>
    <w:rsid w:val="1FE019AF"/>
    <w:rsid w:val="1FE81CE3"/>
    <w:rsid w:val="1FEA7809"/>
    <w:rsid w:val="200C2075"/>
    <w:rsid w:val="20396DF9"/>
    <w:rsid w:val="20523600"/>
    <w:rsid w:val="20547378"/>
    <w:rsid w:val="2082367E"/>
    <w:rsid w:val="20867BAF"/>
    <w:rsid w:val="209E23A2"/>
    <w:rsid w:val="20AA62CB"/>
    <w:rsid w:val="20C77B4A"/>
    <w:rsid w:val="20CF69FF"/>
    <w:rsid w:val="20E97AC1"/>
    <w:rsid w:val="20EB1A8B"/>
    <w:rsid w:val="2129610F"/>
    <w:rsid w:val="21347641"/>
    <w:rsid w:val="21352D06"/>
    <w:rsid w:val="21447AE5"/>
    <w:rsid w:val="214C004F"/>
    <w:rsid w:val="215018EE"/>
    <w:rsid w:val="21543588"/>
    <w:rsid w:val="21584C46"/>
    <w:rsid w:val="21657A51"/>
    <w:rsid w:val="21690C01"/>
    <w:rsid w:val="21703D3E"/>
    <w:rsid w:val="21892EE2"/>
    <w:rsid w:val="21B83974"/>
    <w:rsid w:val="21C978F2"/>
    <w:rsid w:val="21F273B2"/>
    <w:rsid w:val="21F62C07"/>
    <w:rsid w:val="222F1E4B"/>
    <w:rsid w:val="22315DA8"/>
    <w:rsid w:val="22460AFC"/>
    <w:rsid w:val="226712F0"/>
    <w:rsid w:val="226C09A9"/>
    <w:rsid w:val="227E248B"/>
    <w:rsid w:val="22943A5C"/>
    <w:rsid w:val="229D0DC1"/>
    <w:rsid w:val="22A7378F"/>
    <w:rsid w:val="22DB2D94"/>
    <w:rsid w:val="22F34840"/>
    <w:rsid w:val="23177F26"/>
    <w:rsid w:val="232E5C5F"/>
    <w:rsid w:val="232F19D7"/>
    <w:rsid w:val="234021BA"/>
    <w:rsid w:val="23897339"/>
    <w:rsid w:val="23A60388"/>
    <w:rsid w:val="23A6352B"/>
    <w:rsid w:val="23AA3203"/>
    <w:rsid w:val="23DF33FD"/>
    <w:rsid w:val="23FC3FAF"/>
    <w:rsid w:val="2403533D"/>
    <w:rsid w:val="240B71BB"/>
    <w:rsid w:val="2419565D"/>
    <w:rsid w:val="24314FE1"/>
    <w:rsid w:val="24743E5A"/>
    <w:rsid w:val="24997A50"/>
    <w:rsid w:val="249B7324"/>
    <w:rsid w:val="24A1552D"/>
    <w:rsid w:val="24AE2847"/>
    <w:rsid w:val="24B25E39"/>
    <w:rsid w:val="24D31C46"/>
    <w:rsid w:val="24F26E40"/>
    <w:rsid w:val="250550E5"/>
    <w:rsid w:val="254E4396"/>
    <w:rsid w:val="25545725"/>
    <w:rsid w:val="25572ED2"/>
    <w:rsid w:val="259F2E44"/>
    <w:rsid w:val="25A77F4A"/>
    <w:rsid w:val="25AE6883"/>
    <w:rsid w:val="25BA5FC7"/>
    <w:rsid w:val="26190E48"/>
    <w:rsid w:val="263B7010"/>
    <w:rsid w:val="26894CE1"/>
    <w:rsid w:val="269E134D"/>
    <w:rsid w:val="26AA5F44"/>
    <w:rsid w:val="26B91CE3"/>
    <w:rsid w:val="27165388"/>
    <w:rsid w:val="273B4DEE"/>
    <w:rsid w:val="274B7827"/>
    <w:rsid w:val="27561C28"/>
    <w:rsid w:val="27870557"/>
    <w:rsid w:val="27960276"/>
    <w:rsid w:val="27994287"/>
    <w:rsid w:val="27B5694E"/>
    <w:rsid w:val="27E74FD6"/>
    <w:rsid w:val="280E605F"/>
    <w:rsid w:val="280F7398"/>
    <w:rsid w:val="283118DE"/>
    <w:rsid w:val="284A2ECB"/>
    <w:rsid w:val="285A12A4"/>
    <w:rsid w:val="286D0937"/>
    <w:rsid w:val="286E3BC6"/>
    <w:rsid w:val="2879521A"/>
    <w:rsid w:val="289447B6"/>
    <w:rsid w:val="28A30E9D"/>
    <w:rsid w:val="28A349F9"/>
    <w:rsid w:val="28BC3D0D"/>
    <w:rsid w:val="28C11323"/>
    <w:rsid w:val="28CA01D8"/>
    <w:rsid w:val="28D33093"/>
    <w:rsid w:val="28DC0F94"/>
    <w:rsid w:val="294E705B"/>
    <w:rsid w:val="2996630C"/>
    <w:rsid w:val="29A273A6"/>
    <w:rsid w:val="29B03871"/>
    <w:rsid w:val="29CE5AA6"/>
    <w:rsid w:val="29DB6414"/>
    <w:rsid w:val="29E72BF1"/>
    <w:rsid w:val="29F55728"/>
    <w:rsid w:val="2A111E36"/>
    <w:rsid w:val="2A18008B"/>
    <w:rsid w:val="2A3C1636"/>
    <w:rsid w:val="2A411B6D"/>
    <w:rsid w:val="2AB47391"/>
    <w:rsid w:val="2ABC4498"/>
    <w:rsid w:val="2ADB0971"/>
    <w:rsid w:val="2B033E75"/>
    <w:rsid w:val="2B141BDE"/>
    <w:rsid w:val="2B194FFC"/>
    <w:rsid w:val="2B210CD1"/>
    <w:rsid w:val="2B28134F"/>
    <w:rsid w:val="2B74267D"/>
    <w:rsid w:val="2B794137"/>
    <w:rsid w:val="2B7F78EF"/>
    <w:rsid w:val="2B8F74B6"/>
    <w:rsid w:val="2BD9534F"/>
    <w:rsid w:val="2BFF63EA"/>
    <w:rsid w:val="2C01432C"/>
    <w:rsid w:val="2C197C11"/>
    <w:rsid w:val="2C3266B9"/>
    <w:rsid w:val="2C3E195E"/>
    <w:rsid w:val="2C4C35F9"/>
    <w:rsid w:val="2CBE2DC2"/>
    <w:rsid w:val="2CBE62A5"/>
    <w:rsid w:val="2CCE2260"/>
    <w:rsid w:val="2CD052EA"/>
    <w:rsid w:val="2CEF46B1"/>
    <w:rsid w:val="2CF871C7"/>
    <w:rsid w:val="2D12595D"/>
    <w:rsid w:val="2D825525"/>
    <w:rsid w:val="2DE64648"/>
    <w:rsid w:val="2DF73229"/>
    <w:rsid w:val="2E175A7B"/>
    <w:rsid w:val="2E223F5B"/>
    <w:rsid w:val="2E2E1209"/>
    <w:rsid w:val="2E3511E5"/>
    <w:rsid w:val="2E555EBC"/>
    <w:rsid w:val="2E5E2E30"/>
    <w:rsid w:val="2EAC6CE6"/>
    <w:rsid w:val="2EF97076"/>
    <w:rsid w:val="2EFF3B7B"/>
    <w:rsid w:val="2F0B154A"/>
    <w:rsid w:val="2F0E107B"/>
    <w:rsid w:val="2F3D369E"/>
    <w:rsid w:val="2F601896"/>
    <w:rsid w:val="2F677733"/>
    <w:rsid w:val="2F7467BD"/>
    <w:rsid w:val="2F833432"/>
    <w:rsid w:val="2F972377"/>
    <w:rsid w:val="2F9E416C"/>
    <w:rsid w:val="3021158F"/>
    <w:rsid w:val="30266CAB"/>
    <w:rsid w:val="302814B4"/>
    <w:rsid w:val="302E54F0"/>
    <w:rsid w:val="30433499"/>
    <w:rsid w:val="307024A0"/>
    <w:rsid w:val="307D1FD3"/>
    <w:rsid w:val="307E5F4A"/>
    <w:rsid w:val="30B64BF7"/>
    <w:rsid w:val="30B8125D"/>
    <w:rsid w:val="30C6397A"/>
    <w:rsid w:val="30F009F7"/>
    <w:rsid w:val="30FA7AC8"/>
    <w:rsid w:val="31030262"/>
    <w:rsid w:val="31905D36"/>
    <w:rsid w:val="31A55C86"/>
    <w:rsid w:val="31C53C32"/>
    <w:rsid w:val="31CF3CF6"/>
    <w:rsid w:val="31E24E52"/>
    <w:rsid w:val="31EF266E"/>
    <w:rsid w:val="32163105"/>
    <w:rsid w:val="321E1594"/>
    <w:rsid w:val="321E75CB"/>
    <w:rsid w:val="322B1F07"/>
    <w:rsid w:val="32614465"/>
    <w:rsid w:val="32B53CA7"/>
    <w:rsid w:val="32BF4B25"/>
    <w:rsid w:val="32BF68D3"/>
    <w:rsid w:val="32C4213C"/>
    <w:rsid w:val="32C61C5E"/>
    <w:rsid w:val="32EB1476"/>
    <w:rsid w:val="330E33B7"/>
    <w:rsid w:val="33260700"/>
    <w:rsid w:val="335D5ED2"/>
    <w:rsid w:val="337C6572"/>
    <w:rsid w:val="339B4588"/>
    <w:rsid w:val="33AD7074"/>
    <w:rsid w:val="33CB67C1"/>
    <w:rsid w:val="33E04D53"/>
    <w:rsid w:val="34172B9A"/>
    <w:rsid w:val="347808A0"/>
    <w:rsid w:val="34B00BC9"/>
    <w:rsid w:val="34B1585E"/>
    <w:rsid w:val="34DD6F81"/>
    <w:rsid w:val="351C360A"/>
    <w:rsid w:val="351D5B33"/>
    <w:rsid w:val="355A0B35"/>
    <w:rsid w:val="355A6D87"/>
    <w:rsid w:val="35645510"/>
    <w:rsid w:val="358861CB"/>
    <w:rsid w:val="35942299"/>
    <w:rsid w:val="35EB3E83"/>
    <w:rsid w:val="36035EE7"/>
    <w:rsid w:val="3662448E"/>
    <w:rsid w:val="368340BC"/>
    <w:rsid w:val="36883480"/>
    <w:rsid w:val="36933436"/>
    <w:rsid w:val="36C31297"/>
    <w:rsid w:val="36F11025"/>
    <w:rsid w:val="37320C7E"/>
    <w:rsid w:val="3748158D"/>
    <w:rsid w:val="37893954"/>
    <w:rsid w:val="379F59CB"/>
    <w:rsid w:val="37AC0952"/>
    <w:rsid w:val="37B067C2"/>
    <w:rsid w:val="37B9173A"/>
    <w:rsid w:val="37C417AA"/>
    <w:rsid w:val="37C624B2"/>
    <w:rsid w:val="37EC20DC"/>
    <w:rsid w:val="3802360F"/>
    <w:rsid w:val="38151DB4"/>
    <w:rsid w:val="38174ABC"/>
    <w:rsid w:val="382316B2"/>
    <w:rsid w:val="382513DD"/>
    <w:rsid w:val="38375FDE"/>
    <w:rsid w:val="384B220B"/>
    <w:rsid w:val="38524F93"/>
    <w:rsid w:val="38740160"/>
    <w:rsid w:val="3882452F"/>
    <w:rsid w:val="389338B6"/>
    <w:rsid w:val="38953355"/>
    <w:rsid w:val="38A81BB8"/>
    <w:rsid w:val="38D46E50"/>
    <w:rsid w:val="39013DC6"/>
    <w:rsid w:val="390A39E8"/>
    <w:rsid w:val="39164F33"/>
    <w:rsid w:val="39257583"/>
    <w:rsid w:val="392C3E23"/>
    <w:rsid w:val="39562097"/>
    <w:rsid w:val="39875C71"/>
    <w:rsid w:val="39C173D5"/>
    <w:rsid w:val="39F3292F"/>
    <w:rsid w:val="3A211C22"/>
    <w:rsid w:val="3A5C694D"/>
    <w:rsid w:val="3A797CAF"/>
    <w:rsid w:val="3A8F0DEC"/>
    <w:rsid w:val="3AAD5BAB"/>
    <w:rsid w:val="3ABE3914"/>
    <w:rsid w:val="3AC3717D"/>
    <w:rsid w:val="3AD56D27"/>
    <w:rsid w:val="3AF235BE"/>
    <w:rsid w:val="3B0A3808"/>
    <w:rsid w:val="3B420F4F"/>
    <w:rsid w:val="3B6224F2"/>
    <w:rsid w:val="3B7C7A57"/>
    <w:rsid w:val="3B852106"/>
    <w:rsid w:val="3BC11A43"/>
    <w:rsid w:val="3BC35686"/>
    <w:rsid w:val="3BF13876"/>
    <w:rsid w:val="3C5F6A31"/>
    <w:rsid w:val="3C70797A"/>
    <w:rsid w:val="3C804119"/>
    <w:rsid w:val="3C860462"/>
    <w:rsid w:val="3CC91996"/>
    <w:rsid w:val="3CEE0DE4"/>
    <w:rsid w:val="3CF47AC1"/>
    <w:rsid w:val="3D271C45"/>
    <w:rsid w:val="3D29450B"/>
    <w:rsid w:val="3D346C55"/>
    <w:rsid w:val="3D52542A"/>
    <w:rsid w:val="3D591ABC"/>
    <w:rsid w:val="3D604F23"/>
    <w:rsid w:val="3D606F05"/>
    <w:rsid w:val="3D8175A7"/>
    <w:rsid w:val="3D8441F8"/>
    <w:rsid w:val="3DA46DF1"/>
    <w:rsid w:val="3DDF7E2A"/>
    <w:rsid w:val="3E015FF2"/>
    <w:rsid w:val="3E0F142F"/>
    <w:rsid w:val="3E1C1F7B"/>
    <w:rsid w:val="3E3D0FF4"/>
    <w:rsid w:val="3E932226"/>
    <w:rsid w:val="3E962575"/>
    <w:rsid w:val="3E9A6844"/>
    <w:rsid w:val="3EE819BF"/>
    <w:rsid w:val="3F1461F9"/>
    <w:rsid w:val="3F2207F7"/>
    <w:rsid w:val="3F6E338E"/>
    <w:rsid w:val="3F6F342F"/>
    <w:rsid w:val="3F9309E2"/>
    <w:rsid w:val="3FC4377B"/>
    <w:rsid w:val="3FEA1E04"/>
    <w:rsid w:val="40287F7B"/>
    <w:rsid w:val="406311E6"/>
    <w:rsid w:val="40BC4452"/>
    <w:rsid w:val="40D83A48"/>
    <w:rsid w:val="40F167F2"/>
    <w:rsid w:val="413E130B"/>
    <w:rsid w:val="416C40CA"/>
    <w:rsid w:val="41826724"/>
    <w:rsid w:val="41856F3A"/>
    <w:rsid w:val="41961147"/>
    <w:rsid w:val="41A8516E"/>
    <w:rsid w:val="41B132F0"/>
    <w:rsid w:val="41C2018E"/>
    <w:rsid w:val="41DA7286"/>
    <w:rsid w:val="41F12821"/>
    <w:rsid w:val="421D53C4"/>
    <w:rsid w:val="4252365B"/>
    <w:rsid w:val="42644DA1"/>
    <w:rsid w:val="42756FAE"/>
    <w:rsid w:val="42764AD5"/>
    <w:rsid w:val="42890CAC"/>
    <w:rsid w:val="42937435"/>
    <w:rsid w:val="42D31F27"/>
    <w:rsid w:val="42ED61B2"/>
    <w:rsid w:val="43137042"/>
    <w:rsid w:val="434B7D0F"/>
    <w:rsid w:val="435B61A4"/>
    <w:rsid w:val="435D700B"/>
    <w:rsid w:val="43931DE2"/>
    <w:rsid w:val="4395248D"/>
    <w:rsid w:val="439F7DFE"/>
    <w:rsid w:val="43A55671"/>
    <w:rsid w:val="43AA2C88"/>
    <w:rsid w:val="43D961DA"/>
    <w:rsid w:val="44103433"/>
    <w:rsid w:val="44156F3C"/>
    <w:rsid w:val="44283AC1"/>
    <w:rsid w:val="443A225E"/>
    <w:rsid w:val="443D58AA"/>
    <w:rsid w:val="444A6219"/>
    <w:rsid w:val="446C2633"/>
    <w:rsid w:val="447D039C"/>
    <w:rsid w:val="44D73F50"/>
    <w:rsid w:val="44DF2C9A"/>
    <w:rsid w:val="44F543D6"/>
    <w:rsid w:val="44FD0F16"/>
    <w:rsid w:val="45022447"/>
    <w:rsid w:val="45154A79"/>
    <w:rsid w:val="4550160D"/>
    <w:rsid w:val="45583D70"/>
    <w:rsid w:val="458166F5"/>
    <w:rsid w:val="45951EF8"/>
    <w:rsid w:val="45A26C78"/>
    <w:rsid w:val="45A32084"/>
    <w:rsid w:val="45C07CB9"/>
    <w:rsid w:val="45C62011"/>
    <w:rsid w:val="4629229F"/>
    <w:rsid w:val="46342CDD"/>
    <w:rsid w:val="463B74FF"/>
    <w:rsid w:val="464F74DC"/>
    <w:rsid w:val="46733805"/>
    <w:rsid w:val="467B090B"/>
    <w:rsid w:val="46AE7BBD"/>
    <w:rsid w:val="46F34946"/>
    <w:rsid w:val="470B7EE1"/>
    <w:rsid w:val="47321912"/>
    <w:rsid w:val="4734568A"/>
    <w:rsid w:val="47594790"/>
    <w:rsid w:val="47655843"/>
    <w:rsid w:val="478704A5"/>
    <w:rsid w:val="47E50732"/>
    <w:rsid w:val="47E86474"/>
    <w:rsid w:val="47F40975"/>
    <w:rsid w:val="47F62B9C"/>
    <w:rsid w:val="4840005F"/>
    <w:rsid w:val="48703F4A"/>
    <w:rsid w:val="487D1A91"/>
    <w:rsid w:val="488E2B78"/>
    <w:rsid w:val="48B721DD"/>
    <w:rsid w:val="493150F6"/>
    <w:rsid w:val="4948541D"/>
    <w:rsid w:val="497B7A26"/>
    <w:rsid w:val="49BD15F7"/>
    <w:rsid w:val="49C34AA3"/>
    <w:rsid w:val="49C70317"/>
    <w:rsid w:val="49CC34B0"/>
    <w:rsid w:val="4A3F7411"/>
    <w:rsid w:val="4A6D4A0F"/>
    <w:rsid w:val="4A821B6F"/>
    <w:rsid w:val="4A8669E3"/>
    <w:rsid w:val="4AC75724"/>
    <w:rsid w:val="4AD710BE"/>
    <w:rsid w:val="4B186B09"/>
    <w:rsid w:val="4B3D2633"/>
    <w:rsid w:val="4B5819E1"/>
    <w:rsid w:val="4B612EB6"/>
    <w:rsid w:val="4B6C5211"/>
    <w:rsid w:val="4B8026B6"/>
    <w:rsid w:val="4BB70638"/>
    <w:rsid w:val="4BDC227F"/>
    <w:rsid w:val="4BFD344C"/>
    <w:rsid w:val="4BFF5B3B"/>
    <w:rsid w:val="4C1717A3"/>
    <w:rsid w:val="4C1841AA"/>
    <w:rsid w:val="4C237FED"/>
    <w:rsid w:val="4C26696E"/>
    <w:rsid w:val="4C2B14ED"/>
    <w:rsid w:val="4C2B60AE"/>
    <w:rsid w:val="4C35155C"/>
    <w:rsid w:val="4C55732C"/>
    <w:rsid w:val="4C5A2C8D"/>
    <w:rsid w:val="4C60482B"/>
    <w:rsid w:val="4C806C7C"/>
    <w:rsid w:val="4CE05399"/>
    <w:rsid w:val="4CEF610A"/>
    <w:rsid w:val="4D29595B"/>
    <w:rsid w:val="4D476FD4"/>
    <w:rsid w:val="4D5B0EA9"/>
    <w:rsid w:val="4D716E3C"/>
    <w:rsid w:val="4D764DF5"/>
    <w:rsid w:val="4D783DF7"/>
    <w:rsid w:val="4D926C66"/>
    <w:rsid w:val="4DA92202"/>
    <w:rsid w:val="4DC112FA"/>
    <w:rsid w:val="4DD637A3"/>
    <w:rsid w:val="4DD74FC1"/>
    <w:rsid w:val="4DE44FE8"/>
    <w:rsid w:val="4E0A1EFF"/>
    <w:rsid w:val="4E0B4C6B"/>
    <w:rsid w:val="4E0C3711"/>
    <w:rsid w:val="4E217FEA"/>
    <w:rsid w:val="4E2F2707"/>
    <w:rsid w:val="4E636855"/>
    <w:rsid w:val="4E6B74B7"/>
    <w:rsid w:val="4E9E5ADF"/>
    <w:rsid w:val="4EC8490A"/>
    <w:rsid w:val="4ECD01E4"/>
    <w:rsid w:val="4F087D42"/>
    <w:rsid w:val="4F1D440F"/>
    <w:rsid w:val="4F26273B"/>
    <w:rsid w:val="4F5D14F6"/>
    <w:rsid w:val="4F6335E7"/>
    <w:rsid w:val="4F653C9E"/>
    <w:rsid w:val="4F7505EE"/>
    <w:rsid w:val="4F7F146C"/>
    <w:rsid w:val="4FE9167D"/>
    <w:rsid w:val="4FEE10E5"/>
    <w:rsid w:val="4FF652DA"/>
    <w:rsid w:val="4FFA1B99"/>
    <w:rsid w:val="50047BC4"/>
    <w:rsid w:val="50120532"/>
    <w:rsid w:val="5086682B"/>
    <w:rsid w:val="508850BC"/>
    <w:rsid w:val="508C2093"/>
    <w:rsid w:val="50B00232"/>
    <w:rsid w:val="50F06755"/>
    <w:rsid w:val="51180B8E"/>
    <w:rsid w:val="51475FBA"/>
    <w:rsid w:val="515F5A90"/>
    <w:rsid w:val="517A4D75"/>
    <w:rsid w:val="51966BC8"/>
    <w:rsid w:val="51B573C7"/>
    <w:rsid w:val="51BD627C"/>
    <w:rsid w:val="51CD5DF7"/>
    <w:rsid w:val="51FF3467"/>
    <w:rsid w:val="521340EE"/>
    <w:rsid w:val="526B3F2A"/>
    <w:rsid w:val="52B62894"/>
    <w:rsid w:val="52CB6777"/>
    <w:rsid w:val="530F7AAE"/>
    <w:rsid w:val="53257169"/>
    <w:rsid w:val="53422EDD"/>
    <w:rsid w:val="53465C3E"/>
    <w:rsid w:val="535C391B"/>
    <w:rsid w:val="53690469"/>
    <w:rsid w:val="539D0113"/>
    <w:rsid w:val="54134879"/>
    <w:rsid w:val="545F2D48"/>
    <w:rsid w:val="545F361A"/>
    <w:rsid w:val="546856F4"/>
    <w:rsid w:val="54774E08"/>
    <w:rsid w:val="547E56B8"/>
    <w:rsid w:val="54815C87"/>
    <w:rsid w:val="548A4B3B"/>
    <w:rsid w:val="54973852"/>
    <w:rsid w:val="54A02118"/>
    <w:rsid w:val="550310E3"/>
    <w:rsid w:val="553B3FF0"/>
    <w:rsid w:val="5543118E"/>
    <w:rsid w:val="55442AFC"/>
    <w:rsid w:val="55505435"/>
    <w:rsid w:val="55807C59"/>
    <w:rsid w:val="55821CB6"/>
    <w:rsid w:val="55CB21FF"/>
    <w:rsid w:val="55CF657E"/>
    <w:rsid w:val="55D1679A"/>
    <w:rsid w:val="55F761C0"/>
    <w:rsid w:val="560A4FFD"/>
    <w:rsid w:val="560A5808"/>
    <w:rsid w:val="565371AF"/>
    <w:rsid w:val="56672DDE"/>
    <w:rsid w:val="567C6706"/>
    <w:rsid w:val="569C0B56"/>
    <w:rsid w:val="569F28C0"/>
    <w:rsid w:val="56B22127"/>
    <w:rsid w:val="5705494D"/>
    <w:rsid w:val="571E156B"/>
    <w:rsid w:val="57633422"/>
    <w:rsid w:val="578C2978"/>
    <w:rsid w:val="57B03084"/>
    <w:rsid w:val="57D0392B"/>
    <w:rsid w:val="57D936E4"/>
    <w:rsid w:val="58A837E2"/>
    <w:rsid w:val="58D26AB1"/>
    <w:rsid w:val="58DC4FCC"/>
    <w:rsid w:val="58F77E8F"/>
    <w:rsid w:val="592117E6"/>
    <w:rsid w:val="592310BA"/>
    <w:rsid w:val="592E103E"/>
    <w:rsid w:val="59377C10"/>
    <w:rsid w:val="594828CF"/>
    <w:rsid w:val="59636026"/>
    <w:rsid w:val="59653481"/>
    <w:rsid w:val="59722042"/>
    <w:rsid w:val="59897866"/>
    <w:rsid w:val="59AA17DC"/>
    <w:rsid w:val="59C657B2"/>
    <w:rsid w:val="59EF3692"/>
    <w:rsid w:val="59F24396"/>
    <w:rsid w:val="5A5B2AD6"/>
    <w:rsid w:val="5A690D4F"/>
    <w:rsid w:val="5A776550"/>
    <w:rsid w:val="5A7E7FCF"/>
    <w:rsid w:val="5A987886"/>
    <w:rsid w:val="5AC40A78"/>
    <w:rsid w:val="5AD07919"/>
    <w:rsid w:val="5AD563E4"/>
    <w:rsid w:val="5ADF7263"/>
    <w:rsid w:val="5AE623A0"/>
    <w:rsid w:val="5B130E01"/>
    <w:rsid w:val="5B5C6B06"/>
    <w:rsid w:val="5B5D1AF7"/>
    <w:rsid w:val="5BC51F3F"/>
    <w:rsid w:val="5BD112A2"/>
    <w:rsid w:val="5BD7618C"/>
    <w:rsid w:val="5C0B4A16"/>
    <w:rsid w:val="5C1E200D"/>
    <w:rsid w:val="5C2A38A5"/>
    <w:rsid w:val="5C45759A"/>
    <w:rsid w:val="5C711A3B"/>
    <w:rsid w:val="5C7A36E7"/>
    <w:rsid w:val="5C88152B"/>
    <w:rsid w:val="5C95407D"/>
    <w:rsid w:val="5CF76AE6"/>
    <w:rsid w:val="5D26561D"/>
    <w:rsid w:val="5D303DA6"/>
    <w:rsid w:val="5D7E0FB5"/>
    <w:rsid w:val="5D9630DD"/>
    <w:rsid w:val="5D9E3405"/>
    <w:rsid w:val="5D9F0F2C"/>
    <w:rsid w:val="5DB16193"/>
    <w:rsid w:val="5DC44938"/>
    <w:rsid w:val="5E0B321A"/>
    <w:rsid w:val="5E385682"/>
    <w:rsid w:val="5E62235C"/>
    <w:rsid w:val="5E7D19B8"/>
    <w:rsid w:val="5E9A388A"/>
    <w:rsid w:val="5E9B7945"/>
    <w:rsid w:val="5E9E2432"/>
    <w:rsid w:val="5EB07418"/>
    <w:rsid w:val="5EB1652D"/>
    <w:rsid w:val="5ECA1FD8"/>
    <w:rsid w:val="5ED115B9"/>
    <w:rsid w:val="5F0B14B3"/>
    <w:rsid w:val="5F1550E8"/>
    <w:rsid w:val="5F1C7969"/>
    <w:rsid w:val="5F247488"/>
    <w:rsid w:val="5F256ECF"/>
    <w:rsid w:val="5F2B5875"/>
    <w:rsid w:val="5F2E35DE"/>
    <w:rsid w:val="5F4F3707"/>
    <w:rsid w:val="5F550E87"/>
    <w:rsid w:val="5F6D308F"/>
    <w:rsid w:val="5F730181"/>
    <w:rsid w:val="5F8426C2"/>
    <w:rsid w:val="5FC36BF7"/>
    <w:rsid w:val="5FDA4C96"/>
    <w:rsid w:val="5FDD2577"/>
    <w:rsid w:val="5FE66015"/>
    <w:rsid w:val="5FF27A39"/>
    <w:rsid w:val="60081970"/>
    <w:rsid w:val="603802F7"/>
    <w:rsid w:val="604F32A9"/>
    <w:rsid w:val="606B04A5"/>
    <w:rsid w:val="609805E0"/>
    <w:rsid w:val="60DF1D6B"/>
    <w:rsid w:val="60E7023C"/>
    <w:rsid w:val="61135EB8"/>
    <w:rsid w:val="613C71BD"/>
    <w:rsid w:val="61433767"/>
    <w:rsid w:val="6166491E"/>
    <w:rsid w:val="616C3154"/>
    <w:rsid w:val="6196216C"/>
    <w:rsid w:val="61A83E6D"/>
    <w:rsid w:val="61BE04E1"/>
    <w:rsid w:val="61C51F92"/>
    <w:rsid w:val="61DD5F4B"/>
    <w:rsid w:val="61F541B9"/>
    <w:rsid w:val="620D2361"/>
    <w:rsid w:val="62286FA5"/>
    <w:rsid w:val="62361E5F"/>
    <w:rsid w:val="624D71A8"/>
    <w:rsid w:val="625353F4"/>
    <w:rsid w:val="625935EA"/>
    <w:rsid w:val="626740D4"/>
    <w:rsid w:val="626D33A6"/>
    <w:rsid w:val="6285730F"/>
    <w:rsid w:val="628D57F7"/>
    <w:rsid w:val="62FB30A8"/>
    <w:rsid w:val="63534C92"/>
    <w:rsid w:val="635D67A5"/>
    <w:rsid w:val="63600598"/>
    <w:rsid w:val="63770981"/>
    <w:rsid w:val="637E4BB3"/>
    <w:rsid w:val="6393508F"/>
    <w:rsid w:val="639D4429"/>
    <w:rsid w:val="63BA25D9"/>
    <w:rsid w:val="63BE035D"/>
    <w:rsid w:val="63CB72FD"/>
    <w:rsid w:val="63D16C47"/>
    <w:rsid w:val="64001AD2"/>
    <w:rsid w:val="6440596B"/>
    <w:rsid w:val="64422D1C"/>
    <w:rsid w:val="64446AA0"/>
    <w:rsid w:val="648669A1"/>
    <w:rsid w:val="648D5302"/>
    <w:rsid w:val="649A0A91"/>
    <w:rsid w:val="64B43358"/>
    <w:rsid w:val="64DE058B"/>
    <w:rsid w:val="65051FBC"/>
    <w:rsid w:val="651363E4"/>
    <w:rsid w:val="651E6C03"/>
    <w:rsid w:val="65493287"/>
    <w:rsid w:val="65505775"/>
    <w:rsid w:val="656F7435"/>
    <w:rsid w:val="65735178"/>
    <w:rsid w:val="65836819"/>
    <w:rsid w:val="65A2736F"/>
    <w:rsid w:val="65A6554D"/>
    <w:rsid w:val="65B801B5"/>
    <w:rsid w:val="65D63E23"/>
    <w:rsid w:val="65E25CF5"/>
    <w:rsid w:val="65E676F8"/>
    <w:rsid w:val="660109D5"/>
    <w:rsid w:val="66224108"/>
    <w:rsid w:val="665705F5"/>
    <w:rsid w:val="66611682"/>
    <w:rsid w:val="66860EDB"/>
    <w:rsid w:val="668D4017"/>
    <w:rsid w:val="66B2242F"/>
    <w:rsid w:val="66D863DF"/>
    <w:rsid w:val="66E3249A"/>
    <w:rsid w:val="6716225F"/>
    <w:rsid w:val="67177D85"/>
    <w:rsid w:val="67340937"/>
    <w:rsid w:val="67455F68"/>
    <w:rsid w:val="6752056C"/>
    <w:rsid w:val="6760172C"/>
    <w:rsid w:val="676E209B"/>
    <w:rsid w:val="67746F85"/>
    <w:rsid w:val="67982C74"/>
    <w:rsid w:val="67B93D02"/>
    <w:rsid w:val="67CE7AFB"/>
    <w:rsid w:val="67DF6AF4"/>
    <w:rsid w:val="680E1188"/>
    <w:rsid w:val="685017A0"/>
    <w:rsid w:val="68680898"/>
    <w:rsid w:val="68790CF7"/>
    <w:rsid w:val="688E0268"/>
    <w:rsid w:val="68AE5582"/>
    <w:rsid w:val="68BF62A4"/>
    <w:rsid w:val="68C1269E"/>
    <w:rsid w:val="68C814BA"/>
    <w:rsid w:val="68D0566D"/>
    <w:rsid w:val="68E72104"/>
    <w:rsid w:val="692A3912"/>
    <w:rsid w:val="692F2F5C"/>
    <w:rsid w:val="69395410"/>
    <w:rsid w:val="694D0EB5"/>
    <w:rsid w:val="69605A13"/>
    <w:rsid w:val="696C43B8"/>
    <w:rsid w:val="69A16971"/>
    <w:rsid w:val="69DA3A17"/>
    <w:rsid w:val="6A1F142A"/>
    <w:rsid w:val="6A311144"/>
    <w:rsid w:val="6A366774"/>
    <w:rsid w:val="6A3B3D8A"/>
    <w:rsid w:val="6A3F387A"/>
    <w:rsid w:val="6A5D6D73"/>
    <w:rsid w:val="6A892D47"/>
    <w:rsid w:val="6A902328"/>
    <w:rsid w:val="6AA66A23"/>
    <w:rsid w:val="6AB16155"/>
    <w:rsid w:val="6AD42215"/>
    <w:rsid w:val="6AF1386A"/>
    <w:rsid w:val="6B291D9C"/>
    <w:rsid w:val="6B2A606B"/>
    <w:rsid w:val="6B95409A"/>
    <w:rsid w:val="6BA5230B"/>
    <w:rsid w:val="6C021003"/>
    <w:rsid w:val="6C047DE2"/>
    <w:rsid w:val="6C0703C8"/>
    <w:rsid w:val="6C074C60"/>
    <w:rsid w:val="6C4808D9"/>
    <w:rsid w:val="6C7F0410"/>
    <w:rsid w:val="6C8D2FC3"/>
    <w:rsid w:val="6C97799E"/>
    <w:rsid w:val="6CA43E69"/>
    <w:rsid w:val="6D2B6338"/>
    <w:rsid w:val="6DBF657D"/>
    <w:rsid w:val="6DE62FBC"/>
    <w:rsid w:val="6DEF3809"/>
    <w:rsid w:val="6E080427"/>
    <w:rsid w:val="6E0E0A62"/>
    <w:rsid w:val="6E274D51"/>
    <w:rsid w:val="6E510020"/>
    <w:rsid w:val="6E641951"/>
    <w:rsid w:val="6E6C2B16"/>
    <w:rsid w:val="6E6C6C08"/>
    <w:rsid w:val="6E6E472E"/>
    <w:rsid w:val="6E94030B"/>
    <w:rsid w:val="6EC671F2"/>
    <w:rsid w:val="6EF54E4F"/>
    <w:rsid w:val="6F1C23DC"/>
    <w:rsid w:val="6F2A3264"/>
    <w:rsid w:val="6F2A4AF9"/>
    <w:rsid w:val="6F307C36"/>
    <w:rsid w:val="6F3332FA"/>
    <w:rsid w:val="6F3C2A7E"/>
    <w:rsid w:val="6F5C4ECE"/>
    <w:rsid w:val="6FBA63D3"/>
    <w:rsid w:val="6FCA62DC"/>
    <w:rsid w:val="6FD12176"/>
    <w:rsid w:val="6FE44A4D"/>
    <w:rsid w:val="6FE67ED1"/>
    <w:rsid w:val="6FF11ABB"/>
    <w:rsid w:val="6FFF64DB"/>
    <w:rsid w:val="70271038"/>
    <w:rsid w:val="70290B5B"/>
    <w:rsid w:val="704B68A8"/>
    <w:rsid w:val="7060279C"/>
    <w:rsid w:val="706202C3"/>
    <w:rsid w:val="706758D9"/>
    <w:rsid w:val="70BA1EAD"/>
    <w:rsid w:val="70BF74C3"/>
    <w:rsid w:val="70E573CF"/>
    <w:rsid w:val="70EE1B56"/>
    <w:rsid w:val="70F23D6E"/>
    <w:rsid w:val="71614A1E"/>
    <w:rsid w:val="71C32FE3"/>
    <w:rsid w:val="71EF113D"/>
    <w:rsid w:val="71F47640"/>
    <w:rsid w:val="71F66728"/>
    <w:rsid w:val="71FA453A"/>
    <w:rsid w:val="71FA6D52"/>
    <w:rsid w:val="72111FA0"/>
    <w:rsid w:val="7238577F"/>
    <w:rsid w:val="72523DB8"/>
    <w:rsid w:val="728B5312"/>
    <w:rsid w:val="72907369"/>
    <w:rsid w:val="72922EF8"/>
    <w:rsid w:val="72E72D01"/>
    <w:rsid w:val="72F74E03"/>
    <w:rsid w:val="7327134F"/>
    <w:rsid w:val="73334198"/>
    <w:rsid w:val="736B56E0"/>
    <w:rsid w:val="73740A39"/>
    <w:rsid w:val="73C82B32"/>
    <w:rsid w:val="73CC1964"/>
    <w:rsid w:val="73D019E7"/>
    <w:rsid w:val="73DB2866"/>
    <w:rsid w:val="7431692A"/>
    <w:rsid w:val="745D14CD"/>
    <w:rsid w:val="745F6056"/>
    <w:rsid w:val="746D2F8F"/>
    <w:rsid w:val="7480340D"/>
    <w:rsid w:val="74822CE1"/>
    <w:rsid w:val="74893786"/>
    <w:rsid w:val="749561B0"/>
    <w:rsid w:val="74D068EA"/>
    <w:rsid w:val="74D10AAF"/>
    <w:rsid w:val="74D6302D"/>
    <w:rsid w:val="751C328B"/>
    <w:rsid w:val="754C32EF"/>
    <w:rsid w:val="756923E9"/>
    <w:rsid w:val="75722D56"/>
    <w:rsid w:val="75986327"/>
    <w:rsid w:val="75D532E5"/>
    <w:rsid w:val="75EA1F4E"/>
    <w:rsid w:val="75F00E9A"/>
    <w:rsid w:val="75F53987"/>
    <w:rsid w:val="761C1A7F"/>
    <w:rsid w:val="764A782F"/>
    <w:rsid w:val="7657019E"/>
    <w:rsid w:val="766D176F"/>
    <w:rsid w:val="7691545E"/>
    <w:rsid w:val="76B0301B"/>
    <w:rsid w:val="76B42646"/>
    <w:rsid w:val="76BB697E"/>
    <w:rsid w:val="76C92E49"/>
    <w:rsid w:val="776E579F"/>
    <w:rsid w:val="777668B4"/>
    <w:rsid w:val="77AB69F3"/>
    <w:rsid w:val="77E617D9"/>
    <w:rsid w:val="780661E3"/>
    <w:rsid w:val="78190160"/>
    <w:rsid w:val="785250C1"/>
    <w:rsid w:val="78623556"/>
    <w:rsid w:val="786A240A"/>
    <w:rsid w:val="78DB05FF"/>
    <w:rsid w:val="78F65A4C"/>
    <w:rsid w:val="79022643"/>
    <w:rsid w:val="7919798C"/>
    <w:rsid w:val="794159AF"/>
    <w:rsid w:val="794B123A"/>
    <w:rsid w:val="79565B20"/>
    <w:rsid w:val="796432FD"/>
    <w:rsid w:val="797A48CF"/>
    <w:rsid w:val="799C4845"/>
    <w:rsid w:val="79A072A5"/>
    <w:rsid w:val="79B94464"/>
    <w:rsid w:val="79C11D20"/>
    <w:rsid w:val="79DA0D1E"/>
    <w:rsid w:val="79DA711C"/>
    <w:rsid w:val="79E461EC"/>
    <w:rsid w:val="79F20909"/>
    <w:rsid w:val="79FA77BE"/>
    <w:rsid w:val="7A1320E3"/>
    <w:rsid w:val="7A5213A8"/>
    <w:rsid w:val="7A630C3D"/>
    <w:rsid w:val="7A8C188C"/>
    <w:rsid w:val="7A910122"/>
    <w:rsid w:val="7ABA5768"/>
    <w:rsid w:val="7ABE07EB"/>
    <w:rsid w:val="7B0A57DF"/>
    <w:rsid w:val="7B220D7A"/>
    <w:rsid w:val="7B2A5E81"/>
    <w:rsid w:val="7B3D5BB4"/>
    <w:rsid w:val="7B5B4055"/>
    <w:rsid w:val="7B65576D"/>
    <w:rsid w:val="7B875081"/>
    <w:rsid w:val="7B9B28DB"/>
    <w:rsid w:val="7BDA3403"/>
    <w:rsid w:val="7C492337"/>
    <w:rsid w:val="7C4A4A2C"/>
    <w:rsid w:val="7C513914"/>
    <w:rsid w:val="7C865339"/>
    <w:rsid w:val="7C8F0691"/>
    <w:rsid w:val="7C910625"/>
    <w:rsid w:val="7C9C690A"/>
    <w:rsid w:val="7CA64980"/>
    <w:rsid w:val="7CC80DF1"/>
    <w:rsid w:val="7D0A2059"/>
    <w:rsid w:val="7D253409"/>
    <w:rsid w:val="7D277330"/>
    <w:rsid w:val="7D32101D"/>
    <w:rsid w:val="7D55746B"/>
    <w:rsid w:val="7D823D52"/>
    <w:rsid w:val="7D893333"/>
    <w:rsid w:val="7DB859C6"/>
    <w:rsid w:val="7DBF45B6"/>
    <w:rsid w:val="7DD1468B"/>
    <w:rsid w:val="7DF2712A"/>
    <w:rsid w:val="7E0D5D12"/>
    <w:rsid w:val="7E464D80"/>
    <w:rsid w:val="7E510C47"/>
    <w:rsid w:val="7E524092"/>
    <w:rsid w:val="7E7044F2"/>
    <w:rsid w:val="7E7C7B82"/>
    <w:rsid w:val="7ED06D3F"/>
    <w:rsid w:val="7EDA196C"/>
    <w:rsid w:val="7EE051FD"/>
    <w:rsid w:val="7EEB3B79"/>
    <w:rsid w:val="7EEF5417"/>
    <w:rsid w:val="7EF907FB"/>
    <w:rsid w:val="7EF94BA6"/>
    <w:rsid w:val="7F007624"/>
    <w:rsid w:val="7F144493"/>
    <w:rsid w:val="7F5954E9"/>
    <w:rsid w:val="7F6A0F42"/>
    <w:rsid w:val="7F74591C"/>
    <w:rsid w:val="7F9A4D8D"/>
    <w:rsid w:val="7FBB354B"/>
    <w:rsid w:val="7FDD7966"/>
    <w:rsid w:val="7FE42AA2"/>
    <w:rsid w:val="7FE640E3"/>
    <w:rsid w:val="7FE712F9"/>
    <w:rsid w:val="7FEE279D"/>
    <w:rsid w:val="7FEF289A"/>
    <w:rsid w:val="7FFC141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0" w:semiHidden="0" w:name="heading 8"/>
    <w:lsdException w:qFormat="1" w:unhideWhenUsed="0" w:uiPriority="0" w:semiHidden="0" w:name="heading 9"/>
    <w:lsdException w:qFormat="1"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qFormat="1"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99" w:semiHidden="0" w:name="Balloon Text"/>
    <w:lsdException w:qFormat="1" w:unhideWhenUsed="0" w:uiPriority="59" w:semiHidden="0" w:name="Table Grid"/>
    <w:lsdException w:unhideWhenUsed="0" w:uiPriority="99" w:semiHidden="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68"/>
    <w:qFormat/>
    <w:uiPriority w:val="0"/>
    <w:pPr>
      <w:keepNext/>
      <w:keepLines/>
      <w:spacing w:before="340" w:after="330" w:line="576" w:lineRule="auto"/>
      <w:jc w:val="center"/>
      <w:outlineLvl w:val="0"/>
    </w:pPr>
    <w:rPr>
      <w:rFonts w:eastAsia="黑体"/>
      <w:b/>
      <w:kern w:val="44"/>
      <w:sz w:val="36"/>
      <w:szCs w:val="20"/>
    </w:rPr>
  </w:style>
  <w:style w:type="paragraph" w:styleId="3">
    <w:name w:val="heading 2"/>
    <w:basedOn w:val="1"/>
    <w:next w:val="1"/>
    <w:link w:val="69"/>
    <w:qFormat/>
    <w:uiPriority w:val="0"/>
    <w:pPr>
      <w:keepNext/>
      <w:keepLines/>
      <w:spacing w:before="260" w:after="260" w:line="412" w:lineRule="auto"/>
      <w:ind w:left="3060"/>
      <w:jc w:val="center"/>
      <w:outlineLvl w:val="1"/>
    </w:pPr>
    <w:rPr>
      <w:rFonts w:ascii="CG Times" w:hAnsi="CG Times"/>
      <w:b/>
      <w:sz w:val="30"/>
      <w:szCs w:val="20"/>
    </w:rPr>
  </w:style>
  <w:style w:type="paragraph" w:styleId="4">
    <w:name w:val="heading 3"/>
    <w:basedOn w:val="1"/>
    <w:next w:val="1"/>
    <w:link w:val="70"/>
    <w:qFormat/>
    <w:uiPriority w:val="0"/>
    <w:pPr>
      <w:keepNext/>
      <w:keepLines/>
      <w:tabs>
        <w:tab w:val="left" w:pos="5852"/>
      </w:tabs>
      <w:snapToGrid w:val="0"/>
      <w:spacing w:before="360" w:line="240" w:lineRule="exact"/>
      <w:ind w:left="425" w:hanging="425"/>
      <w:outlineLvl w:val="2"/>
    </w:pPr>
    <w:rPr>
      <w:b/>
      <w:sz w:val="28"/>
      <w:szCs w:val="20"/>
    </w:rPr>
  </w:style>
  <w:style w:type="paragraph" w:styleId="5">
    <w:name w:val="heading 4"/>
    <w:basedOn w:val="1"/>
    <w:next w:val="6"/>
    <w:link w:val="71"/>
    <w:qFormat/>
    <w:uiPriority w:val="0"/>
    <w:pPr>
      <w:keepNext/>
      <w:keepLines/>
      <w:tabs>
        <w:tab w:val="left" w:pos="425"/>
      </w:tabs>
      <w:spacing w:before="360" w:line="240" w:lineRule="exact"/>
      <w:ind w:left="425" w:hanging="425"/>
      <w:outlineLvl w:val="3"/>
    </w:pPr>
    <w:rPr>
      <w:rFonts w:ascii="宋体"/>
      <w:b/>
      <w:sz w:val="28"/>
      <w:szCs w:val="20"/>
    </w:rPr>
  </w:style>
  <w:style w:type="paragraph" w:styleId="7">
    <w:name w:val="heading 5"/>
    <w:basedOn w:val="1"/>
    <w:next w:val="6"/>
    <w:link w:val="72"/>
    <w:qFormat/>
    <w:uiPriority w:val="9"/>
    <w:pPr>
      <w:keepNext/>
      <w:keepLines/>
      <w:spacing w:before="280" w:after="290" w:line="374" w:lineRule="auto"/>
      <w:outlineLvl w:val="4"/>
    </w:pPr>
    <w:rPr>
      <w:b/>
      <w:sz w:val="28"/>
      <w:szCs w:val="20"/>
    </w:rPr>
  </w:style>
  <w:style w:type="paragraph" w:styleId="8">
    <w:name w:val="heading 6"/>
    <w:basedOn w:val="1"/>
    <w:next w:val="6"/>
    <w:link w:val="73"/>
    <w:qFormat/>
    <w:uiPriority w:val="9"/>
    <w:pPr>
      <w:keepNext/>
      <w:keepLines/>
      <w:spacing w:before="240" w:after="64" w:line="319" w:lineRule="auto"/>
      <w:outlineLvl w:val="5"/>
    </w:pPr>
    <w:rPr>
      <w:rFonts w:ascii="Arial" w:hAnsi="Arial" w:eastAsia="黑体"/>
      <w:b/>
      <w:sz w:val="24"/>
      <w:szCs w:val="20"/>
    </w:rPr>
  </w:style>
  <w:style w:type="paragraph" w:styleId="9">
    <w:name w:val="heading 7"/>
    <w:basedOn w:val="1"/>
    <w:next w:val="6"/>
    <w:link w:val="74"/>
    <w:qFormat/>
    <w:uiPriority w:val="9"/>
    <w:pPr>
      <w:keepNext/>
      <w:keepLines/>
      <w:spacing w:before="240" w:after="64" w:line="319" w:lineRule="auto"/>
      <w:outlineLvl w:val="6"/>
    </w:pPr>
    <w:rPr>
      <w:b/>
      <w:sz w:val="24"/>
      <w:szCs w:val="20"/>
    </w:rPr>
  </w:style>
  <w:style w:type="paragraph" w:styleId="10">
    <w:name w:val="heading 8"/>
    <w:basedOn w:val="1"/>
    <w:next w:val="6"/>
    <w:link w:val="75"/>
    <w:qFormat/>
    <w:uiPriority w:val="0"/>
    <w:pPr>
      <w:keepNext/>
      <w:keepLines/>
      <w:spacing w:before="240" w:after="64" w:line="319" w:lineRule="auto"/>
      <w:outlineLvl w:val="7"/>
    </w:pPr>
    <w:rPr>
      <w:rFonts w:ascii="Arial" w:hAnsi="Arial" w:eastAsia="黑体"/>
      <w:sz w:val="24"/>
      <w:szCs w:val="20"/>
    </w:rPr>
  </w:style>
  <w:style w:type="paragraph" w:styleId="11">
    <w:name w:val="heading 9"/>
    <w:basedOn w:val="1"/>
    <w:next w:val="6"/>
    <w:link w:val="76"/>
    <w:qFormat/>
    <w:uiPriority w:val="0"/>
    <w:pPr>
      <w:keepNext/>
      <w:keepLines/>
      <w:spacing w:before="240" w:after="64" w:line="319" w:lineRule="auto"/>
      <w:outlineLvl w:val="8"/>
    </w:pPr>
    <w:rPr>
      <w:rFonts w:ascii="Arial" w:hAnsi="Arial" w:eastAsia="黑体"/>
      <w:szCs w:val="20"/>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link w:val="93"/>
    <w:qFormat/>
    <w:uiPriority w:val="0"/>
    <w:pPr>
      <w:ind w:firstLine="420"/>
    </w:pPr>
    <w:rPr>
      <w:rFonts w:asciiTheme="minorHAnsi" w:hAnsiTheme="minorHAnsi" w:cstheme="minorBidi"/>
      <w:szCs w:val="22"/>
    </w:rPr>
  </w:style>
  <w:style w:type="paragraph" w:styleId="12">
    <w:name w:val="toc 7"/>
    <w:basedOn w:val="1"/>
    <w:next w:val="1"/>
    <w:unhideWhenUsed/>
    <w:qFormat/>
    <w:uiPriority w:val="39"/>
    <w:pPr>
      <w:ind w:left="2520" w:leftChars="1200"/>
    </w:pPr>
    <w:rPr>
      <w:rFonts w:ascii="Calibri" w:hAnsi="Calibri"/>
      <w:szCs w:val="22"/>
    </w:rPr>
  </w:style>
  <w:style w:type="paragraph" w:styleId="13">
    <w:name w:val="List Number 2"/>
    <w:basedOn w:val="1"/>
    <w:qFormat/>
    <w:uiPriority w:val="0"/>
    <w:pPr>
      <w:tabs>
        <w:tab w:val="left" w:pos="840"/>
      </w:tabs>
      <w:adjustRightInd w:val="0"/>
      <w:snapToGrid w:val="0"/>
      <w:spacing w:line="360" w:lineRule="auto"/>
      <w:ind w:left="840" w:hanging="420"/>
    </w:pPr>
    <w:rPr>
      <w:sz w:val="28"/>
      <w:szCs w:val="20"/>
    </w:rPr>
  </w:style>
  <w:style w:type="paragraph" w:styleId="14">
    <w:name w:val="Note Heading"/>
    <w:basedOn w:val="1"/>
    <w:next w:val="1"/>
    <w:link w:val="118"/>
    <w:qFormat/>
    <w:uiPriority w:val="0"/>
    <w:pPr>
      <w:jc w:val="center"/>
    </w:pPr>
  </w:style>
  <w:style w:type="paragraph" w:styleId="15">
    <w:name w:val="caption"/>
    <w:basedOn w:val="1"/>
    <w:next w:val="1"/>
    <w:qFormat/>
    <w:uiPriority w:val="0"/>
    <w:pPr>
      <w:widowControl/>
      <w:spacing w:after="200" w:line="288" w:lineRule="auto"/>
      <w:jc w:val="left"/>
    </w:pPr>
    <w:rPr>
      <w:rFonts w:ascii="Franklin Gothic Book" w:hAnsi="Franklin Gothic Book" w:eastAsia="黑体"/>
      <w:b/>
      <w:bCs/>
      <w:iCs/>
      <w:color w:val="1C654D"/>
      <w:kern w:val="0"/>
      <w:sz w:val="18"/>
      <w:szCs w:val="18"/>
      <w:lang w:eastAsia="en-US" w:bidi="en-US"/>
    </w:rPr>
  </w:style>
  <w:style w:type="paragraph" w:styleId="16">
    <w:name w:val="Document Map"/>
    <w:basedOn w:val="1"/>
    <w:link w:val="106"/>
    <w:qFormat/>
    <w:uiPriority w:val="99"/>
    <w:pPr>
      <w:shd w:val="clear" w:color="auto" w:fill="000080"/>
    </w:pPr>
  </w:style>
  <w:style w:type="paragraph" w:styleId="17">
    <w:name w:val="annotation text"/>
    <w:basedOn w:val="1"/>
    <w:link w:val="125"/>
    <w:qFormat/>
    <w:uiPriority w:val="0"/>
    <w:pPr>
      <w:jc w:val="left"/>
    </w:pPr>
    <w:rPr>
      <w:rFonts w:asciiTheme="minorHAnsi" w:hAnsiTheme="minorHAnsi" w:eastAsiaTheme="minorEastAsia" w:cstheme="minorBidi"/>
      <w:sz w:val="24"/>
    </w:rPr>
  </w:style>
  <w:style w:type="paragraph" w:styleId="18">
    <w:name w:val="Salutation"/>
    <w:basedOn w:val="1"/>
    <w:next w:val="1"/>
    <w:link w:val="126"/>
    <w:qFormat/>
    <w:uiPriority w:val="0"/>
    <w:rPr>
      <w:sz w:val="24"/>
    </w:rPr>
  </w:style>
  <w:style w:type="paragraph" w:styleId="19">
    <w:name w:val="Body Text 3"/>
    <w:basedOn w:val="1"/>
    <w:link w:val="208"/>
    <w:qFormat/>
    <w:uiPriority w:val="0"/>
    <w:pPr>
      <w:spacing w:line="280" w:lineRule="exact"/>
    </w:pPr>
    <w:rPr>
      <w:rFonts w:ascii="宋体" w:hAnsi="宋体"/>
      <w:sz w:val="24"/>
      <w:szCs w:val="20"/>
    </w:rPr>
  </w:style>
  <w:style w:type="paragraph" w:styleId="20">
    <w:name w:val="Body Text"/>
    <w:basedOn w:val="1"/>
    <w:link w:val="112"/>
    <w:qFormat/>
    <w:uiPriority w:val="0"/>
    <w:pPr>
      <w:spacing w:line="380" w:lineRule="exact"/>
    </w:pPr>
    <w:rPr>
      <w:rFonts w:asciiTheme="minorHAnsi" w:hAnsiTheme="minorHAnsi" w:eastAsiaTheme="minorEastAsia" w:cstheme="minorBidi"/>
      <w:sz w:val="24"/>
    </w:rPr>
  </w:style>
  <w:style w:type="paragraph" w:styleId="21">
    <w:name w:val="Body Text Indent"/>
    <w:basedOn w:val="1"/>
    <w:next w:val="1"/>
    <w:link w:val="131"/>
    <w:qFormat/>
    <w:uiPriority w:val="99"/>
    <w:pPr>
      <w:spacing w:after="120"/>
      <w:ind w:left="420" w:leftChars="200"/>
    </w:pPr>
  </w:style>
  <w:style w:type="paragraph" w:styleId="22">
    <w:name w:val="List Number 3"/>
    <w:basedOn w:val="1"/>
    <w:qFormat/>
    <w:uiPriority w:val="0"/>
    <w:pPr>
      <w:tabs>
        <w:tab w:val="left" w:pos="1560"/>
      </w:tabs>
      <w:adjustRightInd w:val="0"/>
      <w:snapToGrid w:val="0"/>
      <w:spacing w:line="360" w:lineRule="auto"/>
      <w:ind w:left="1010" w:hanging="170"/>
    </w:pPr>
    <w:rPr>
      <w:sz w:val="28"/>
      <w:szCs w:val="20"/>
    </w:rPr>
  </w:style>
  <w:style w:type="paragraph" w:styleId="23">
    <w:name w:val="Block Text"/>
    <w:basedOn w:val="1"/>
    <w:qFormat/>
    <w:uiPriority w:val="0"/>
    <w:pPr>
      <w:tabs>
        <w:tab w:val="left" w:pos="525"/>
      </w:tabs>
      <w:adjustRightInd w:val="0"/>
      <w:snapToGrid w:val="0"/>
      <w:ind w:left="899" w:leftChars="428" w:right="899" w:rightChars="428" w:firstLine="541"/>
      <w:jc w:val="left"/>
    </w:pPr>
    <w:rPr>
      <w:rFonts w:eastAsia="仿宋_GB2312"/>
      <w:snapToGrid w:val="0"/>
      <w:kern w:val="0"/>
      <w:sz w:val="24"/>
    </w:rPr>
  </w:style>
  <w:style w:type="paragraph" w:styleId="24">
    <w:name w:val="toc 5"/>
    <w:basedOn w:val="1"/>
    <w:next w:val="1"/>
    <w:unhideWhenUsed/>
    <w:qFormat/>
    <w:uiPriority w:val="39"/>
    <w:pPr>
      <w:ind w:left="1680" w:leftChars="800"/>
    </w:pPr>
    <w:rPr>
      <w:rFonts w:ascii="Calibri" w:hAnsi="Calibri"/>
      <w:szCs w:val="22"/>
    </w:rPr>
  </w:style>
  <w:style w:type="paragraph" w:styleId="25">
    <w:name w:val="toc 3"/>
    <w:basedOn w:val="1"/>
    <w:next w:val="1"/>
    <w:qFormat/>
    <w:uiPriority w:val="39"/>
    <w:pPr>
      <w:ind w:left="840" w:leftChars="400"/>
    </w:pPr>
  </w:style>
  <w:style w:type="paragraph" w:styleId="26">
    <w:name w:val="Plain Text"/>
    <w:basedOn w:val="1"/>
    <w:link w:val="138"/>
    <w:qFormat/>
    <w:uiPriority w:val="0"/>
    <w:rPr>
      <w:rFonts w:ascii="宋体" w:hAnsi="Courier New" w:cstheme="minorBidi"/>
      <w:szCs w:val="22"/>
    </w:rPr>
  </w:style>
  <w:style w:type="paragraph" w:styleId="27">
    <w:name w:val="toc 8"/>
    <w:basedOn w:val="1"/>
    <w:next w:val="1"/>
    <w:unhideWhenUsed/>
    <w:qFormat/>
    <w:uiPriority w:val="39"/>
    <w:pPr>
      <w:ind w:left="2940" w:leftChars="1400"/>
    </w:pPr>
    <w:rPr>
      <w:rFonts w:ascii="Calibri" w:hAnsi="Calibri"/>
      <w:szCs w:val="22"/>
    </w:rPr>
  </w:style>
  <w:style w:type="paragraph" w:styleId="28">
    <w:name w:val="Date"/>
    <w:basedOn w:val="1"/>
    <w:next w:val="1"/>
    <w:link w:val="114"/>
    <w:qFormat/>
    <w:uiPriority w:val="0"/>
    <w:rPr>
      <w:b/>
      <w:spacing w:val="20"/>
      <w:sz w:val="24"/>
      <w:szCs w:val="20"/>
    </w:rPr>
  </w:style>
  <w:style w:type="paragraph" w:styleId="29">
    <w:name w:val="Body Text Indent 2"/>
    <w:basedOn w:val="1"/>
    <w:link w:val="139"/>
    <w:qFormat/>
    <w:uiPriority w:val="0"/>
    <w:pPr>
      <w:spacing w:after="120" w:line="480" w:lineRule="auto"/>
      <w:ind w:left="420" w:leftChars="200"/>
    </w:pPr>
    <w:rPr>
      <w:szCs w:val="20"/>
    </w:rPr>
  </w:style>
  <w:style w:type="paragraph" w:styleId="30">
    <w:name w:val="endnote text"/>
    <w:basedOn w:val="1"/>
    <w:link w:val="226"/>
    <w:unhideWhenUsed/>
    <w:qFormat/>
    <w:uiPriority w:val="99"/>
    <w:pPr>
      <w:snapToGrid w:val="0"/>
      <w:jc w:val="left"/>
    </w:pPr>
    <w:rPr>
      <w:rFonts w:asciiTheme="minorHAnsi" w:hAnsiTheme="minorHAnsi" w:eastAsiaTheme="minorEastAsia" w:cstheme="minorBidi"/>
      <w:sz w:val="28"/>
      <w:szCs w:val="20"/>
    </w:rPr>
  </w:style>
  <w:style w:type="paragraph" w:styleId="31">
    <w:name w:val="Balloon Text"/>
    <w:basedOn w:val="1"/>
    <w:link w:val="132"/>
    <w:qFormat/>
    <w:uiPriority w:val="99"/>
    <w:rPr>
      <w:sz w:val="18"/>
      <w:szCs w:val="18"/>
    </w:rPr>
  </w:style>
  <w:style w:type="paragraph" w:styleId="32">
    <w:name w:val="footer"/>
    <w:basedOn w:val="1"/>
    <w:link w:val="67"/>
    <w:unhideWhenUsed/>
    <w:qFormat/>
    <w:uiPriority w:val="0"/>
    <w:pPr>
      <w:tabs>
        <w:tab w:val="center" w:pos="4153"/>
        <w:tab w:val="right" w:pos="8306"/>
      </w:tabs>
      <w:snapToGrid w:val="0"/>
      <w:jc w:val="left"/>
    </w:pPr>
    <w:rPr>
      <w:sz w:val="18"/>
      <w:szCs w:val="18"/>
    </w:rPr>
  </w:style>
  <w:style w:type="paragraph" w:styleId="33">
    <w:name w:val="header"/>
    <w:basedOn w:val="1"/>
    <w:link w:val="66"/>
    <w:unhideWhenUsed/>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style>
  <w:style w:type="paragraph" w:styleId="35">
    <w:name w:val="toc 4"/>
    <w:basedOn w:val="1"/>
    <w:next w:val="1"/>
    <w:unhideWhenUsed/>
    <w:qFormat/>
    <w:uiPriority w:val="39"/>
    <w:pPr>
      <w:ind w:left="1260" w:leftChars="600"/>
    </w:pPr>
    <w:rPr>
      <w:rFonts w:ascii="Calibri" w:hAnsi="Calibri"/>
      <w:szCs w:val="22"/>
    </w:rPr>
  </w:style>
  <w:style w:type="paragraph" w:styleId="36">
    <w:name w:val="index heading"/>
    <w:basedOn w:val="1"/>
    <w:next w:val="37"/>
    <w:unhideWhenUsed/>
    <w:qFormat/>
    <w:uiPriority w:val="0"/>
    <w:rPr>
      <w:szCs w:val="20"/>
    </w:rPr>
  </w:style>
  <w:style w:type="paragraph" w:styleId="37">
    <w:name w:val="index 1"/>
    <w:basedOn w:val="1"/>
    <w:next w:val="1"/>
    <w:unhideWhenUsed/>
    <w:qFormat/>
    <w:uiPriority w:val="99"/>
  </w:style>
  <w:style w:type="paragraph" w:styleId="38">
    <w:name w:val="Subtitle"/>
    <w:basedOn w:val="1"/>
    <w:next w:val="1"/>
    <w:link w:val="122"/>
    <w:qFormat/>
    <w:uiPriority w:val="0"/>
    <w:pPr>
      <w:widowControl/>
      <w:pBdr>
        <w:bottom w:val="dotted" w:color="268868" w:sz="8" w:space="10"/>
      </w:pBdr>
      <w:spacing w:before="200" w:after="900"/>
      <w:jc w:val="center"/>
    </w:pPr>
    <w:rPr>
      <w:rFonts w:ascii="Franklin Gothic Medium" w:hAnsi="Franklin Gothic Medium" w:eastAsia="微软雅黑" w:cstheme="minorBidi"/>
      <w:i/>
      <w:iCs/>
      <w:color w:val="134333"/>
      <w:sz w:val="24"/>
    </w:rPr>
  </w:style>
  <w:style w:type="paragraph" w:styleId="39">
    <w:name w:val="List"/>
    <w:basedOn w:val="1"/>
    <w:qFormat/>
    <w:uiPriority w:val="0"/>
    <w:pPr>
      <w:jc w:val="center"/>
    </w:pPr>
    <w:rPr>
      <w:rFonts w:ascii="Calibri" w:hAnsi="Calibri"/>
      <w:sz w:val="24"/>
      <w:szCs w:val="22"/>
    </w:rPr>
  </w:style>
  <w:style w:type="paragraph" w:styleId="40">
    <w:name w:val="toc 6"/>
    <w:basedOn w:val="1"/>
    <w:next w:val="1"/>
    <w:unhideWhenUsed/>
    <w:qFormat/>
    <w:uiPriority w:val="39"/>
    <w:pPr>
      <w:ind w:left="2100" w:leftChars="1000"/>
    </w:pPr>
    <w:rPr>
      <w:rFonts w:ascii="Calibri" w:hAnsi="Calibri"/>
      <w:szCs w:val="22"/>
    </w:rPr>
  </w:style>
  <w:style w:type="paragraph" w:styleId="41">
    <w:name w:val="Body Text Indent 3"/>
    <w:basedOn w:val="1"/>
    <w:link w:val="115"/>
    <w:qFormat/>
    <w:uiPriority w:val="0"/>
    <w:pPr>
      <w:spacing w:after="120"/>
      <w:ind w:left="420" w:leftChars="200"/>
    </w:pPr>
    <w:rPr>
      <w:sz w:val="16"/>
      <w:szCs w:val="16"/>
    </w:rPr>
  </w:style>
  <w:style w:type="paragraph" w:styleId="42">
    <w:name w:val="toc 2"/>
    <w:basedOn w:val="1"/>
    <w:next w:val="1"/>
    <w:qFormat/>
    <w:uiPriority w:val="39"/>
    <w:pPr>
      <w:tabs>
        <w:tab w:val="right" w:leader="dot" w:pos="9710"/>
      </w:tabs>
      <w:spacing w:line="320" w:lineRule="exact"/>
    </w:pPr>
  </w:style>
  <w:style w:type="paragraph" w:styleId="43">
    <w:name w:val="toc 9"/>
    <w:basedOn w:val="1"/>
    <w:next w:val="1"/>
    <w:unhideWhenUsed/>
    <w:qFormat/>
    <w:uiPriority w:val="39"/>
    <w:pPr>
      <w:ind w:left="3360" w:leftChars="1600"/>
    </w:pPr>
    <w:rPr>
      <w:rFonts w:ascii="Calibri" w:hAnsi="Calibri"/>
      <w:szCs w:val="22"/>
    </w:rPr>
  </w:style>
  <w:style w:type="paragraph" w:styleId="44">
    <w:name w:val="Body Text 2"/>
    <w:basedOn w:val="1"/>
    <w:link w:val="229"/>
    <w:qFormat/>
    <w:uiPriority w:val="99"/>
    <w:pPr>
      <w:spacing w:line="280" w:lineRule="exact"/>
      <w:jc w:val="center"/>
    </w:pPr>
    <w:rPr>
      <w:rFonts w:ascii="宋体" w:hAnsi="宋体" w:eastAsiaTheme="minorEastAsia" w:cstheme="minorBidi"/>
      <w:spacing w:val="-12"/>
      <w:sz w:val="24"/>
      <w:szCs w:val="20"/>
    </w:rPr>
  </w:style>
  <w:style w:type="paragraph" w:styleId="45">
    <w:name w:val="HTML Preformatted"/>
    <w:basedOn w:val="1"/>
    <w:link w:val="228"/>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Theme="minorEastAsia" w:cstheme="minorBidi"/>
      <w:kern w:val="0"/>
      <w:sz w:val="24"/>
    </w:rPr>
  </w:style>
  <w:style w:type="paragraph" w:styleId="46">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7">
    <w:name w:val="Title"/>
    <w:basedOn w:val="1"/>
    <w:link w:val="133"/>
    <w:qFormat/>
    <w:uiPriority w:val="0"/>
    <w:pPr>
      <w:tabs>
        <w:tab w:val="left" w:pos="900"/>
      </w:tabs>
      <w:spacing w:before="240" w:after="60"/>
      <w:ind w:left="900" w:hanging="420"/>
      <w:jc w:val="center"/>
      <w:outlineLvl w:val="0"/>
    </w:pPr>
    <w:rPr>
      <w:rFonts w:ascii="Arial" w:hAnsi="Arial" w:eastAsia="黑体" w:cstheme="minorBidi"/>
      <w:sz w:val="44"/>
      <w:szCs w:val="22"/>
    </w:rPr>
  </w:style>
  <w:style w:type="paragraph" w:styleId="48">
    <w:name w:val="annotation subject"/>
    <w:basedOn w:val="17"/>
    <w:next w:val="17"/>
    <w:link w:val="214"/>
    <w:unhideWhenUsed/>
    <w:qFormat/>
    <w:uiPriority w:val="99"/>
    <w:rPr>
      <w:b/>
      <w:bCs/>
      <w:sz w:val="21"/>
    </w:rPr>
  </w:style>
  <w:style w:type="paragraph" w:styleId="49">
    <w:name w:val="Body Text First Indent"/>
    <w:basedOn w:val="20"/>
    <w:link w:val="216"/>
    <w:unhideWhenUsed/>
    <w:qFormat/>
    <w:uiPriority w:val="0"/>
    <w:pPr>
      <w:spacing w:after="120" w:line="240" w:lineRule="auto"/>
      <w:ind w:firstLine="420" w:firstLineChars="100"/>
    </w:pPr>
    <w:rPr>
      <w:sz w:val="28"/>
      <w:szCs w:val="20"/>
    </w:rPr>
  </w:style>
  <w:style w:type="paragraph" w:styleId="50">
    <w:name w:val="Body Text First Indent 2"/>
    <w:basedOn w:val="21"/>
    <w:link w:val="137"/>
    <w:qFormat/>
    <w:uiPriority w:val="0"/>
    <w:pPr>
      <w:ind w:firstLine="420" w:firstLineChars="200"/>
    </w:pPr>
  </w:style>
  <w:style w:type="table" w:styleId="52">
    <w:name w:val="Table Grid"/>
    <w:basedOn w:val="5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4">
    <w:name w:val="Strong"/>
    <w:basedOn w:val="53"/>
    <w:qFormat/>
    <w:uiPriority w:val="0"/>
    <w:rPr>
      <w:b/>
      <w:bCs/>
    </w:rPr>
  </w:style>
  <w:style w:type="character" w:styleId="55">
    <w:name w:val="endnote reference"/>
    <w:basedOn w:val="53"/>
    <w:unhideWhenUsed/>
    <w:qFormat/>
    <w:uiPriority w:val="99"/>
    <w:rPr>
      <w:vertAlign w:val="superscript"/>
    </w:rPr>
  </w:style>
  <w:style w:type="character" w:styleId="56">
    <w:name w:val="page number"/>
    <w:basedOn w:val="53"/>
    <w:qFormat/>
    <w:uiPriority w:val="0"/>
  </w:style>
  <w:style w:type="character" w:styleId="57">
    <w:name w:val="FollowedHyperlink"/>
    <w:qFormat/>
    <w:uiPriority w:val="99"/>
    <w:rPr>
      <w:color w:val="800080"/>
      <w:u w:val="single"/>
    </w:rPr>
  </w:style>
  <w:style w:type="character" w:styleId="58">
    <w:name w:val="Emphasis"/>
    <w:qFormat/>
    <w:uiPriority w:val="20"/>
    <w:rPr>
      <w:rFonts w:ascii="Franklin Gothic Medium" w:hAnsi="Franklin Gothic Medium" w:eastAsia="微软雅黑" w:cs="Times New Roman"/>
      <w:b/>
      <w:bCs/>
      <w:i/>
      <w:iCs/>
      <w:color w:val="268868"/>
      <w:bdr w:val="single" w:color="CAF0E3" w:sz="18" w:space="0"/>
      <w:shd w:val="clear" w:color="auto" w:fill="CAF0E3"/>
    </w:rPr>
  </w:style>
  <w:style w:type="character" w:styleId="59">
    <w:name w:val="Hyperlink"/>
    <w:qFormat/>
    <w:uiPriority w:val="99"/>
    <w:rPr>
      <w:color w:val="0000FF"/>
      <w:u w:val="single"/>
    </w:rPr>
  </w:style>
  <w:style w:type="character" w:styleId="60">
    <w:name w:val="annotation reference"/>
    <w:basedOn w:val="53"/>
    <w:unhideWhenUsed/>
    <w:qFormat/>
    <w:uiPriority w:val="99"/>
    <w:rPr>
      <w:sz w:val="21"/>
      <w:szCs w:val="21"/>
    </w:rPr>
  </w:style>
  <w:style w:type="character" w:styleId="61">
    <w:name w:val="HTML Cite"/>
    <w:qFormat/>
    <w:uiPriority w:val="0"/>
    <w:rPr>
      <w:i/>
      <w:iCs/>
    </w:rPr>
  </w:style>
  <w:style w:type="paragraph" w:customStyle="1" w:styleId="62">
    <w:name w:val="一级条标题"/>
    <w:basedOn w:val="63"/>
    <w:next w:val="64"/>
    <w:qFormat/>
    <w:uiPriority w:val="0"/>
    <w:pPr>
      <w:spacing w:line="240" w:lineRule="auto"/>
      <w:ind w:left="420"/>
      <w:outlineLvl w:val="2"/>
    </w:pPr>
    <w:rPr>
      <w:rFonts w:ascii="Times New Roman" w:hAnsi="Times New Roman" w:eastAsia="宋体" w:cs="Times New Roman"/>
    </w:rPr>
  </w:style>
  <w:style w:type="paragraph" w:customStyle="1" w:styleId="63">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64">
    <w:name w:val="段"/>
    <w:next w:val="1"/>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customStyle="1" w:styleId="65">
    <w:name w:val="样式 标题 3 + (中文) 黑体 小四 非加粗 段前: 7.8 磅 段后: 0 磅 行距: 固定值 20 磅"/>
    <w:basedOn w:val="4"/>
    <w:qFormat/>
    <w:uiPriority w:val="0"/>
    <w:pPr>
      <w:spacing w:before="0" w:after="0" w:line="400" w:lineRule="exact"/>
    </w:pPr>
    <w:rPr>
      <w:rFonts w:eastAsia="黑体" w:cs="宋体"/>
      <w:b w:val="0"/>
      <w:sz w:val="24"/>
      <w:szCs w:val="20"/>
    </w:rPr>
  </w:style>
  <w:style w:type="character" w:customStyle="1" w:styleId="66">
    <w:name w:val="页眉 Char"/>
    <w:basedOn w:val="53"/>
    <w:link w:val="33"/>
    <w:qFormat/>
    <w:uiPriority w:val="0"/>
    <w:rPr>
      <w:sz w:val="18"/>
      <w:szCs w:val="18"/>
    </w:rPr>
  </w:style>
  <w:style w:type="character" w:customStyle="1" w:styleId="67">
    <w:name w:val="页脚 Char"/>
    <w:basedOn w:val="53"/>
    <w:link w:val="32"/>
    <w:qFormat/>
    <w:uiPriority w:val="99"/>
    <w:rPr>
      <w:sz w:val="18"/>
      <w:szCs w:val="18"/>
    </w:rPr>
  </w:style>
  <w:style w:type="character" w:customStyle="1" w:styleId="68">
    <w:name w:val="标题 1 Char"/>
    <w:basedOn w:val="53"/>
    <w:link w:val="2"/>
    <w:qFormat/>
    <w:uiPriority w:val="0"/>
    <w:rPr>
      <w:rFonts w:ascii="Times New Roman" w:hAnsi="Times New Roman" w:eastAsia="黑体" w:cs="Times New Roman"/>
      <w:b/>
      <w:kern w:val="44"/>
      <w:sz w:val="36"/>
      <w:szCs w:val="20"/>
    </w:rPr>
  </w:style>
  <w:style w:type="character" w:customStyle="1" w:styleId="69">
    <w:name w:val="标题 2 Char"/>
    <w:basedOn w:val="53"/>
    <w:link w:val="3"/>
    <w:qFormat/>
    <w:uiPriority w:val="0"/>
    <w:rPr>
      <w:rFonts w:ascii="CG Times" w:hAnsi="CG Times" w:eastAsia="宋体" w:cs="Times New Roman"/>
      <w:b/>
      <w:sz w:val="30"/>
      <w:szCs w:val="20"/>
    </w:rPr>
  </w:style>
  <w:style w:type="character" w:customStyle="1" w:styleId="70">
    <w:name w:val="标题 3 Char"/>
    <w:basedOn w:val="53"/>
    <w:link w:val="4"/>
    <w:qFormat/>
    <w:uiPriority w:val="0"/>
    <w:rPr>
      <w:rFonts w:ascii="Times New Roman" w:hAnsi="Times New Roman" w:eastAsia="宋体" w:cs="Times New Roman"/>
      <w:b/>
      <w:sz w:val="28"/>
      <w:szCs w:val="20"/>
    </w:rPr>
  </w:style>
  <w:style w:type="character" w:customStyle="1" w:styleId="71">
    <w:name w:val="标题 4 Char"/>
    <w:basedOn w:val="53"/>
    <w:link w:val="5"/>
    <w:qFormat/>
    <w:uiPriority w:val="0"/>
    <w:rPr>
      <w:rFonts w:ascii="宋体" w:hAnsi="Times New Roman" w:eastAsia="宋体" w:cs="Times New Roman"/>
      <w:b/>
      <w:sz w:val="28"/>
      <w:szCs w:val="20"/>
    </w:rPr>
  </w:style>
  <w:style w:type="character" w:customStyle="1" w:styleId="72">
    <w:name w:val="标题 5 Char"/>
    <w:basedOn w:val="53"/>
    <w:link w:val="7"/>
    <w:qFormat/>
    <w:uiPriority w:val="9"/>
    <w:rPr>
      <w:rFonts w:ascii="Times New Roman" w:hAnsi="Times New Roman" w:eastAsia="宋体" w:cs="Times New Roman"/>
      <w:b/>
      <w:sz w:val="28"/>
      <w:szCs w:val="20"/>
    </w:rPr>
  </w:style>
  <w:style w:type="character" w:customStyle="1" w:styleId="73">
    <w:name w:val="标题 6 Char"/>
    <w:basedOn w:val="53"/>
    <w:link w:val="8"/>
    <w:qFormat/>
    <w:uiPriority w:val="9"/>
    <w:rPr>
      <w:rFonts w:ascii="Arial" w:hAnsi="Arial" w:eastAsia="黑体" w:cs="Times New Roman"/>
      <w:b/>
      <w:sz w:val="24"/>
      <w:szCs w:val="20"/>
    </w:rPr>
  </w:style>
  <w:style w:type="character" w:customStyle="1" w:styleId="74">
    <w:name w:val="标题 7 Char"/>
    <w:basedOn w:val="53"/>
    <w:link w:val="9"/>
    <w:qFormat/>
    <w:uiPriority w:val="9"/>
    <w:rPr>
      <w:rFonts w:ascii="Times New Roman" w:hAnsi="Times New Roman" w:eastAsia="宋体" w:cs="Times New Roman"/>
      <w:b/>
      <w:sz w:val="24"/>
      <w:szCs w:val="20"/>
    </w:rPr>
  </w:style>
  <w:style w:type="character" w:customStyle="1" w:styleId="75">
    <w:name w:val="标题 8 Char"/>
    <w:basedOn w:val="53"/>
    <w:link w:val="10"/>
    <w:qFormat/>
    <w:uiPriority w:val="9"/>
    <w:rPr>
      <w:rFonts w:ascii="Arial" w:hAnsi="Arial" w:eastAsia="黑体" w:cs="Times New Roman"/>
      <w:sz w:val="24"/>
      <w:szCs w:val="20"/>
    </w:rPr>
  </w:style>
  <w:style w:type="character" w:customStyle="1" w:styleId="76">
    <w:name w:val="标题 9 Char"/>
    <w:basedOn w:val="53"/>
    <w:link w:val="11"/>
    <w:qFormat/>
    <w:uiPriority w:val="9"/>
    <w:rPr>
      <w:rFonts w:ascii="Arial" w:hAnsi="Arial" w:eastAsia="黑体" w:cs="Times New Roman"/>
      <w:szCs w:val="20"/>
    </w:rPr>
  </w:style>
  <w:style w:type="character" w:customStyle="1" w:styleId="77">
    <w:name w:val="不明显参考1"/>
    <w:qFormat/>
    <w:uiPriority w:val="31"/>
    <w:rPr>
      <w:i/>
      <w:iCs/>
      <w:smallCaps/>
      <w:color w:val="268868"/>
      <w:u w:color="268868"/>
    </w:rPr>
  </w:style>
  <w:style w:type="character" w:customStyle="1" w:styleId="78">
    <w:name w:val="标题 3 Char Char"/>
    <w:qFormat/>
    <w:uiPriority w:val="9"/>
    <w:rPr>
      <w:rFonts w:eastAsia="宋体"/>
      <w:b/>
      <w:bCs/>
      <w:kern w:val="2"/>
      <w:sz w:val="32"/>
      <w:szCs w:val="32"/>
      <w:lang w:val="en-US" w:eastAsia="zh-CN" w:bidi="ar-SA"/>
    </w:rPr>
  </w:style>
  <w:style w:type="character" w:customStyle="1" w:styleId="79">
    <w:name w:val="正文文本 Char"/>
    <w:basedOn w:val="53"/>
    <w:qFormat/>
    <w:uiPriority w:val="0"/>
    <w:rPr>
      <w:sz w:val="24"/>
      <w:szCs w:val="24"/>
    </w:rPr>
  </w:style>
  <w:style w:type="character" w:customStyle="1" w:styleId="80">
    <w:name w:val="text11"/>
    <w:qFormat/>
    <w:uiPriority w:val="0"/>
    <w:rPr>
      <w:rFonts w:hint="default" w:ascii="Verdana" w:hAnsi="Verdana"/>
      <w:color w:val="4E4E4E"/>
      <w:sz w:val="18"/>
      <w:szCs w:val="18"/>
    </w:rPr>
  </w:style>
  <w:style w:type="character" w:customStyle="1" w:styleId="81">
    <w:name w:val="zjh"/>
    <w:semiHidden/>
    <w:qFormat/>
    <w:uiPriority w:val="0"/>
    <w:rPr>
      <w:rFonts w:ascii="Arial" w:hAnsi="Arial" w:eastAsia="宋体" w:cs="Arial"/>
      <w:color w:val="000080"/>
      <w:sz w:val="18"/>
      <w:szCs w:val="20"/>
    </w:rPr>
  </w:style>
  <w:style w:type="character" w:customStyle="1" w:styleId="82">
    <w:name w:val="表格文字 Char Char"/>
    <w:link w:val="83"/>
    <w:qFormat/>
    <w:uiPriority w:val="0"/>
    <w:rPr>
      <w:sz w:val="28"/>
      <w:szCs w:val="24"/>
    </w:rPr>
  </w:style>
  <w:style w:type="paragraph" w:customStyle="1" w:styleId="83">
    <w:name w:val="表格文字"/>
    <w:basedOn w:val="1"/>
    <w:link w:val="82"/>
    <w:qFormat/>
    <w:uiPriority w:val="0"/>
    <w:rPr>
      <w:rFonts w:asciiTheme="minorHAnsi" w:hAnsiTheme="minorHAnsi" w:eastAsiaTheme="minorEastAsia" w:cstheme="minorBidi"/>
      <w:sz w:val="28"/>
    </w:rPr>
  </w:style>
  <w:style w:type="character" w:customStyle="1" w:styleId="84">
    <w:name w:val="明显引用 Char"/>
    <w:qFormat/>
    <w:uiPriority w:val="30"/>
    <w:rPr>
      <w:rFonts w:ascii="Franklin Gothic Medium" w:hAnsi="Franklin Gothic Medium" w:eastAsia="微软雅黑"/>
      <w:b/>
      <w:bCs/>
      <w:i/>
      <w:iCs/>
      <w:color w:val="268868"/>
    </w:rPr>
  </w:style>
  <w:style w:type="paragraph" w:customStyle="1" w:styleId="85">
    <w:name w:val="明显引用1"/>
    <w:basedOn w:val="1"/>
    <w:next w:val="1"/>
    <w:link w:val="136"/>
    <w:qFormat/>
    <w:uiPriority w:val="30"/>
    <w:pPr>
      <w:widowControl/>
      <w:pBdr>
        <w:top w:val="dotted" w:color="268868" w:sz="8" w:space="10"/>
        <w:bottom w:val="dotted" w:color="268868" w:sz="8" w:space="10"/>
      </w:pBdr>
      <w:spacing w:after="200" w:line="300" w:lineRule="auto"/>
      <w:ind w:left="2160" w:right="2160"/>
      <w:jc w:val="center"/>
    </w:pPr>
    <w:rPr>
      <w:rFonts w:ascii="Franklin Gothic Medium" w:hAnsi="Franklin Gothic Medium" w:eastAsia="微软雅黑" w:cstheme="minorBidi"/>
      <w:b/>
      <w:bCs/>
      <w:i/>
      <w:iCs/>
      <w:color w:val="268868"/>
      <w:szCs w:val="22"/>
    </w:rPr>
  </w:style>
  <w:style w:type="character" w:customStyle="1" w:styleId="86">
    <w:name w:val="miantext1"/>
    <w:qFormat/>
    <w:uiPriority w:val="0"/>
    <w:rPr>
      <w:rFonts w:hint="eastAsia" w:ascii="宋体" w:hAnsi="宋体" w:eastAsia="宋体"/>
      <w:color w:val="666666"/>
      <w:sz w:val="18"/>
      <w:szCs w:val="18"/>
      <w:u w:val="none"/>
    </w:rPr>
  </w:style>
  <w:style w:type="character" w:customStyle="1" w:styleId="87">
    <w:name w:val="明显强调1"/>
    <w:qFormat/>
    <w:uiPriority w:val="21"/>
    <w:rPr>
      <w:rFonts w:ascii="Franklin Gothic Medium" w:hAnsi="Franklin Gothic Medium" w:eastAsia="微软雅黑" w:cs="Times New Roman"/>
      <w:b/>
      <w:bCs/>
      <w:i/>
      <w:iCs/>
      <w:color w:val="FFFFFF"/>
      <w:bdr w:val="single" w:color="268868" w:sz="18" w:space="0"/>
      <w:shd w:val="clear" w:color="auto" w:fill="268868"/>
      <w:vertAlign w:val="baseline"/>
    </w:rPr>
  </w:style>
  <w:style w:type="character" w:customStyle="1" w:styleId="88">
    <w:name w:val="标题 5 Char Char"/>
    <w:qFormat/>
    <w:uiPriority w:val="9"/>
    <w:rPr>
      <w:rFonts w:eastAsia="黑体"/>
      <w:kern w:val="2"/>
      <w:sz w:val="28"/>
      <w:lang w:val="en-US" w:eastAsia="zh-CN" w:bidi="ar-SA"/>
    </w:rPr>
  </w:style>
  <w:style w:type="character" w:customStyle="1" w:styleId="89">
    <w:name w:val="书籍标题1"/>
    <w:qFormat/>
    <w:uiPriority w:val="33"/>
    <w:rPr>
      <w:rFonts w:ascii="Franklin Gothic Medium" w:hAnsi="Franklin Gothic Medium" w:eastAsia="微软雅黑" w:cs="Times New Roman"/>
      <w:b/>
      <w:bCs/>
      <w:i/>
      <w:iCs/>
      <w:smallCaps/>
      <w:color w:val="1C654D"/>
      <w:u w:val="single"/>
    </w:rPr>
  </w:style>
  <w:style w:type="character" w:customStyle="1" w:styleId="90">
    <w:name w:val="明显参考1"/>
    <w:qFormat/>
    <w:uiPriority w:val="32"/>
    <w:rPr>
      <w:b/>
      <w:bCs/>
      <w:i/>
      <w:iCs/>
      <w:smallCaps/>
      <w:color w:val="268868"/>
      <w:u w:color="268868"/>
    </w:rPr>
  </w:style>
  <w:style w:type="character" w:customStyle="1" w:styleId="91">
    <w:name w:val="Char Char Char"/>
    <w:qFormat/>
    <w:locked/>
    <w:uiPriority w:val="0"/>
    <w:rPr>
      <w:rFonts w:ascii="宋体" w:hAnsi="宋体" w:eastAsia="宋体"/>
      <w:kern w:val="2"/>
      <w:sz w:val="18"/>
      <w:lang w:val="en-US" w:eastAsia="zh-CN" w:bidi="ar-SA"/>
    </w:rPr>
  </w:style>
  <w:style w:type="character" w:customStyle="1" w:styleId="92">
    <w:name w:val="不明显强调1"/>
    <w:qFormat/>
    <w:uiPriority w:val="19"/>
    <w:rPr>
      <w:rFonts w:ascii="Franklin Gothic Medium" w:hAnsi="Franklin Gothic Medium" w:eastAsia="微软雅黑" w:cs="Times New Roman"/>
      <w:i/>
      <w:iCs/>
      <w:color w:val="268868"/>
    </w:rPr>
  </w:style>
  <w:style w:type="character" w:customStyle="1" w:styleId="93">
    <w:name w:val="正文缩进 Char"/>
    <w:link w:val="6"/>
    <w:qFormat/>
    <w:uiPriority w:val="0"/>
    <w:rPr>
      <w:rFonts w:eastAsia="宋体"/>
    </w:rPr>
  </w:style>
  <w:style w:type="character" w:customStyle="1" w:styleId="94">
    <w:name w:val="标题 Char"/>
    <w:qFormat/>
    <w:uiPriority w:val="0"/>
    <w:rPr>
      <w:rFonts w:ascii="Arial" w:hAnsi="Arial" w:eastAsia="黑体"/>
      <w:sz w:val="44"/>
    </w:rPr>
  </w:style>
  <w:style w:type="character" w:customStyle="1" w:styleId="95">
    <w:name w:val="无间隔 Char"/>
    <w:link w:val="96"/>
    <w:qFormat/>
    <w:uiPriority w:val="1"/>
    <w:rPr>
      <w:rFonts w:ascii="Franklin Gothic Book" w:hAnsi="Franklin Gothic Book" w:eastAsia="黑体"/>
      <w:iCs/>
      <w:lang w:eastAsia="en-US" w:bidi="en-US"/>
    </w:rPr>
  </w:style>
  <w:style w:type="paragraph" w:customStyle="1" w:styleId="96">
    <w:name w:val="无间隔1"/>
    <w:basedOn w:val="1"/>
    <w:link w:val="95"/>
    <w:qFormat/>
    <w:uiPriority w:val="1"/>
    <w:pPr>
      <w:widowControl/>
      <w:jc w:val="left"/>
    </w:pPr>
    <w:rPr>
      <w:rFonts w:ascii="Franklin Gothic Book" w:hAnsi="Franklin Gothic Book" w:eastAsia="黑体" w:cstheme="minorBidi"/>
      <w:iCs/>
      <w:szCs w:val="22"/>
      <w:lang w:eastAsia="en-US" w:bidi="en-US"/>
    </w:rPr>
  </w:style>
  <w:style w:type="character" w:customStyle="1" w:styleId="97">
    <w:name w:val="et1"/>
    <w:basedOn w:val="53"/>
    <w:qFormat/>
    <w:uiPriority w:val="0"/>
  </w:style>
  <w:style w:type="character" w:customStyle="1" w:styleId="98">
    <w:name w:val="正文 + 小四 Char1"/>
    <w:qFormat/>
    <w:uiPriority w:val="0"/>
    <w:rPr>
      <w:rFonts w:eastAsia="宋体"/>
      <w:color w:val="333333"/>
      <w:kern w:val="2"/>
      <w:sz w:val="24"/>
      <w:szCs w:val="24"/>
      <w:lang w:val="en-US" w:eastAsia="zh-CN" w:bidi="ar-SA"/>
    </w:rPr>
  </w:style>
  <w:style w:type="character" w:customStyle="1" w:styleId="99">
    <w:name w:val="引用 Char"/>
    <w:qFormat/>
    <w:uiPriority w:val="29"/>
    <w:rPr>
      <w:rFonts w:ascii="Franklin Gothic Book" w:hAnsi="Franklin Gothic Book" w:eastAsia="黑体"/>
      <w:color w:val="1C654D"/>
    </w:rPr>
  </w:style>
  <w:style w:type="paragraph" w:customStyle="1" w:styleId="100">
    <w:name w:val="引用1"/>
    <w:basedOn w:val="1"/>
    <w:next w:val="1"/>
    <w:link w:val="110"/>
    <w:qFormat/>
    <w:uiPriority w:val="29"/>
    <w:pPr>
      <w:widowControl/>
      <w:spacing w:after="200" w:line="288" w:lineRule="auto"/>
      <w:jc w:val="left"/>
    </w:pPr>
    <w:rPr>
      <w:rFonts w:ascii="Franklin Gothic Book" w:hAnsi="Franklin Gothic Book" w:eastAsia="黑体" w:cstheme="minorBidi"/>
      <w:color w:val="1C654D"/>
      <w:szCs w:val="22"/>
    </w:rPr>
  </w:style>
  <w:style w:type="character" w:customStyle="1" w:styleId="101">
    <w:name w:val="font81"/>
    <w:basedOn w:val="53"/>
    <w:qFormat/>
    <w:uiPriority w:val="0"/>
    <w:rPr>
      <w:rFonts w:hint="default" w:ascii="Times New Roman" w:hAnsi="Times New Roman" w:cs="Times New Roman"/>
      <w:color w:val="auto"/>
      <w:sz w:val="20"/>
      <w:szCs w:val="20"/>
      <w:u w:val="none"/>
    </w:rPr>
  </w:style>
  <w:style w:type="character" w:customStyle="1" w:styleId="102">
    <w:name w:val="批注文字 Char"/>
    <w:qFormat/>
    <w:uiPriority w:val="0"/>
    <w:rPr>
      <w:sz w:val="24"/>
      <w:szCs w:val="24"/>
    </w:rPr>
  </w:style>
  <w:style w:type="character" w:customStyle="1" w:styleId="103">
    <w:name w:val="副标题 Char"/>
    <w:qFormat/>
    <w:uiPriority w:val="0"/>
    <w:rPr>
      <w:rFonts w:ascii="Franklin Gothic Medium" w:hAnsi="Franklin Gothic Medium" w:eastAsia="微软雅黑"/>
      <w:i/>
      <w:iCs/>
      <w:color w:val="134333"/>
      <w:sz w:val="24"/>
      <w:szCs w:val="24"/>
    </w:rPr>
  </w:style>
  <w:style w:type="character" w:customStyle="1" w:styleId="104">
    <w:name w:val="纯文本 Char"/>
    <w:qFormat/>
    <w:uiPriority w:val="0"/>
    <w:rPr>
      <w:rFonts w:ascii="宋体" w:hAnsi="Courier New" w:eastAsia="宋体"/>
    </w:rPr>
  </w:style>
  <w:style w:type="paragraph" w:customStyle="1" w:styleId="105">
    <w:name w:val="列出段落1"/>
    <w:basedOn w:val="1"/>
    <w:qFormat/>
    <w:uiPriority w:val="99"/>
    <w:pPr>
      <w:widowControl/>
      <w:spacing w:after="200" w:line="288" w:lineRule="auto"/>
      <w:ind w:left="720"/>
      <w:contextualSpacing/>
      <w:jc w:val="left"/>
    </w:pPr>
    <w:rPr>
      <w:rFonts w:ascii="Franklin Gothic Book" w:hAnsi="Franklin Gothic Book" w:eastAsia="黑体"/>
      <w:iCs/>
      <w:kern w:val="0"/>
      <w:sz w:val="20"/>
      <w:szCs w:val="20"/>
      <w:lang w:eastAsia="en-US" w:bidi="en-US"/>
    </w:rPr>
  </w:style>
  <w:style w:type="character" w:customStyle="1" w:styleId="106">
    <w:name w:val="文档结构图 Char"/>
    <w:basedOn w:val="53"/>
    <w:link w:val="16"/>
    <w:qFormat/>
    <w:uiPriority w:val="99"/>
    <w:rPr>
      <w:rFonts w:ascii="Times New Roman" w:hAnsi="Times New Roman" w:eastAsia="宋体" w:cs="Times New Roman"/>
      <w:szCs w:val="24"/>
      <w:shd w:val="clear" w:color="auto" w:fill="000080"/>
    </w:rPr>
  </w:style>
  <w:style w:type="paragraph" w:customStyle="1" w:styleId="107">
    <w:name w:val="Char1 Char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08">
    <w:name w:val="tabletext"/>
    <w:basedOn w:val="1"/>
    <w:qFormat/>
    <w:uiPriority w:val="0"/>
    <w:pPr>
      <w:widowControl/>
      <w:spacing w:before="100" w:beforeAutospacing="1" w:after="100" w:afterAutospacing="1" w:line="228" w:lineRule="atLeast"/>
      <w:jc w:val="left"/>
    </w:pPr>
    <w:rPr>
      <w:rFonts w:ascii="宋体" w:hAnsi="宋体" w:cs="宋体"/>
      <w:kern w:val="0"/>
      <w:sz w:val="17"/>
      <w:szCs w:val="17"/>
    </w:rPr>
  </w:style>
  <w:style w:type="paragraph" w:customStyle="1" w:styleId="109">
    <w:name w:val="Default"/>
    <w:next w:val="20"/>
    <w:link w:val="194"/>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character" w:customStyle="1" w:styleId="110">
    <w:name w:val="引用 Char1"/>
    <w:basedOn w:val="53"/>
    <w:link w:val="100"/>
    <w:qFormat/>
    <w:uiPriority w:val="29"/>
    <w:rPr>
      <w:rFonts w:ascii="Times New Roman" w:hAnsi="Times New Roman" w:eastAsia="宋体" w:cs="Times New Roman"/>
      <w:i/>
      <w:iCs/>
      <w:color w:val="000000" w:themeColor="text1"/>
      <w:szCs w:val="24"/>
      <w14:textFill>
        <w14:solidFill>
          <w14:schemeClr w14:val="tx1"/>
        </w14:solidFill>
      </w14:textFill>
    </w:rPr>
  </w:style>
  <w:style w:type="paragraph" w:customStyle="1" w:styleId="111">
    <w:name w:val="xl13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0"/>
      <w:szCs w:val="20"/>
    </w:rPr>
  </w:style>
  <w:style w:type="character" w:customStyle="1" w:styleId="112">
    <w:name w:val="正文文本 Char1"/>
    <w:basedOn w:val="53"/>
    <w:link w:val="20"/>
    <w:semiHidden/>
    <w:qFormat/>
    <w:uiPriority w:val="99"/>
    <w:rPr>
      <w:rFonts w:ascii="Times New Roman" w:hAnsi="Times New Roman" w:eastAsia="宋体" w:cs="Times New Roman"/>
      <w:szCs w:val="24"/>
    </w:rPr>
  </w:style>
  <w:style w:type="paragraph" w:customStyle="1" w:styleId="113">
    <w:name w:val="段落正文"/>
    <w:basedOn w:val="1"/>
    <w:qFormat/>
    <w:uiPriority w:val="0"/>
    <w:pPr>
      <w:tabs>
        <w:tab w:val="left" w:pos="1680"/>
      </w:tabs>
      <w:spacing w:line="360" w:lineRule="auto"/>
      <w:ind w:left="1680" w:hanging="840"/>
    </w:pPr>
    <w:rPr>
      <w:rFonts w:ascii="Arial" w:hAnsi="Arial" w:cs="Arial"/>
      <w:sz w:val="24"/>
    </w:rPr>
  </w:style>
  <w:style w:type="character" w:customStyle="1" w:styleId="114">
    <w:name w:val="日期 Char"/>
    <w:basedOn w:val="53"/>
    <w:link w:val="28"/>
    <w:qFormat/>
    <w:uiPriority w:val="0"/>
    <w:rPr>
      <w:rFonts w:ascii="Times New Roman" w:hAnsi="Times New Roman" w:eastAsia="宋体" w:cs="Times New Roman"/>
      <w:b/>
      <w:spacing w:val="20"/>
      <w:sz w:val="24"/>
      <w:szCs w:val="20"/>
    </w:rPr>
  </w:style>
  <w:style w:type="character" w:customStyle="1" w:styleId="115">
    <w:name w:val="正文文本缩进 3 Char"/>
    <w:basedOn w:val="53"/>
    <w:link w:val="41"/>
    <w:qFormat/>
    <w:uiPriority w:val="0"/>
    <w:rPr>
      <w:rFonts w:ascii="Times New Roman" w:hAnsi="Times New Roman" w:eastAsia="宋体" w:cs="Times New Roman"/>
      <w:sz w:val="16"/>
      <w:szCs w:val="16"/>
    </w:rPr>
  </w:style>
  <w:style w:type="paragraph" w:customStyle="1" w:styleId="116">
    <w:name w:val="Char3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17">
    <w:name w:val="headin"/>
    <w:basedOn w:val="1"/>
    <w:next w:val="1"/>
    <w:qFormat/>
    <w:uiPriority w:val="0"/>
    <w:pPr>
      <w:tabs>
        <w:tab w:val="left" w:pos="720"/>
      </w:tabs>
      <w:spacing w:before="200" w:after="200" w:line="360" w:lineRule="auto"/>
      <w:ind w:left="720" w:hanging="720"/>
      <w:outlineLvl w:val="1"/>
    </w:pPr>
    <w:rPr>
      <w:rFonts w:ascii="Arial" w:hAnsi="Arial"/>
      <w:b/>
      <w:bCs/>
      <w:sz w:val="28"/>
      <w:szCs w:val="28"/>
      <w14:shadow w14:blurRad="50800" w14:dist="38100" w14:dir="2700000" w14:sx="100000" w14:sy="100000" w14:kx="0" w14:ky="0" w14:algn="tl">
        <w14:srgbClr w14:val="000000">
          <w14:alpha w14:val="60000"/>
        </w14:srgbClr>
      </w14:shadow>
    </w:rPr>
  </w:style>
  <w:style w:type="character" w:customStyle="1" w:styleId="118">
    <w:name w:val="注释标题 Char"/>
    <w:basedOn w:val="53"/>
    <w:link w:val="14"/>
    <w:qFormat/>
    <w:uiPriority w:val="0"/>
    <w:rPr>
      <w:rFonts w:ascii="Times New Roman" w:hAnsi="Times New Roman" w:eastAsia="宋体" w:cs="Times New Roman"/>
      <w:szCs w:val="24"/>
    </w:rPr>
  </w:style>
  <w:style w:type="paragraph" w:customStyle="1" w:styleId="119">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20">
    <w:name w:val="xl13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21">
    <w:name w:val="Char1 Char Char Char"/>
    <w:basedOn w:val="1"/>
    <w:qFormat/>
    <w:uiPriority w:val="0"/>
    <w:pPr>
      <w:keepNext/>
      <w:keepLines/>
      <w:pageBreakBefore/>
      <w:tabs>
        <w:tab w:val="left" w:pos="845"/>
      </w:tabs>
      <w:ind w:left="845" w:hanging="420"/>
    </w:pPr>
    <w:rPr>
      <w:rFonts w:ascii="Tahoma" w:hAnsi="Tahoma"/>
      <w:sz w:val="24"/>
      <w:szCs w:val="20"/>
    </w:rPr>
  </w:style>
  <w:style w:type="character" w:customStyle="1" w:styleId="122">
    <w:name w:val="副标题 Char1"/>
    <w:basedOn w:val="53"/>
    <w:link w:val="38"/>
    <w:qFormat/>
    <w:uiPriority w:val="11"/>
    <w:rPr>
      <w:rFonts w:eastAsia="宋体" w:asciiTheme="majorHAnsi" w:hAnsiTheme="majorHAnsi" w:cstheme="majorBidi"/>
      <w:b/>
      <w:bCs/>
      <w:kern w:val="28"/>
      <w:sz w:val="32"/>
      <w:szCs w:val="32"/>
    </w:rPr>
  </w:style>
  <w:style w:type="paragraph" w:customStyle="1" w:styleId="123">
    <w:name w:val="样式1"/>
    <w:basedOn w:val="2"/>
    <w:qFormat/>
    <w:uiPriority w:val="0"/>
    <w:pPr>
      <w:spacing w:line="0" w:lineRule="atLeast"/>
    </w:pPr>
    <w:rPr>
      <w:b w:val="0"/>
    </w:rPr>
  </w:style>
  <w:style w:type="paragraph" w:customStyle="1" w:styleId="124">
    <w:name w:val="样式 标题 1 + 黑体 小三"/>
    <w:basedOn w:val="2"/>
    <w:qFormat/>
    <w:uiPriority w:val="0"/>
    <w:pPr>
      <w:keepNext w:val="0"/>
      <w:keepLines w:val="0"/>
      <w:spacing w:before="0" w:after="0" w:line="240" w:lineRule="auto"/>
      <w:jc w:val="both"/>
    </w:pPr>
    <w:rPr>
      <w:rFonts w:ascii="黑体" w:hAnsi="黑体"/>
      <w:b w:val="0"/>
      <w:kern w:val="2"/>
      <w:sz w:val="30"/>
    </w:rPr>
  </w:style>
  <w:style w:type="character" w:customStyle="1" w:styleId="125">
    <w:name w:val="批注文字 Char1"/>
    <w:basedOn w:val="53"/>
    <w:link w:val="17"/>
    <w:semiHidden/>
    <w:qFormat/>
    <w:uiPriority w:val="99"/>
    <w:rPr>
      <w:rFonts w:ascii="Times New Roman" w:hAnsi="Times New Roman" w:eastAsia="宋体" w:cs="Times New Roman"/>
      <w:szCs w:val="24"/>
    </w:rPr>
  </w:style>
  <w:style w:type="character" w:customStyle="1" w:styleId="126">
    <w:name w:val="称呼 Char"/>
    <w:basedOn w:val="53"/>
    <w:link w:val="18"/>
    <w:qFormat/>
    <w:uiPriority w:val="0"/>
    <w:rPr>
      <w:rFonts w:ascii="Times New Roman" w:hAnsi="Times New Roman" w:eastAsia="宋体" w:cs="Times New Roman"/>
      <w:sz w:val="24"/>
      <w:szCs w:val="24"/>
    </w:rPr>
  </w:style>
  <w:style w:type="paragraph" w:customStyle="1" w:styleId="127">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28">
    <w:name w:val="正文 + 小四"/>
    <w:basedOn w:val="1"/>
    <w:qFormat/>
    <w:uiPriority w:val="0"/>
    <w:pPr>
      <w:widowControl/>
      <w:spacing w:line="432" w:lineRule="auto"/>
      <w:jc w:val="left"/>
    </w:pPr>
    <w:rPr>
      <w:color w:val="333333"/>
      <w:sz w:val="24"/>
    </w:rPr>
  </w:style>
  <w:style w:type="paragraph" w:customStyle="1" w:styleId="129">
    <w:name w:val="xl140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center"/>
    </w:pPr>
    <w:rPr>
      <w:rFonts w:ascii="宋体" w:hAnsi="宋体" w:cs="宋体"/>
      <w:b/>
      <w:bCs/>
      <w:kern w:val="0"/>
      <w:sz w:val="20"/>
      <w:szCs w:val="20"/>
    </w:rPr>
  </w:style>
  <w:style w:type="paragraph" w:customStyle="1" w:styleId="130">
    <w:name w:val="Char Char Char Char"/>
    <w:basedOn w:val="1"/>
    <w:qFormat/>
    <w:uiPriority w:val="0"/>
    <w:pPr>
      <w:widowControl/>
      <w:spacing w:after="160" w:line="240" w:lineRule="exact"/>
      <w:jc w:val="left"/>
    </w:pPr>
    <w:rPr>
      <w:rFonts w:ascii="Verdana" w:hAnsi="Verdana"/>
      <w:kern w:val="0"/>
      <w:sz w:val="20"/>
      <w:szCs w:val="20"/>
      <w:lang w:eastAsia="en-US"/>
    </w:rPr>
  </w:style>
  <w:style w:type="character" w:customStyle="1" w:styleId="131">
    <w:name w:val="正文文本缩进 Char"/>
    <w:basedOn w:val="53"/>
    <w:link w:val="21"/>
    <w:qFormat/>
    <w:uiPriority w:val="99"/>
    <w:rPr>
      <w:rFonts w:ascii="Times New Roman" w:hAnsi="Times New Roman" w:eastAsia="宋体" w:cs="Times New Roman"/>
      <w:szCs w:val="24"/>
    </w:rPr>
  </w:style>
  <w:style w:type="character" w:customStyle="1" w:styleId="132">
    <w:name w:val="批注框文本 Char"/>
    <w:basedOn w:val="53"/>
    <w:link w:val="31"/>
    <w:qFormat/>
    <w:uiPriority w:val="99"/>
    <w:rPr>
      <w:rFonts w:ascii="Times New Roman" w:hAnsi="Times New Roman" w:eastAsia="宋体" w:cs="Times New Roman"/>
      <w:sz w:val="18"/>
      <w:szCs w:val="18"/>
    </w:rPr>
  </w:style>
  <w:style w:type="character" w:customStyle="1" w:styleId="133">
    <w:name w:val="标题 Char1"/>
    <w:basedOn w:val="53"/>
    <w:link w:val="47"/>
    <w:qFormat/>
    <w:uiPriority w:val="10"/>
    <w:rPr>
      <w:rFonts w:eastAsia="宋体" w:asciiTheme="majorHAnsi" w:hAnsiTheme="majorHAnsi" w:cstheme="majorBidi"/>
      <w:b/>
      <w:bCs/>
      <w:sz w:val="32"/>
      <w:szCs w:val="32"/>
    </w:rPr>
  </w:style>
  <w:style w:type="paragraph" w:customStyle="1" w:styleId="134">
    <w:name w:val="段落正文 Char Char"/>
    <w:basedOn w:val="1"/>
    <w:qFormat/>
    <w:uiPriority w:val="0"/>
    <w:pPr>
      <w:spacing w:line="360" w:lineRule="auto"/>
      <w:ind w:firstLine="461" w:firstLineChars="192"/>
    </w:pPr>
    <w:rPr>
      <w:rFonts w:ascii="宋体" w:hAnsi="宋体"/>
      <w:sz w:val="24"/>
    </w:rPr>
  </w:style>
  <w:style w:type="paragraph" w:customStyle="1" w:styleId="135">
    <w:name w:val="1"/>
    <w:basedOn w:val="1"/>
    <w:next w:val="20"/>
    <w:qFormat/>
    <w:uiPriority w:val="0"/>
    <w:pPr>
      <w:widowControl/>
      <w:overflowPunct w:val="0"/>
      <w:autoSpaceDE w:val="0"/>
      <w:autoSpaceDN w:val="0"/>
      <w:adjustRightInd w:val="0"/>
      <w:spacing w:line="360" w:lineRule="auto"/>
      <w:jc w:val="left"/>
      <w:textAlignment w:val="baseline"/>
    </w:pPr>
    <w:rPr>
      <w:rFonts w:ascii="楷体" w:eastAsia="楷体"/>
      <w:kern w:val="0"/>
      <w:sz w:val="28"/>
      <w:szCs w:val="20"/>
      <w:lang w:val="en-GB"/>
    </w:rPr>
  </w:style>
  <w:style w:type="character" w:customStyle="1" w:styleId="136">
    <w:name w:val="明显引用 Char1"/>
    <w:basedOn w:val="53"/>
    <w:link w:val="85"/>
    <w:qFormat/>
    <w:uiPriority w:val="30"/>
    <w:rPr>
      <w:rFonts w:ascii="Times New Roman" w:hAnsi="Times New Roman" w:eastAsia="宋体" w:cs="Times New Roman"/>
      <w:b/>
      <w:bCs/>
      <w:i/>
      <w:iCs/>
      <w:color w:val="4F81BD" w:themeColor="accent1"/>
      <w:szCs w:val="24"/>
      <w14:textFill>
        <w14:solidFill>
          <w14:schemeClr w14:val="accent1"/>
        </w14:solidFill>
      </w14:textFill>
    </w:rPr>
  </w:style>
  <w:style w:type="character" w:customStyle="1" w:styleId="137">
    <w:name w:val="正文首行缩进 2 Char"/>
    <w:basedOn w:val="131"/>
    <w:link w:val="50"/>
    <w:qFormat/>
    <w:uiPriority w:val="0"/>
    <w:rPr>
      <w:rFonts w:ascii="Times New Roman" w:hAnsi="Times New Roman" w:eastAsia="宋体" w:cs="Times New Roman"/>
      <w:szCs w:val="24"/>
    </w:rPr>
  </w:style>
  <w:style w:type="character" w:customStyle="1" w:styleId="138">
    <w:name w:val="纯文本 Char1"/>
    <w:basedOn w:val="53"/>
    <w:link w:val="26"/>
    <w:qFormat/>
    <w:uiPriority w:val="99"/>
    <w:rPr>
      <w:rFonts w:ascii="宋体" w:hAnsi="Courier New" w:eastAsia="宋体" w:cs="Courier New"/>
      <w:szCs w:val="21"/>
    </w:rPr>
  </w:style>
  <w:style w:type="character" w:customStyle="1" w:styleId="139">
    <w:name w:val="正文文本缩进 2 Char"/>
    <w:basedOn w:val="53"/>
    <w:link w:val="29"/>
    <w:qFormat/>
    <w:uiPriority w:val="0"/>
    <w:rPr>
      <w:rFonts w:ascii="Times New Roman" w:hAnsi="Times New Roman" w:eastAsia="宋体" w:cs="Times New Roman"/>
      <w:szCs w:val="20"/>
    </w:rPr>
  </w:style>
  <w:style w:type="paragraph" w:customStyle="1" w:styleId="140">
    <w:name w:val="默认段落字体 Para Char Char Char Char Char Char Char"/>
    <w:basedOn w:val="1"/>
    <w:qFormat/>
    <w:uiPriority w:val="0"/>
    <w:pPr>
      <w:spacing w:line="360" w:lineRule="auto"/>
      <w:ind w:firstLine="200" w:firstLineChars="200"/>
    </w:pPr>
    <w:rPr>
      <w:rFonts w:ascii="Tahoma" w:hAnsi="Tahoma"/>
      <w:sz w:val="24"/>
    </w:rPr>
  </w:style>
  <w:style w:type="paragraph" w:customStyle="1" w:styleId="141">
    <w:name w:val="Char1 Char Char Char Char Char Char"/>
    <w:basedOn w:val="1"/>
    <w:qFormat/>
    <w:uiPriority w:val="0"/>
    <w:pPr>
      <w:keepNext/>
      <w:keepLines/>
      <w:pageBreakBefore/>
      <w:tabs>
        <w:tab w:val="left" w:pos="845"/>
      </w:tabs>
      <w:ind w:left="845" w:hanging="420"/>
    </w:pPr>
    <w:rPr>
      <w:rFonts w:ascii="Tahoma" w:hAnsi="Tahoma"/>
      <w:sz w:val="24"/>
      <w:szCs w:val="20"/>
    </w:rPr>
  </w:style>
  <w:style w:type="paragraph" w:customStyle="1" w:styleId="142">
    <w:name w:val="普通(Web)1"/>
    <w:basedOn w:val="1"/>
    <w:next w:val="46"/>
    <w:qFormat/>
    <w:uiPriority w:val="0"/>
    <w:pPr>
      <w:widowControl/>
      <w:spacing w:before="100" w:beforeAutospacing="1" w:after="100" w:afterAutospacing="1"/>
      <w:jc w:val="left"/>
    </w:pPr>
    <w:rPr>
      <w:rFonts w:ascii="Arial" w:hAnsi="Arial" w:cs="Arial"/>
      <w:kern w:val="0"/>
      <w:sz w:val="24"/>
    </w:rPr>
  </w:style>
  <w:style w:type="paragraph" w:customStyle="1" w:styleId="143">
    <w:name w:val="tableheading"/>
    <w:basedOn w:val="1"/>
    <w:qFormat/>
    <w:uiPriority w:val="0"/>
    <w:pPr>
      <w:widowControl/>
      <w:spacing w:before="100" w:beforeAutospacing="1" w:after="100" w:afterAutospacing="1" w:line="228" w:lineRule="atLeast"/>
      <w:jc w:val="left"/>
    </w:pPr>
    <w:rPr>
      <w:rFonts w:ascii="宋体" w:hAnsi="宋体" w:cs="宋体"/>
      <w:kern w:val="0"/>
      <w:sz w:val="17"/>
      <w:szCs w:val="17"/>
    </w:rPr>
  </w:style>
  <w:style w:type="paragraph" w:customStyle="1" w:styleId="144">
    <w:name w:val="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45">
    <w:name w:val="样式3"/>
    <w:basedOn w:val="26"/>
    <w:qFormat/>
    <w:uiPriority w:val="0"/>
    <w:pPr>
      <w:spacing w:line="0" w:lineRule="atLeast"/>
      <w:outlineLvl w:val="0"/>
    </w:pPr>
    <w:rPr>
      <w:sz w:val="28"/>
    </w:rPr>
  </w:style>
  <w:style w:type="paragraph" w:customStyle="1" w:styleId="146">
    <w:name w:val="font7"/>
    <w:basedOn w:val="1"/>
    <w:qFormat/>
    <w:uiPriority w:val="0"/>
    <w:pPr>
      <w:widowControl/>
      <w:spacing w:before="100" w:beforeAutospacing="1" w:after="100" w:afterAutospacing="1"/>
      <w:jc w:val="left"/>
    </w:pPr>
    <w:rPr>
      <w:kern w:val="0"/>
      <w:sz w:val="20"/>
      <w:szCs w:val="20"/>
    </w:rPr>
  </w:style>
  <w:style w:type="paragraph" w:customStyle="1" w:styleId="147">
    <w:name w:val="TOC 标题1"/>
    <w:basedOn w:val="2"/>
    <w:next w:val="1"/>
    <w:qFormat/>
    <w:uiPriority w:val="39"/>
    <w:pPr>
      <w:keepNext w:val="0"/>
      <w:keepLines w:val="0"/>
      <w:widowControl/>
      <w:pBdr>
        <w:top w:val="single" w:color="268868" w:sz="8" w:space="0"/>
        <w:left w:val="single" w:color="268868" w:sz="8" w:space="0"/>
        <w:bottom w:val="single" w:color="268868" w:sz="8" w:space="0"/>
        <w:right w:val="single" w:color="268868" w:sz="8" w:space="0"/>
      </w:pBdr>
      <w:shd w:val="clear" w:color="auto" w:fill="CAF0E3"/>
      <w:spacing w:before="480" w:after="100" w:line="269" w:lineRule="auto"/>
      <w:contextualSpacing/>
      <w:jc w:val="left"/>
      <w:outlineLvl w:val="9"/>
    </w:pPr>
    <w:rPr>
      <w:rFonts w:ascii="Franklin Gothic Medium" w:hAnsi="Franklin Gothic Medium" w:eastAsia="微软雅黑"/>
      <w:bCs/>
      <w:iCs/>
      <w:color w:val="134333"/>
      <w:kern w:val="0"/>
      <w:sz w:val="22"/>
      <w:szCs w:val="22"/>
      <w:lang w:eastAsia="en-US" w:bidi="en-US"/>
    </w:rPr>
  </w:style>
  <w:style w:type="paragraph" w:customStyle="1" w:styleId="148">
    <w:name w:val="xl13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149">
    <w:name w:val="xl13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50">
    <w:name w:val="xl13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151">
    <w:name w:val="列出段落11"/>
    <w:basedOn w:val="1"/>
    <w:qFormat/>
    <w:uiPriority w:val="0"/>
    <w:pPr>
      <w:ind w:firstLine="420" w:firstLineChars="200"/>
    </w:pPr>
    <w:rPr>
      <w:rFonts w:ascii="Calibri" w:hAnsi="Calibri"/>
      <w:szCs w:val="22"/>
    </w:rPr>
  </w:style>
  <w:style w:type="paragraph" w:customStyle="1" w:styleId="152">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53">
    <w:name w:val="标题4"/>
    <w:basedOn w:val="2"/>
    <w:qFormat/>
    <w:uiPriority w:val="0"/>
    <w:pPr>
      <w:keepNext w:val="0"/>
      <w:keepLines w:val="0"/>
      <w:pBdr>
        <w:bottom w:val="single" w:color="auto" w:sz="6" w:space="1"/>
      </w:pBdr>
      <w:spacing w:before="0" w:after="0" w:line="240" w:lineRule="auto"/>
      <w:outlineLvl w:val="9"/>
    </w:pPr>
    <w:rPr>
      <w:rFonts w:eastAsia="宋体"/>
      <w:bCs/>
      <w:kern w:val="2"/>
      <w:sz w:val="21"/>
      <w:szCs w:val="24"/>
    </w:rPr>
  </w:style>
  <w:style w:type="paragraph" w:customStyle="1" w:styleId="154">
    <w:name w:val="Char Char Char Char Char Char Char Char Char Char"/>
    <w:basedOn w:val="1"/>
    <w:qFormat/>
    <w:uiPriority w:val="0"/>
    <w:rPr>
      <w:rFonts w:ascii="Tahoma" w:hAnsi="Tahoma"/>
      <w:sz w:val="24"/>
      <w:szCs w:val="20"/>
    </w:rPr>
  </w:style>
  <w:style w:type="paragraph" w:customStyle="1" w:styleId="155">
    <w:name w:val="Char Char Char Char Char Char Char"/>
    <w:basedOn w:val="1"/>
    <w:qFormat/>
    <w:uiPriority w:val="0"/>
    <w:rPr>
      <w:rFonts w:ascii="Tahoma" w:hAnsi="Tahoma"/>
      <w:sz w:val="24"/>
      <w:szCs w:val="20"/>
    </w:rPr>
  </w:style>
  <w:style w:type="paragraph" w:customStyle="1" w:styleId="156">
    <w:name w:val="Char Char Char Char Char Char Char1"/>
    <w:basedOn w:val="1"/>
    <w:qFormat/>
    <w:uiPriority w:val="0"/>
    <w:rPr>
      <w:rFonts w:ascii="Tahoma" w:hAnsi="Tahoma"/>
      <w:sz w:val="24"/>
      <w:szCs w:val="20"/>
    </w:rPr>
  </w:style>
  <w:style w:type="paragraph" w:customStyle="1" w:styleId="157">
    <w:name w:val="样式 正文文字缩进 + Times New Roman"/>
    <w:basedOn w:val="1"/>
    <w:qFormat/>
    <w:uiPriority w:val="0"/>
    <w:pPr>
      <w:spacing w:line="360" w:lineRule="auto"/>
      <w:ind w:firstLine="482"/>
    </w:pPr>
    <w:rPr>
      <w:sz w:val="24"/>
    </w:rPr>
  </w:style>
  <w:style w:type="paragraph" w:customStyle="1" w:styleId="158">
    <w:name w:val="xl13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59">
    <w:name w:val="xl1392"/>
    <w:basedOn w:val="1"/>
    <w:qFormat/>
    <w:uiPriority w:val="0"/>
    <w:pPr>
      <w:widowControl/>
      <w:spacing w:before="100" w:beforeAutospacing="1" w:after="100" w:afterAutospacing="1"/>
      <w:jc w:val="center"/>
      <w:textAlignment w:val="center"/>
    </w:pPr>
    <w:rPr>
      <w:rFonts w:ascii="宋体" w:hAnsi="宋体" w:cs="宋体"/>
      <w:kern w:val="0"/>
      <w:sz w:val="24"/>
    </w:rPr>
  </w:style>
  <w:style w:type="paragraph" w:customStyle="1" w:styleId="160">
    <w:name w:val="ptdl"/>
    <w:basedOn w:val="1"/>
    <w:link w:val="183"/>
    <w:qFormat/>
    <w:uiPriority w:val="0"/>
    <w:pPr>
      <w:spacing w:after="156"/>
      <w:ind w:firstLine="480"/>
    </w:pPr>
    <w:rPr>
      <w:sz w:val="24"/>
      <w:szCs w:val="20"/>
    </w:rPr>
  </w:style>
  <w:style w:type="paragraph" w:customStyle="1" w:styleId="161">
    <w:name w:val="样式4"/>
    <w:basedOn w:val="1"/>
    <w:qFormat/>
    <w:uiPriority w:val="0"/>
    <w:pPr>
      <w:spacing w:beforeLines="50" w:afterLines="50" w:line="360" w:lineRule="auto"/>
      <w:ind w:firstLine="480" w:firstLineChars="200"/>
    </w:pPr>
    <w:rPr>
      <w:rFonts w:ascii="宋体" w:hAnsi="宋体"/>
      <w:color w:val="000000"/>
      <w:sz w:val="24"/>
    </w:rPr>
  </w:style>
  <w:style w:type="paragraph" w:customStyle="1" w:styleId="162">
    <w:name w:val="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63">
    <w:name w:val="xl14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cs="宋体"/>
      <w:b/>
      <w:bCs/>
      <w:kern w:val="0"/>
      <w:sz w:val="20"/>
      <w:szCs w:val="20"/>
    </w:rPr>
  </w:style>
  <w:style w:type="paragraph" w:customStyle="1" w:styleId="164">
    <w:name w:val="标3"/>
    <w:basedOn w:val="1"/>
    <w:qFormat/>
    <w:uiPriority w:val="0"/>
    <w:pPr>
      <w:tabs>
        <w:tab w:val="left" w:pos="1740"/>
      </w:tabs>
      <w:adjustRightInd w:val="0"/>
      <w:snapToGrid w:val="0"/>
      <w:spacing w:before="50"/>
      <w:ind w:left="1740" w:hanging="420"/>
      <w:outlineLvl w:val="2"/>
    </w:pPr>
    <w:rPr>
      <w:rFonts w:ascii="Arial Narrow" w:hAnsi="Arial Narrow" w:eastAsia="仿宋_GB2312"/>
      <w:sz w:val="28"/>
      <w:szCs w:val="20"/>
    </w:rPr>
  </w:style>
  <w:style w:type="paragraph" w:customStyle="1" w:styleId="165">
    <w:name w:val="表头文本"/>
    <w:basedOn w:val="1"/>
    <w:autoRedefine/>
    <w:qFormat/>
    <w:uiPriority w:val="0"/>
    <w:pPr>
      <w:autoSpaceDE w:val="0"/>
      <w:autoSpaceDN w:val="0"/>
      <w:adjustRightInd w:val="0"/>
      <w:jc w:val="center"/>
    </w:pPr>
    <w:rPr>
      <w:b/>
      <w:kern w:val="0"/>
      <w:sz w:val="24"/>
      <w:szCs w:val="20"/>
    </w:rPr>
  </w:style>
  <w:style w:type="paragraph" w:customStyle="1" w:styleId="166">
    <w:name w:val="xl5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167">
    <w:name w:val="黑体正文 Char Char Char"/>
    <w:basedOn w:val="20"/>
    <w:qFormat/>
    <w:uiPriority w:val="0"/>
    <w:pPr>
      <w:widowControl/>
      <w:spacing w:line="264" w:lineRule="auto"/>
      <w:jc w:val="center"/>
    </w:pPr>
    <w:rPr>
      <w:rFonts w:ascii="宋体" w:hAnsi="宋体"/>
      <w:bCs/>
      <w:color w:val="000000"/>
      <w:sz w:val="21"/>
      <w:szCs w:val="21"/>
    </w:rPr>
  </w:style>
  <w:style w:type="paragraph" w:customStyle="1" w:styleId="168">
    <w:name w:val="a"/>
    <w:basedOn w:val="1"/>
    <w:qFormat/>
    <w:uiPriority w:val="0"/>
    <w:pPr>
      <w:widowControl/>
      <w:jc w:val="left"/>
    </w:pPr>
    <w:rPr>
      <w:rFonts w:ascii="宋体" w:hAnsi="宋体" w:cs="宋体"/>
      <w:kern w:val="0"/>
      <w:sz w:val="24"/>
    </w:rPr>
  </w:style>
  <w:style w:type="paragraph" w:customStyle="1" w:styleId="169">
    <w:name w:val="样式2"/>
    <w:basedOn w:val="123"/>
    <w:next w:val="5"/>
    <w:qFormat/>
    <w:uiPriority w:val="0"/>
    <w:pPr>
      <w:keepNext w:val="0"/>
      <w:keepLines w:val="0"/>
      <w:spacing w:before="0" w:after="0" w:line="240" w:lineRule="auto"/>
      <w:jc w:val="both"/>
    </w:pPr>
    <w:rPr>
      <w:rFonts w:eastAsia="宋体"/>
      <w:kern w:val="2"/>
      <w:sz w:val="21"/>
      <w:szCs w:val="24"/>
    </w:rPr>
  </w:style>
  <w:style w:type="paragraph" w:customStyle="1" w:styleId="170">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171">
    <w:name w:val="xl1391"/>
    <w:basedOn w:val="1"/>
    <w:qFormat/>
    <w:uiPriority w:val="0"/>
    <w:pPr>
      <w:widowControl/>
      <w:spacing w:before="100" w:beforeAutospacing="1" w:after="100" w:afterAutospacing="1"/>
      <w:jc w:val="center"/>
      <w:textAlignment w:val="center"/>
    </w:pPr>
    <w:rPr>
      <w:rFonts w:ascii="宋体" w:hAnsi="宋体" w:cs="宋体"/>
      <w:b/>
      <w:bCs/>
      <w:kern w:val="0"/>
      <w:sz w:val="24"/>
    </w:rPr>
  </w:style>
  <w:style w:type="paragraph" w:customStyle="1" w:styleId="172">
    <w:name w:val="Style4"/>
    <w:basedOn w:val="5"/>
    <w:qFormat/>
    <w:uiPriority w:val="0"/>
    <w:pPr>
      <w:keepNext w:val="0"/>
      <w:keepLines w:val="0"/>
      <w:widowControl/>
      <w:tabs>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ind w:left="0" w:firstLine="0"/>
      <w:jc w:val="left"/>
      <w:outlineLvl w:val="9"/>
    </w:pPr>
    <w:rPr>
      <w:rFonts w:ascii="Times New Roman"/>
      <w:b w:val="0"/>
      <w:kern w:val="0"/>
      <w:lang w:val="fr-FR" w:eastAsia="en-US"/>
    </w:rPr>
  </w:style>
  <w:style w:type="paragraph" w:customStyle="1" w:styleId="17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74">
    <w:name w:val="xl13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b/>
      <w:bCs/>
      <w:kern w:val="0"/>
      <w:sz w:val="20"/>
      <w:szCs w:val="20"/>
    </w:rPr>
  </w:style>
  <w:style w:type="paragraph" w:customStyle="1" w:styleId="175">
    <w:name w:val="样式 标题 2PIM2H2Heading 2 Hidden2nd levelh22Header 2l2DO N...2"/>
    <w:basedOn w:val="3"/>
    <w:qFormat/>
    <w:uiPriority w:val="0"/>
    <w:pPr>
      <w:spacing w:before="120" w:after="0" w:line="415" w:lineRule="auto"/>
      <w:ind w:left="0"/>
    </w:pPr>
    <w:rPr>
      <w:rFonts w:ascii="Arial" w:hAnsi="Arial" w:eastAsia="黑体" w:cs="宋体"/>
      <w:bCs/>
      <w:color w:val="000000"/>
      <w:sz w:val="28"/>
      <w:szCs w:val="24"/>
    </w:rPr>
  </w:style>
  <w:style w:type="paragraph" w:customStyle="1" w:styleId="176">
    <w:name w:val="项目符号"/>
    <w:basedOn w:val="1"/>
    <w:qFormat/>
    <w:uiPriority w:val="0"/>
    <w:pPr>
      <w:tabs>
        <w:tab w:val="left" w:pos="417"/>
      </w:tabs>
      <w:spacing w:beforeLines="20" w:line="320" w:lineRule="exact"/>
      <w:ind w:left="780" w:hanging="360"/>
    </w:pPr>
    <w:rPr>
      <w:rFonts w:ascii="宋体" w:hAnsi="宋体"/>
      <w:color w:val="000000"/>
      <w:sz w:val="18"/>
      <w:szCs w:val="21"/>
    </w:rPr>
  </w:style>
  <w:style w:type="paragraph" w:customStyle="1" w:styleId="177">
    <w:name w:val="xl1390"/>
    <w:basedOn w:val="1"/>
    <w:qFormat/>
    <w:uiPriority w:val="0"/>
    <w:pPr>
      <w:widowControl/>
      <w:spacing w:before="100" w:beforeAutospacing="1" w:after="100" w:afterAutospacing="1"/>
      <w:jc w:val="center"/>
      <w:textAlignment w:val="center"/>
    </w:pPr>
    <w:rPr>
      <w:rFonts w:ascii="宋体" w:hAnsi="宋体" w:cs="宋体"/>
      <w:kern w:val="0"/>
      <w:sz w:val="24"/>
    </w:rPr>
  </w:style>
  <w:style w:type="paragraph" w:styleId="178">
    <w:name w:val="List Paragraph"/>
    <w:basedOn w:val="1"/>
    <w:unhideWhenUsed/>
    <w:qFormat/>
    <w:uiPriority w:val="99"/>
    <w:pPr>
      <w:ind w:firstLine="420" w:firstLineChars="200"/>
    </w:pPr>
  </w:style>
  <w:style w:type="character" w:customStyle="1" w:styleId="179">
    <w:name w:val="text"/>
    <w:basedOn w:val="53"/>
    <w:qFormat/>
    <w:uiPriority w:val="0"/>
  </w:style>
  <w:style w:type="character" w:customStyle="1" w:styleId="180">
    <w:name w:val="批注框文本 Char1"/>
    <w:basedOn w:val="53"/>
    <w:semiHidden/>
    <w:qFormat/>
    <w:uiPriority w:val="99"/>
    <w:rPr>
      <w:sz w:val="18"/>
      <w:szCs w:val="18"/>
    </w:rPr>
  </w:style>
  <w:style w:type="character" w:customStyle="1" w:styleId="181">
    <w:name w:val="para1"/>
    <w:qFormat/>
    <w:uiPriority w:val="0"/>
    <w:rPr>
      <w:rFonts w:hint="default" w:ascii="Arial" w:hAnsi="Arial"/>
      <w:sz w:val="18"/>
    </w:rPr>
  </w:style>
  <w:style w:type="character" w:customStyle="1" w:styleId="182">
    <w:name w:val="HTML 预设格式 Char1"/>
    <w:basedOn w:val="53"/>
    <w:semiHidden/>
    <w:qFormat/>
    <w:uiPriority w:val="99"/>
    <w:rPr>
      <w:rFonts w:ascii="Courier New" w:hAnsi="Courier New" w:cs="Courier New"/>
      <w:kern w:val="2"/>
    </w:rPr>
  </w:style>
  <w:style w:type="character" w:customStyle="1" w:styleId="183">
    <w:name w:val="ptdl Char Char"/>
    <w:link w:val="160"/>
    <w:qFormat/>
    <w:uiPriority w:val="0"/>
    <w:rPr>
      <w:rFonts w:ascii="Times New Roman" w:hAnsi="Times New Roman" w:eastAsia="宋体" w:cs="Times New Roman"/>
      <w:kern w:val="2"/>
      <w:sz w:val="24"/>
    </w:rPr>
  </w:style>
  <w:style w:type="character" w:customStyle="1" w:styleId="184">
    <w:name w:val="正文文本 + 间距 0 pt"/>
    <w:basedOn w:val="185"/>
    <w:qFormat/>
    <w:uiPriority w:val="0"/>
    <w:rPr>
      <w:rFonts w:ascii="MingLiU" w:hAnsi="MingLiU" w:eastAsia="MingLiU" w:cs="MingLiU"/>
      <w:color w:val="000000"/>
      <w:spacing w:val="-6"/>
      <w:w w:val="100"/>
      <w:position w:val="0"/>
      <w:sz w:val="19"/>
      <w:szCs w:val="19"/>
      <w:lang w:val="en-US"/>
    </w:rPr>
  </w:style>
  <w:style w:type="character" w:customStyle="1" w:styleId="185">
    <w:name w:val="正文文本_"/>
    <w:basedOn w:val="53"/>
    <w:link w:val="186"/>
    <w:qFormat/>
    <w:uiPriority w:val="0"/>
    <w:rPr>
      <w:rFonts w:ascii="MingLiU" w:hAnsi="MingLiU" w:eastAsia="MingLiU" w:cs="MingLiU"/>
      <w:spacing w:val="10"/>
      <w:sz w:val="19"/>
      <w:szCs w:val="19"/>
    </w:rPr>
  </w:style>
  <w:style w:type="paragraph" w:customStyle="1" w:styleId="186">
    <w:name w:val="正文文本3"/>
    <w:basedOn w:val="1"/>
    <w:link w:val="185"/>
    <w:qFormat/>
    <w:uiPriority w:val="0"/>
    <w:pPr>
      <w:spacing w:line="480" w:lineRule="exact"/>
      <w:ind w:hanging="380"/>
      <w:jc w:val="distribute"/>
    </w:pPr>
    <w:rPr>
      <w:rFonts w:ascii="MingLiU" w:hAnsi="MingLiU" w:eastAsia="MingLiU" w:cs="MingLiU"/>
      <w:spacing w:val="10"/>
      <w:kern w:val="0"/>
      <w:sz w:val="19"/>
      <w:szCs w:val="19"/>
    </w:rPr>
  </w:style>
  <w:style w:type="character" w:customStyle="1" w:styleId="187">
    <w:name w:val="cpx13huei"/>
    <w:basedOn w:val="53"/>
    <w:qFormat/>
    <w:uiPriority w:val="0"/>
  </w:style>
  <w:style w:type="character" w:customStyle="1" w:styleId="188">
    <w:name w:val="doc_title1"/>
    <w:basedOn w:val="53"/>
    <w:qFormat/>
    <w:uiPriority w:val="0"/>
    <w:rPr>
      <w:color w:val="333333"/>
      <w:sz w:val="30"/>
      <w:szCs w:val="30"/>
    </w:rPr>
  </w:style>
  <w:style w:type="character" w:customStyle="1" w:styleId="189">
    <w:name w:val="apple-converted-space"/>
    <w:basedOn w:val="53"/>
    <w:qFormat/>
    <w:uiPriority w:val="0"/>
  </w:style>
  <w:style w:type="character" w:customStyle="1" w:styleId="190">
    <w:name w:val="正文文本 2 Char"/>
    <w:basedOn w:val="53"/>
    <w:qFormat/>
    <w:uiPriority w:val="99"/>
    <w:rPr>
      <w:rFonts w:ascii="宋体" w:hAnsi="宋体"/>
      <w:spacing w:val="-12"/>
      <w:kern w:val="2"/>
      <w:sz w:val="24"/>
    </w:rPr>
  </w:style>
  <w:style w:type="character" w:customStyle="1" w:styleId="191">
    <w:name w:val="article_f141"/>
    <w:qFormat/>
    <w:uiPriority w:val="0"/>
    <w:rPr>
      <w:color w:val="000000"/>
      <w:sz w:val="21"/>
    </w:rPr>
  </w:style>
  <w:style w:type="character" w:customStyle="1" w:styleId="192">
    <w:name w:val="p1481"/>
    <w:qFormat/>
    <w:uiPriority w:val="0"/>
    <w:rPr>
      <w:color w:val="515151"/>
      <w:sz w:val="25"/>
    </w:rPr>
  </w:style>
  <w:style w:type="character" w:customStyle="1" w:styleId="193">
    <w:name w:val="px14"/>
    <w:basedOn w:val="53"/>
    <w:qFormat/>
    <w:uiPriority w:val="0"/>
  </w:style>
  <w:style w:type="character" w:customStyle="1" w:styleId="194">
    <w:name w:val="Default Char Char"/>
    <w:link w:val="109"/>
    <w:qFormat/>
    <w:uiPriority w:val="0"/>
    <w:rPr>
      <w:rFonts w:ascii="宋体" w:hAnsi="Times New Roman" w:eastAsia="宋体" w:cs="Times New Roman"/>
      <w:color w:val="000000"/>
      <w:sz w:val="24"/>
      <w:szCs w:val="24"/>
    </w:rPr>
  </w:style>
  <w:style w:type="character" w:customStyle="1" w:styleId="195">
    <w:name w:val="尾注文本 Char"/>
    <w:basedOn w:val="53"/>
    <w:qFormat/>
    <w:uiPriority w:val="99"/>
    <w:rPr>
      <w:kern w:val="2"/>
      <w:sz w:val="28"/>
    </w:rPr>
  </w:style>
  <w:style w:type="character" w:customStyle="1" w:styleId="196">
    <w:name w:val="标题 1 Char1"/>
    <w:qFormat/>
    <w:uiPriority w:val="0"/>
    <w:rPr>
      <w:b/>
      <w:kern w:val="44"/>
      <w:sz w:val="44"/>
    </w:rPr>
  </w:style>
  <w:style w:type="character" w:customStyle="1" w:styleId="197">
    <w:name w:val="批注主题 Char"/>
    <w:basedOn w:val="102"/>
    <w:qFormat/>
    <w:uiPriority w:val="99"/>
    <w:rPr>
      <w:b/>
      <w:bCs/>
      <w:kern w:val="2"/>
      <w:sz w:val="21"/>
      <w:szCs w:val="24"/>
    </w:rPr>
  </w:style>
  <w:style w:type="character" w:customStyle="1" w:styleId="198">
    <w:name w:val="个人撰写风格"/>
    <w:qFormat/>
    <w:uiPriority w:val="0"/>
    <w:rPr>
      <w:rFonts w:ascii="Arial" w:hAnsi="Arial" w:eastAsia="宋体"/>
      <w:color w:val="auto"/>
      <w:sz w:val="20"/>
    </w:rPr>
  </w:style>
  <w:style w:type="character" w:customStyle="1" w:styleId="199">
    <w:name w:val="个人答复风格"/>
    <w:qFormat/>
    <w:uiPriority w:val="0"/>
    <w:rPr>
      <w:rFonts w:ascii="Arial" w:hAnsi="Arial" w:eastAsia="宋体"/>
      <w:color w:val="auto"/>
      <w:sz w:val="20"/>
    </w:rPr>
  </w:style>
  <w:style w:type="character" w:customStyle="1" w:styleId="200">
    <w:name w:val="HTML 预设格式 Char"/>
    <w:basedOn w:val="53"/>
    <w:qFormat/>
    <w:uiPriority w:val="99"/>
    <w:rPr>
      <w:rFonts w:ascii="宋体" w:hAnsi="宋体"/>
      <w:sz w:val="24"/>
      <w:szCs w:val="24"/>
    </w:rPr>
  </w:style>
  <w:style w:type="character" w:customStyle="1" w:styleId="201">
    <w:name w:val="v151"/>
    <w:qFormat/>
    <w:uiPriority w:val="0"/>
    <w:rPr>
      <w:sz w:val="18"/>
    </w:rPr>
  </w:style>
  <w:style w:type="character" w:customStyle="1" w:styleId="202">
    <w:name w:val="p1"/>
    <w:basedOn w:val="53"/>
    <w:qFormat/>
    <w:uiPriority w:val="0"/>
  </w:style>
  <w:style w:type="character" w:customStyle="1" w:styleId="203">
    <w:name w:val="批注主题 Char1"/>
    <w:basedOn w:val="102"/>
    <w:semiHidden/>
    <w:qFormat/>
    <w:uiPriority w:val="99"/>
    <w:rPr>
      <w:b/>
      <w:bCs/>
      <w:kern w:val="2"/>
      <w:sz w:val="28"/>
      <w:szCs w:val="24"/>
    </w:rPr>
  </w:style>
  <w:style w:type="character" w:customStyle="1" w:styleId="204">
    <w:name w:val="fontwz1"/>
    <w:qFormat/>
    <w:uiPriority w:val="0"/>
    <w:rPr>
      <w:sz w:val="22"/>
    </w:rPr>
  </w:style>
  <w:style w:type="character" w:customStyle="1" w:styleId="205">
    <w:name w:val="blacktext"/>
    <w:basedOn w:val="53"/>
    <w:qFormat/>
    <w:uiPriority w:val="0"/>
  </w:style>
  <w:style w:type="character" w:customStyle="1" w:styleId="206">
    <w:name w:val="正文首行缩进 Char"/>
    <w:basedOn w:val="79"/>
    <w:qFormat/>
    <w:uiPriority w:val="0"/>
    <w:rPr>
      <w:kern w:val="2"/>
      <w:sz w:val="28"/>
      <w:szCs w:val="24"/>
    </w:rPr>
  </w:style>
  <w:style w:type="character" w:styleId="207">
    <w:name w:val="Placeholder Text"/>
    <w:basedOn w:val="53"/>
    <w:semiHidden/>
    <w:qFormat/>
    <w:uiPriority w:val="99"/>
    <w:rPr>
      <w:color w:val="808080"/>
    </w:rPr>
  </w:style>
  <w:style w:type="character" w:customStyle="1" w:styleId="208">
    <w:name w:val="正文文本 3 Char"/>
    <w:basedOn w:val="53"/>
    <w:link w:val="19"/>
    <w:qFormat/>
    <w:uiPriority w:val="0"/>
    <w:rPr>
      <w:rFonts w:ascii="宋体" w:hAnsi="宋体" w:eastAsia="宋体" w:cs="Times New Roman"/>
      <w:kern w:val="2"/>
      <w:sz w:val="24"/>
    </w:rPr>
  </w:style>
  <w:style w:type="paragraph" w:customStyle="1" w:styleId="209">
    <w:name w:val="Normal_41"/>
    <w:qFormat/>
    <w:uiPriority w:val="0"/>
    <w:pPr>
      <w:spacing w:before="120" w:after="240"/>
      <w:jc w:val="both"/>
    </w:pPr>
    <w:rPr>
      <w:rFonts w:ascii="Calibri" w:hAnsi="Calibri" w:eastAsia="Calibri" w:cs="Times New Roman"/>
      <w:sz w:val="22"/>
      <w:szCs w:val="22"/>
      <w:lang w:val="ru-RU" w:eastAsia="en-US" w:bidi="ar-SA"/>
    </w:rPr>
  </w:style>
  <w:style w:type="paragraph" w:customStyle="1" w:styleId="210">
    <w:name w:val="Normal_28"/>
    <w:qFormat/>
    <w:uiPriority w:val="0"/>
    <w:pPr>
      <w:spacing w:before="120" w:after="240"/>
      <w:jc w:val="both"/>
    </w:pPr>
    <w:rPr>
      <w:rFonts w:ascii="Calibri" w:hAnsi="Calibri" w:eastAsia="Calibri" w:cs="Times New Roman"/>
      <w:sz w:val="22"/>
      <w:szCs w:val="22"/>
      <w:lang w:val="ru-RU" w:eastAsia="en-US" w:bidi="ar-SA"/>
    </w:rPr>
  </w:style>
  <w:style w:type="paragraph" w:customStyle="1" w:styleId="211">
    <w:name w:val="Char3"/>
    <w:basedOn w:val="1"/>
    <w:qFormat/>
    <w:uiPriority w:val="0"/>
    <w:pPr>
      <w:widowControl/>
      <w:spacing w:after="160" w:line="240" w:lineRule="exact"/>
      <w:jc w:val="left"/>
    </w:pPr>
    <w:rPr>
      <w:rFonts w:ascii="Verdana" w:hAnsi="Verdana"/>
      <w:kern w:val="0"/>
      <w:sz w:val="20"/>
      <w:szCs w:val="20"/>
      <w:lang w:eastAsia="en-US"/>
    </w:rPr>
  </w:style>
  <w:style w:type="paragraph" w:customStyle="1" w:styleId="212">
    <w:name w:val="Normal_34"/>
    <w:qFormat/>
    <w:uiPriority w:val="0"/>
    <w:pPr>
      <w:spacing w:before="120" w:after="240"/>
      <w:jc w:val="both"/>
    </w:pPr>
    <w:rPr>
      <w:rFonts w:ascii="Calibri" w:hAnsi="Calibri" w:eastAsia="Calibri" w:cs="Times New Roman"/>
      <w:sz w:val="22"/>
      <w:szCs w:val="22"/>
      <w:lang w:val="ru-RU" w:eastAsia="en-US" w:bidi="ar-SA"/>
    </w:rPr>
  </w:style>
  <w:style w:type="paragraph" w:customStyle="1" w:styleId="213">
    <w:name w:val="Normal_38"/>
    <w:qFormat/>
    <w:uiPriority w:val="0"/>
    <w:pPr>
      <w:spacing w:before="120" w:after="240"/>
      <w:jc w:val="both"/>
    </w:pPr>
    <w:rPr>
      <w:rFonts w:ascii="Calibri" w:hAnsi="Calibri" w:eastAsia="Calibri" w:cs="Times New Roman"/>
      <w:sz w:val="22"/>
      <w:szCs w:val="22"/>
      <w:lang w:val="ru-RU" w:eastAsia="en-US" w:bidi="ar-SA"/>
    </w:rPr>
  </w:style>
  <w:style w:type="character" w:customStyle="1" w:styleId="214">
    <w:name w:val="批注主题 Char2"/>
    <w:basedOn w:val="125"/>
    <w:link w:val="48"/>
    <w:semiHidden/>
    <w:qFormat/>
    <w:uiPriority w:val="99"/>
    <w:rPr>
      <w:rFonts w:ascii="Times New Roman" w:hAnsi="Times New Roman" w:eastAsia="宋体" w:cs="Times New Roman"/>
      <w:b/>
      <w:bCs/>
      <w:kern w:val="2"/>
      <w:sz w:val="21"/>
      <w:szCs w:val="24"/>
    </w:rPr>
  </w:style>
  <w:style w:type="paragraph" w:customStyle="1" w:styleId="215">
    <w:name w:val="正文 New New New New New New New New New New New New New New New New New New New New New New New New New New New New"/>
    <w:basedOn w:val="1"/>
    <w:qFormat/>
    <w:uiPriority w:val="0"/>
    <w:rPr>
      <w:rFonts w:ascii="Calibri" w:hAnsi="Calibri"/>
      <w:color w:val="000000"/>
      <w:szCs w:val="22"/>
    </w:rPr>
  </w:style>
  <w:style w:type="character" w:customStyle="1" w:styleId="216">
    <w:name w:val="正文首行缩进 Char1"/>
    <w:basedOn w:val="112"/>
    <w:link w:val="49"/>
    <w:semiHidden/>
    <w:qFormat/>
    <w:uiPriority w:val="99"/>
    <w:rPr>
      <w:rFonts w:ascii="Times New Roman" w:hAnsi="Times New Roman" w:eastAsia="宋体" w:cs="Times New Roman"/>
      <w:kern w:val="2"/>
      <w:sz w:val="21"/>
      <w:szCs w:val="24"/>
    </w:rPr>
  </w:style>
  <w:style w:type="paragraph" w:customStyle="1" w:styleId="217">
    <w:name w:val="Normal_49"/>
    <w:qFormat/>
    <w:uiPriority w:val="0"/>
    <w:pPr>
      <w:spacing w:before="120" w:after="240"/>
      <w:jc w:val="both"/>
    </w:pPr>
    <w:rPr>
      <w:rFonts w:ascii="Calibri" w:hAnsi="Calibri" w:eastAsia="Calibri" w:cs="Times New Roman"/>
      <w:sz w:val="22"/>
      <w:szCs w:val="22"/>
      <w:lang w:val="ru-RU" w:eastAsia="en-US" w:bidi="ar-SA"/>
    </w:rPr>
  </w:style>
  <w:style w:type="paragraph" w:customStyle="1" w:styleId="218">
    <w:name w:val="首行缩进"/>
    <w:basedOn w:val="1"/>
    <w:qFormat/>
    <w:uiPriority w:val="0"/>
    <w:pPr>
      <w:spacing w:line="360" w:lineRule="auto"/>
      <w:ind w:left="210" w:leftChars="100" w:firstLine="420" w:firstLineChars="200"/>
    </w:pPr>
    <w:rPr>
      <w:rFonts w:ascii="宋体" w:hAnsi="宋体"/>
      <w:szCs w:val="20"/>
    </w:rPr>
  </w:style>
  <w:style w:type="paragraph" w:customStyle="1" w:styleId="219">
    <w:name w:val="TOC 标题2"/>
    <w:basedOn w:val="2"/>
    <w:next w:val="1"/>
    <w:qFormat/>
    <w:uiPriority w:val="39"/>
    <w:pPr>
      <w:widowControl/>
      <w:spacing w:before="480" w:after="0" w:line="276" w:lineRule="auto"/>
      <w:jc w:val="left"/>
      <w:outlineLvl w:val="9"/>
    </w:pPr>
    <w:rPr>
      <w:rFonts w:ascii="Cambria" w:hAnsi="Cambria" w:eastAsia="宋体"/>
      <w:bCs/>
      <w:color w:val="365F91"/>
      <w:kern w:val="0"/>
      <w:sz w:val="28"/>
      <w:szCs w:val="28"/>
    </w:rPr>
  </w:style>
  <w:style w:type="paragraph" w:customStyle="1" w:styleId="220">
    <w:name w:val="正文文字3"/>
    <w:basedOn w:val="20"/>
    <w:qFormat/>
    <w:uiPriority w:val="0"/>
    <w:pPr>
      <w:adjustRightInd w:val="0"/>
      <w:spacing w:line="360" w:lineRule="atLeast"/>
      <w:ind w:left="30" w:leftChars="30" w:right="30" w:rightChars="30"/>
      <w:textAlignment w:val="baseline"/>
    </w:pPr>
    <w:rPr>
      <w:rFonts w:ascii="Calibri" w:hAnsi="Calibri" w:eastAsia="宋体" w:cs="Times New Roman"/>
      <w:kern w:val="0"/>
      <w:sz w:val="21"/>
      <w:szCs w:val="20"/>
    </w:rPr>
  </w:style>
  <w:style w:type="paragraph" w:customStyle="1" w:styleId="221">
    <w:name w:val="样式 标题 3Heading 3 - oldlevel_3PIM 3H3Level 3 Headl3CTprop...1"/>
    <w:basedOn w:val="4"/>
    <w:qFormat/>
    <w:uiPriority w:val="0"/>
    <w:pPr>
      <w:tabs>
        <w:tab w:val="clear" w:pos="5852"/>
      </w:tabs>
      <w:snapToGrid/>
      <w:spacing w:before="120" w:after="120" w:line="413" w:lineRule="auto"/>
      <w:ind w:left="0" w:firstLine="723" w:firstLineChars="200"/>
      <w:jc w:val="center"/>
    </w:pPr>
    <w:rPr>
      <w:rFonts w:eastAsia="黑体"/>
      <w:color w:val="000000"/>
      <w:sz w:val="36"/>
    </w:rPr>
  </w:style>
  <w:style w:type="paragraph" w:customStyle="1" w:styleId="222">
    <w:name w:val="Normal_35"/>
    <w:qFormat/>
    <w:uiPriority w:val="0"/>
    <w:pPr>
      <w:spacing w:before="120" w:after="240"/>
      <w:jc w:val="both"/>
    </w:pPr>
    <w:rPr>
      <w:rFonts w:ascii="Calibri" w:hAnsi="Calibri" w:eastAsia="Calibri" w:cs="Times New Roman"/>
      <w:sz w:val="22"/>
      <w:szCs w:val="22"/>
      <w:lang w:val="ru-RU" w:eastAsia="en-US" w:bidi="ar-SA"/>
    </w:rPr>
  </w:style>
  <w:style w:type="paragraph" w:customStyle="1" w:styleId="223">
    <w:name w:val="Normal_33"/>
    <w:qFormat/>
    <w:uiPriority w:val="0"/>
    <w:pPr>
      <w:spacing w:before="120" w:after="240"/>
      <w:jc w:val="both"/>
    </w:pPr>
    <w:rPr>
      <w:rFonts w:ascii="Calibri" w:hAnsi="Calibri" w:eastAsia="Calibri" w:cs="Times New Roman"/>
      <w:sz w:val="22"/>
      <w:szCs w:val="22"/>
      <w:lang w:val="ru-RU" w:eastAsia="en-US" w:bidi="ar-SA"/>
    </w:rPr>
  </w:style>
  <w:style w:type="paragraph" w:customStyle="1" w:styleId="224">
    <w:name w:val="4.a."/>
    <w:basedOn w:val="1"/>
    <w:qFormat/>
    <w:uiPriority w:val="0"/>
    <w:pPr>
      <w:adjustRightInd w:val="0"/>
      <w:snapToGrid w:val="0"/>
      <w:spacing w:beforeLines="20" w:afterLines="20" w:line="300" w:lineRule="auto"/>
      <w:ind w:left="2898" w:leftChars="1114" w:hanging="224" w:hangingChars="80"/>
      <w:jc w:val="left"/>
    </w:pPr>
    <w:rPr>
      <w:rFonts w:eastAsia="DFKai-SB"/>
      <w:sz w:val="28"/>
      <w:szCs w:val="20"/>
      <w:lang w:eastAsia="zh-TW"/>
    </w:rPr>
  </w:style>
  <w:style w:type="paragraph" w:customStyle="1" w:styleId="225">
    <w:name w:val="Char Char Char2 Char"/>
    <w:basedOn w:val="1"/>
    <w:qFormat/>
    <w:uiPriority w:val="0"/>
    <w:pPr>
      <w:widowControl/>
      <w:jc w:val="left"/>
    </w:pPr>
    <w:rPr>
      <w:kern w:val="0"/>
      <w:sz w:val="20"/>
      <w:szCs w:val="20"/>
    </w:rPr>
  </w:style>
  <w:style w:type="character" w:customStyle="1" w:styleId="226">
    <w:name w:val="尾注文本 Char1"/>
    <w:basedOn w:val="53"/>
    <w:link w:val="30"/>
    <w:semiHidden/>
    <w:qFormat/>
    <w:uiPriority w:val="99"/>
    <w:rPr>
      <w:rFonts w:ascii="Times New Roman" w:hAnsi="Times New Roman" w:eastAsia="宋体" w:cs="Times New Roman"/>
      <w:kern w:val="2"/>
      <w:sz w:val="21"/>
      <w:szCs w:val="24"/>
    </w:rPr>
  </w:style>
  <w:style w:type="paragraph" w:customStyle="1" w:styleId="227">
    <w:name w:val="_Style 3"/>
    <w:basedOn w:val="1"/>
    <w:qFormat/>
    <w:uiPriority w:val="0"/>
    <w:pPr>
      <w:ind w:firstLine="420" w:firstLineChars="200"/>
    </w:pPr>
    <w:rPr>
      <w:rFonts w:ascii="Calibri" w:hAnsi="Calibri"/>
    </w:rPr>
  </w:style>
  <w:style w:type="character" w:customStyle="1" w:styleId="228">
    <w:name w:val="HTML 预设格式 Char2"/>
    <w:basedOn w:val="53"/>
    <w:link w:val="45"/>
    <w:semiHidden/>
    <w:qFormat/>
    <w:uiPriority w:val="99"/>
    <w:rPr>
      <w:rFonts w:ascii="Courier New" w:hAnsi="Courier New" w:eastAsia="宋体" w:cs="Courier New"/>
      <w:kern w:val="2"/>
    </w:rPr>
  </w:style>
  <w:style w:type="character" w:customStyle="1" w:styleId="229">
    <w:name w:val="正文文本 2 Char1"/>
    <w:basedOn w:val="53"/>
    <w:link w:val="44"/>
    <w:semiHidden/>
    <w:qFormat/>
    <w:uiPriority w:val="99"/>
    <w:rPr>
      <w:rFonts w:ascii="Times New Roman" w:hAnsi="Times New Roman" w:eastAsia="宋体" w:cs="Times New Roman"/>
      <w:kern w:val="2"/>
      <w:sz w:val="21"/>
      <w:szCs w:val="24"/>
    </w:rPr>
  </w:style>
  <w:style w:type="paragraph" w:customStyle="1" w:styleId="230">
    <w:name w:val="正文首行缩进1"/>
    <w:basedOn w:val="1"/>
    <w:next w:val="1"/>
    <w:qFormat/>
    <w:uiPriority w:val="0"/>
    <w:pPr>
      <w:widowControl/>
      <w:spacing w:line="360" w:lineRule="auto"/>
      <w:ind w:firstLine="567"/>
      <w:jc w:val="left"/>
    </w:pPr>
    <w:rPr>
      <w:rFonts w:ascii="宋体" w:hAnsi="宋体"/>
      <w:kern w:val="0"/>
      <w:sz w:val="28"/>
    </w:rPr>
  </w:style>
  <w:style w:type="paragraph" w:customStyle="1" w:styleId="231">
    <w:name w:val="Char Char Char Char2"/>
    <w:basedOn w:val="1"/>
    <w:qFormat/>
    <w:uiPriority w:val="0"/>
    <w:rPr>
      <w:rFonts w:ascii="Tahoma" w:hAnsi="Tahoma"/>
      <w:sz w:val="24"/>
      <w:szCs w:val="20"/>
    </w:rPr>
  </w:style>
  <w:style w:type="paragraph" w:customStyle="1" w:styleId="232">
    <w:name w:val="正文 New New New New New New New New New New New New New New New New New New New New New New New New New New New New New New New"/>
    <w:basedOn w:val="1"/>
    <w:qFormat/>
    <w:uiPriority w:val="0"/>
    <w:rPr>
      <w:rFonts w:ascii="Calibri" w:hAnsi="Calibri"/>
      <w:szCs w:val="21"/>
    </w:rPr>
  </w:style>
  <w:style w:type="paragraph" w:customStyle="1" w:styleId="233">
    <w:name w:val="系统正文"/>
    <w:basedOn w:val="1"/>
    <w:qFormat/>
    <w:uiPriority w:val="0"/>
    <w:pPr>
      <w:spacing w:line="420" w:lineRule="exact"/>
      <w:ind w:firstLine="420" w:firstLineChars="200"/>
    </w:pPr>
    <w:rPr>
      <w:rFonts w:ascii="宋体" w:hAnsi="宋体" w:cs="宋体"/>
      <w:szCs w:val="21"/>
    </w:rPr>
  </w:style>
  <w:style w:type="paragraph" w:customStyle="1" w:styleId="234">
    <w:name w:val="系统一级标题"/>
    <w:basedOn w:val="233"/>
    <w:qFormat/>
    <w:uiPriority w:val="0"/>
    <w:pPr>
      <w:spacing w:line="480" w:lineRule="auto"/>
      <w:ind w:firstLine="0" w:firstLineChars="0"/>
    </w:pPr>
    <w:rPr>
      <w:rFonts w:ascii="隶书" w:eastAsia="隶书"/>
      <w:sz w:val="28"/>
      <w:szCs w:val="28"/>
    </w:rPr>
  </w:style>
  <w:style w:type="paragraph" w:customStyle="1" w:styleId="235">
    <w:name w:val="正文1"/>
    <w:basedOn w:val="1"/>
    <w:qFormat/>
    <w:uiPriority w:val="0"/>
    <w:pPr>
      <w:widowControl/>
      <w:overflowPunct w:val="0"/>
      <w:autoSpaceDE w:val="0"/>
      <w:autoSpaceDN w:val="0"/>
      <w:adjustRightInd w:val="0"/>
      <w:spacing w:line="400" w:lineRule="exact"/>
      <w:textAlignment w:val="baseline"/>
    </w:pPr>
    <w:rPr>
      <w:rFonts w:ascii="宋体"/>
      <w:kern w:val="0"/>
      <w:sz w:val="24"/>
      <w:szCs w:val="20"/>
    </w:rPr>
  </w:style>
  <w:style w:type="paragraph" w:customStyle="1" w:styleId="236">
    <w:name w:val="p16"/>
    <w:qFormat/>
    <w:uiPriority w:val="0"/>
    <w:pPr>
      <w:jc w:val="both"/>
    </w:pPr>
    <w:rPr>
      <w:rFonts w:ascii="宋体" w:hAnsi="宋体" w:eastAsia="宋体" w:cs="宋体"/>
      <w:color w:val="000000"/>
      <w:sz w:val="21"/>
      <w:szCs w:val="22"/>
      <w:lang w:val="en-US" w:eastAsia="zh-CN" w:bidi="ar-SA"/>
    </w:rPr>
  </w:style>
  <w:style w:type="paragraph" w:customStyle="1" w:styleId="237">
    <w:name w:val="题注5"/>
    <w:basedOn w:val="1"/>
    <w:next w:val="15"/>
    <w:qFormat/>
    <w:uiPriority w:val="0"/>
    <w:pPr>
      <w:jc w:val="center"/>
    </w:pPr>
    <w:rPr>
      <w:b/>
      <w:color w:val="000000"/>
      <w:sz w:val="24"/>
      <w:szCs w:val="21"/>
    </w:rPr>
  </w:style>
  <w:style w:type="paragraph" w:customStyle="1" w:styleId="238">
    <w:name w:val="Normal_43"/>
    <w:qFormat/>
    <w:uiPriority w:val="0"/>
    <w:pPr>
      <w:spacing w:before="120" w:after="240"/>
      <w:jc w:val="both"/>
    </w:pPr>
    <w:rPr>
      <w:rFonts w:ascii="Calibri" w:hAnsi="Calibri" w:eastAsia="Calibri" w:cs="Times New Roman"/>
      <w:sz w:val="22"/>
      <w:szCs w:val="22"/>
      <w:lang w:val="ru-RU" w:eastAsia="en-US" w:bidi="ar-SA"/>
    </w:rPr>
  </w:style>
  <w:style w:type="paragraph" w:customStyle="1" w:styleId="239">
    <w:name w:val="Normal_15"/>
    <w:qFormat/>
    <w:uiPriority w:val="0"/>
    <w:pPr>
      <w:spacing w:before="120" w:after="240"/>
      <w:jc w:val="both"/>
    </w:pPr>
    <w:rPr>
      <w:rFonts w:ascii="Calibri" w:hAnsi="Calibri" w:eastAsia="Calibri" w:cs="Times New Roman"/>
      <w:sz w:val="22"/>
      <w:szCs w:val="22"/>
      <w:lang w:val="ru-RU" w:eastAsia="en-US" w:bidi="ar-SA"/>
    </w:rPr>
  </w:style>
  <w:style w:type="paragraph" w:customStyle="1" w:styleId="240">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241">
    <w:name w:val="Normal_42"/>
    <w:qFormat/>
    <w:uiPriority w:val="0"/>
    <w:pPr>
      <w:spacing w:before="120" w:after="240"/>
      <w:jc w:val="both"/>
    </w:pPr>
    <w:rPr>
      <w:rFonts w:ascii="Calibri" w:hAnsi="Calibri" w:eastAsia="Calibri" w:cs="Times New Roman"/>
      <w:sz w:val="22"/>
      <w:szCs w:val="22"/>
      <w:lang w:val="ru-RU" w:eastAsia="en-US" w:bidi="ar-SA"/>
    </w:rPr>
  </w:style>
  <w:style w:type="paragraph" w:customStyle="1" w:styleId="242">
    <w:name w:val="电子编码"/>
    <w:basedOn w:val="1"/>
    <w:qFormat/>
    <w:uiPriority w:val="0"/>
    <w:pPr>
      <w:autoSpaceDE w:val="0"/>
      <w:autoSpaceDN w:val="0"/>
      <w:adjustRightInd w:val="0"/>
      <w:spacing w:before="170" w:after="170" w:line="360" w:lineRule="auto"/>
    </w:pPr>
    <w:rPr>
      <w:rFonts w:ascii="幼圆" w:hAnsi="宋体" w:eastAsia="幼圆" w:cs="宋体"/>
      <w:b/>
      <w:bCs/>
      <w:color w:val="000000"/>
      <w:kern w:val="0"/>
      <w:sz w:val="22"/>
      <w:szCs w:val="22"/>
    </w:rPr>
  </w:style>
  <w:style w:type="paragraph" w:customStyle="1" w:styleId="243">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44">
    <w:name w:val="修订1"/>
    <w:semiHidden/>
    <w:qFormat/>
    <w:uiPriority w:val="99"/>
    <w:rPr>
      <w:rFonts w:ascii="Times New Roman" w:hAnsi="Times New Roman" w:eastAsia="宋体" w:cs="Times New Roman"/>
      <w:kern w:val="2"/>
      <w:sz w:val="28"/>
      <w:lang w:val="en-US" w:eastAsia="zh-CN" w:bidi="ar-SA"/>
    </w:rPr>
  </w:style>
  <w:style w:type="paragraph" w:customStyle="1" w:styleId="245">
    <w:name w:val="p0"/>
    <w:basedOn w:val="1"/>
    <w:qFormat/>
    <w:uiPriority w:val="0"/>
    <w:pPr>
      <w:widowControl/>
    </w:pPr>
    <w:rPr>
      <w:rFonts w:ascii="Calibri" w:hAnsi="Calibri"/>
      <w:kern w:val="0"/>
      <w:szCs w:val="21"/>
    </w:rPr>
  </w:style>
  <w:style w:type="paragraph" w:customStyle="1" w:styleId="246">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4"/>
      <w:szCs w:val="22"/>
    </w:rPr>
  </w:style>
  <w:style w:type="paragraph" w:customStyle="1" w:styleId="247">
    <w:name w:val="normalweb"/>
    <w:basedOn w:val="1"/>
    <w:qFormat/>
    <w:uiPriority w:val="0"/>
    <w:pPr>
      <w:widowControl/>
      <w:jc w:val="left"/>
    </w:pPr>
    <w:rPr>
      <w:rFonts w:ascii="宋体" w:hAnsi="宋体" w:cs="宋体"/>
      <w:color w:val="787878"/>
      <w:kern w:val="0"/>
      <w:sz w:val="18"/>
      <w:szCs w:val="18"/>
    </w:rPr>
  </w:style>
  <w:style w:type="paragraph" w:customStyle="1" w:styleId="248">
    <w:name w:val="Normal_29"/>
    <w:qFormat/>
    <w:uiPriority w:val="0"/>
    <w:pPr>
      <w:spacing w:before="120" w:after="240"/>
      <w:jc w:val="both"/>
    </w:pPr>
    <w:rPr>
      <w:rFonts w:ascii="Calibri" w:hAnsi="Calibri" w:eastAsia="Calibri" w:cs="Times New Roman"/>
      <w:sz w:val="22"/>
      <w:szCs w:val="22"/>
      <w:lang w:val="ru-RU" w:eastAsia="en-US" w:bidi="ar-SA"/>
    </w:rPr>
  </w:style>
  <w:style w:type="paragraph" w:customStyle="1" w:styleId="249">
    <w:name w:val="Normal_27"/>
    <w:qFormat/>
    <w:uiPriority w:val="0"/>
    <w:pPr>
      <w:spacing w:before="120" w:after="240"/>
      <w:jc w:val="both"/>
    </w:pPr>
    <w:rPr>
      <w:rFonts w:ascii="Calibri" w:hAnsi="Calibri" w:eastAsia="Calibri" w:cs="Times New Roman"/>
      <w:sz w:val="22"/>
      <w:szCs w:val="22"/>
      <w:lang w:val="ru-RU" w:eastAsia="en-US" w:bidi="ar-SA"/>
    </w:rPr>
  </w:style>
  <w:style w:type="paragraph" w:customStyle="1" w:styleId="250">
    <w:name w:val="Normal_44"/>
    <w:qFormat/>
    <w:uiPriority w:val="0"/>
    <w:pPr>
      <w:spacing w:before="120" w:after="240"/>
      <w:jc w:val="both"/>
    </w:pPr>
    <w:rPr>
      <w:rFonts w:ascii="Calibri" w:hAnsi="Calibri" w:eastAsia="Calibri" w:cs="Times New Roman"/>
      <w:sz w:val="22"/>
      <w:szCs w:val="22"/>
      <w:lang w:val="ru-RU" w:eastAsia="en-US" w:bidi="ar-SA"/>
    </w:rPr>
  </w:style>
  <w:style w:type="paragraph" w:customStyle="1" w:styleId="251">
    <w:name w:val="Normal_32"/>
    <w:qFormat/>
    <w:uiPriority w:val="0"/>
    <w:pPr>
      <w:spacing w:before="120" w:after="240"/>
      <w:jc w:val="both"/>
    </w:pPr>
    <w:rPr>
      <w:rFonts w:ascii="Calibri" w:hAnsi="Calibri" w:eastAsia="Calibri" w:cs="Times New Roman"/>
      <w:sz w:val="22"/>
      <w:szCs w:val="22"/>
      <w:lang w:val="ru-RU" w:eastAsia="en-US" w:bidi="ar-SA"/>
    </w:rPr>
  </w:style>
  <w:style w:type="paragraph" w:customStyle="1" w:styleId="252">
    <w:name w:val="附录标识"/>
    <w:basedOn w:val="1"/>
    <w:next w:val="1"/>
    <w:qFormat/>
    <w:uiPriority w:val="0"/>
    <w:pPr>
      <w:keepNext/>
      <w:widowControl/>
      <w:numPr>
        <w:ilvl w:val="0"/>
        <w:numId w:val="1"/>
      </w:numPr>
      <w:shd w:val="clear" w:color="auto" w:fill="FFFFFF"/>
      <w:tabs>
        <w:tab w:val="left" w:pos="6405"/>
      </w:tabs>
      <w:spacing w:before="640" w:after="280"/>
      <w:jc w:val="center"/>
      <w:outlineLvl w:val="0"/>
    </w:pPr>
    <w:rPr>
      <w:rFonts w:ascii="黑体" w:eastAsia="黑体"/>
      <w:kern w:val="0"/>
      <w:szCs w:val="20"/>
    </w:rPr>
  </w:style>
  <w:style w:type="paragraph" w:customStyle="1" w:styleId="253">
    <w:name w:val="Normal_39"/>
    <w:qFormat/>
    <w:uiPriority w:val="0"/>
    <w:pPr>
      <w:spacing w:before="120" w:after="240"/>
      <w:jc w:val="both"/>
    </w:pPr>
    <w:rPr>
      <w:rFonts w:ascii="Calibri" w:hAnsi="Calibri" w:eastAsia="Calibri" w:cs="Times New Roman"/>
      <w:sz w:val="22"/>
      <w:szCs w:val="22"/>
      <w:lang w:val="ru-RU" w:eastAsia="en-US" w:bidi="ar-SA"/>
    </w:rPr>
  </w:style>
  <w:style w:type="paragraph" w:customStyle="1" w:styleId="254">
    <w:name w:val="Normal_12"/>
    <w:qFormat/>
    <w:uiPriority w:val="0"/>
    <w:pPr>
      <w:spacing w:before="120" w:after="240"/>
      <w:jc w:val="both"/>
    </w:pPr>
    <w:rPr>
      <w:rFonts w:ascii="Calibri" w:hAnsi="Calibri" w:eastAsia="Calibri" w:cs="Times New Roman"/>
      <w:sz w:val="22"/>
      <w:szCs w:val="22"/>
      <w:lang w:val="ru-RU" w:eastAsia="en-US" w:bidi="ar-SA"/>
    </w:rPr>
  </w:style>
  <w:style w:type="paragraph" w:customStyle="1" w:styleId="255">
    <w:name w:val="Char Char Char Char1"/>
    <w:basedOn w:val="1"/>
    <w:qFormat/>
    <w:uiPriority w:val="0"/>
    <w:rPr>
      <w:rFonts w:ascii="Tahoma" w:hAnsi="Tahoma"/>
      <w:sz w:val="24"/>
      <w:szCs w:val="20"/>
    </w:rPr>
  </w:style>
  <w:style w:type="paragraph" w:customStyle="1" w:styleId="256">
    <w:name w:val="正文非缩进"/>
    <w:basedOn w:val="1"/>
    <w:next w:val="26"/>
    <w:qFormat/>
    <w:uiPriority w:val="0"/>
    <w:rPr>
      <w:rFonts w:ascii="宋体" w:hAnsi="Courier New"/>
      <w:szCs w:val="20"/>
    </w:rPr>
  </w:style>
  <w:style w:type="paragraph" w:customStyle="1" w:styleId="257">
    <w:name w:val="_Style 8"/>
    <w:basedOn w:val="1"/>
    <w:qFormat/>
    <w:uiPriority w:val="34"/>
    <w:pPr>
      <w:ind w:firstLine="420" w:firstLineChars="200"/>
    </w:pPr>
    <w:rPr>
      <w:color w:val="000000"/>
      <w:kern w:val="0"/>
    </w:rPr>
  </w:style>
  <w:style w:type="paragraph" w:customStyle="1" w:styleId="258">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Cs w:val="20"/>
    </w:rPr>
  </w:style>
  <w:style w:type="paragraph" w:customStyle="1" w:styleId="259">
    <w:name w:val="Table Text"/>
    <w:qFormat/>
    <w:uiPriority w:val="0"/>
    <w:pPr>
      <w:snapToGrid w:val="0"/>
      <w:spacing w:before="80" w:after="80"/>
    </w:pPr>
    <w:rPr>
      <w:rFonts w:ascii="Arial" w:hAnsi="Arial" w:eastAsia="宋体" w:cs="Times New Roman"/>
      <w:sz w:val="18"/>
      <w:lang w:val="en-US" w:eastAsia="en-US" w:bidi="ar-SA"/>
    </w:rPr>
  </w:style>
  <w:style w:type="paragraph" w:customStyle="1" w:styleId="260">
    <w:name w:val="+列表1"/>
    <w:basedOn w:val="1"/>
    <w:qFormat/>
    <w:uiPriority w:val="0"/>
    <w:pPr>
      <w:jc w:val="center"/>
    </w:pPr>
  </w:style>
  <w:style w:type="paragraph" w:customStyle="1" w:styleId="261">
    <w:name w:val="Normal_46"/>
    <w:qFormat/>
    <w:uiPriority w:val="0"/>
    <w:pPr>
      <w:spacing w:before="120" w:after="240"/>
      <w:jc w:val="both"/>
    </w:pPr>
    <w:rPr>
      <w:rFonts w:ascii="Calibri" w:hAnsi="Calibri" w:eastAsia="Calibri" w:cs="Times New Roman"/>
      <w:sz w:val="22"/>
      <w:szCs w:val="22"/>
      <w:lang w:val="ru-RU" w:eastAsia="en-US" w:bidi="ar-SA"/>
    </w:rPr>
  </w:style>
  <w:style w:type="paragraph" w:customStyle="1" w:styleId="262">
    <w:name w:val="列出段落2"/>
    <w:basedOn w:val="1"/>
    <w:qFormat/>
    <w:uiPriority w:val="99"/>
    <w:pPr>
      <w:ind w:firstLine="420" w:firstLineChars="200"/>
    </w:pPr>
    <w:rPr>
      <w:szCs w:val="22"/>
    </w:rPr>
  </w:style>
  <w:style w:type="paragraph" w:customStyle="1" w:styleId="263">
    <w:name w:val="图文框正文"/>
    <w:basedOn w:val="1"/>
    <w:qFormat/>
    <w:uiPriority w:val="0"/>
    <w:pPr>
      <w:widowControl/>
      <w:spacing w:line="260" w:lineRule="exact"/>
      <w:jc w:val="center"/>
    </w:pPr>
    <w:rPr>
      <w:rFonts w:ascii="宋体" w:hAnsi="宋体"/>
      <w:kern w:val="0"/>
      <w:sz w:val="24"/>
    </w:rPr>
  </w:style>
  <w:style w:type="paragraph" w:customStyle="1" w:styleId="264">
    <w:name w:val="Fließtext"/>
    <w:basedOn w:val="1"/>
    <w:qFormat/>
    <w:uiPriority w:val="0"/>
    <w:pPr>
      <w:overflowPunct w:val="0"/>
      <w:autoSpaceDE w:val="0"/>
      <w:autoSpaceDN w:val="0"/>
      <w:adjustRightInd w:val="0"/>
      <w:textAlignment w:val="baseline"/>
    </w:pPr>
    <w:rPr>
      <w:rFonts w:ascii="Calibri" w:hAnsi="Calibri"/>
      <w:kern w:val="28"/>
      <w:szCs w:val="20"/>
    </w:rPr>
  </w:style>
  <w:style w:type="paragraph" w:customStyle="1" w:styleId="265">
    <w:name w:val="正文_233_20"/>
    <w:basedOn w:val="1"/>
    <w:qFormat/>
    <w:uiPriority w:val="0"/>
    <w:rPr>
      <w:rFonts w:hint="eastAsia"/>
    </w:rPr>
  </w:style>
  <w:style w:type="paragraph" w:customStyle="1" w:styleId="266">
    <w:name w:val="Normal_37"/>
    <w:qFormat/>
    <w:uiPriority w:val="0"/>
    <w:pPr>
      <w:spacing w:before="120" w:after="240"/>
      <w:jc w:val="both"/>
    </w:pPr>
    <w:rPr>
      <w:rFonts w:ascii="Calibri" w:hAnsi="Calibri" w:eastAsia="Calibri" w:cs="Times New Roman"/>
      <w:sz w:val="22"/>
      <w:szCs w:val="22"/>
      <w:lang w:val="ru-RU" w:eastAsia="en-US" w:bidi="ar-SA"/>
    </w:rPr>
  </w:style>
  <w:style w:type="paragraph" w:customStyle="1" w:styleId="267">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68">
    <w:name w:val="正文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69">
    <w:name w:val="TOC 标题21"/>
    <w:basedOn w:val="2"/>
    <w:next w:val="1"/>
    <w:unhideWhenUsed/>
    <w:qFormat/>
    <w:uiPriority w:val="39"/>
    <w:pPr>
      <w:widowControl/>
      <w:spacing w:before="240" w:after="0" w:line="259" w:lineRule="auto"/>
      <w:jc w:val="left"/>
      <w:outlineLvl w:val="9"/>
    </w:pPr>
    <w:rPr>
      <w:rFonts w:ascii="Cambria" w:hAnsi="Cambria" w:eastAsia="宋体"/>
      <w:b w:val="0"/>
      <w:color w:val="365F91"/>
      <w:kern w:val="0"/>
      <w:sz w:val="32"/>
      <w:szCs w:val="32"/>
    </w:rPr>
  </w:style>
  <w:style w:type="paragraph" w:customStyle="1" w:styleId="270">
    <w:name w:val="纯文本1"/>
    <w:basedOn w:val="1"/>
    <w:qFormat/>
    <w:uiPriority w:val="0"/>
    <w:pPr>
      <w:adjustRightInd w:val="0"/>
      <w:textAlignment w:val="baseline"/>
    </w:pPr>
    <w:rPr>
      <w:rFonts w:ascii="宋体"/>
      <w:color w:val="000000"/>
      <w:kern w:val="0"/>
      <w:sz w:val="28"/>
    </w:rPr>
  </w:style>
  <w:style w:type="table" w:customStyle="1" w:styleId="271">
    <w:name w:val="浅色底纹 - 强调文字颜色 12"/>
    <w:basedOn w:val="51"/>
    <w:qFormat/>
    <w:uiPriority w:val="60"/>
    <w:rPr>
      <w:rFonts w:ascii="Calibri" w:hAnsi="Calibri" w:eastAsia="微软雅黑"/>
      <w:color w:val="365F91"/>
      <w:sz w:val="22"/>
      <w:szCs w:val="22"/>
    </w:rPr>
    <w:tblPr>
      <w:tblBorders>
        <w:top w:val="single" w:color="4F81BD" w:sz="8" w:space="0"/>
        <w:bottom w:val="single" w:color="4F81BD" w:sz="8" w:space="0"/>
      </w:tblBorders>
      <w:tblCellMar>
        <w:top w:w="0" w:type="dxa"/>
        <w:left w:w="108" w:type="dxa"/>
        <w:bottom w:w="0" w:type="dxa"/>
        <w:right w:w="108" w:type="dxa"/>
      </w:tblCellMar>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272">
    <w:name w:val="浅色底纹 - 强调文字颜色 11"/>
    <w:basedOn w:val="51"/>
    <w:qFormat/>
    <w:uiPriority w:val="60"/>
    <w:rPr>
      <w:rFonts w:ascii="Calibri" w:hAnsi="Calibri"/>
      <w:color w:val="365F91"/>
    </w:rPr>
    <w:tblPr>
      <w:tblBorders>
        <w:top w:val="single" w:color="4F81BD" w:sz="8" w:space="0"/>
        <w:bottom w:val="single" w:color="4F81BD" w:sz="8" w:space="0"/>
      </w:tblBorders>
      <w:tblCellMar>
        <w:top w:w="0" w:type="dxa"/>
        <w:left w:w="108" w:type="dxa"/>
        <w:bottom w:w="0" w:type="dxa"/>
        <w:right w:w="108" w:type="dxa"/>
      </w:tblCellMar>
    </w:tblPr>
    <w:tblStylePr w:type="fir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lastRow">
      <w:pPr>
        <w:spacing w:before="0" w:after="0" w:line="240" w:lineRule="auto"/>
      </w:pPr>
      <w:rPr>
        <w:b/>
        <w:bCs/>
      </w:rPr>
      <w:tcPr>
        <w:tcBorders>
          <w:top w:val="single" w:color="4F81BD" w:sz="8" w:space="0"/>
          <w:left w:val="nil"/>
          <w:bottom w:val="single" w:color="4F81BD" w:sz="8" w:space="0"/>
          <w:right w:val="nil"/>
          <w:insideH w:val="nil"/>
          <w:insideV w:val="nil"/>
          <w:tl2br w:val="nil"/>
          <w:tr2bl w:val="nil"/>
        </w:tcBorders>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tcBorders>
          <w:top w:val="nil"/>
          <w:left w:val="nil"/>
          <w:bottom w:val="nil"/>
          <w:right w:val="nil"/>
          <w:insideH w:val="nil"/>
          <w:insideV w:val="nil"/>
          <w:tl2br w:val="nil"/>
          <w:tr2bl w:val="nil"/>
        </w:tcBorders>
        <w:shd w:val="clear" w:color="auto" w:fill="D3DFEE"/>
      </w:tcPr>
    </w:tblStylePr>
  </w:style>
  <w:style w:type="table" w:customStyle="1" w:styleId="273">
    <w:name w:val="网格型1"/>
    <w:basedOn w:val="5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74">
    <w:name w:val="font1"/>
    <w:basedOn w:val="53"/>
    <w:qFormat/>
    <w:uiPriority w:val="0"/>
  </w:style>
  <w:style w:type="paragraph" w:customStyle="1" w:styleId="275">
    <w:name w:val="题注4"/>
    <w:basedOn w:val="1"/>
    <w:next w:val="15"/>
    <w:qFormat/>
    <w:uiPriority w:val="0"/>
    <w:pPr>
      <w:spacing w:line="360" w:lineRule="exact"/>
    </w:pPr>
    <w:rPr>
      <w:rFonts w:ascii="宋体"/>
      <w:b/>
      <w:bCs/>
      <w:sz w:val="24"/>
    </w:rPr>
  </w:style>
  <w:style w:type="paragraph" w:customStyle="1" w:styleId="276">
    <w:name w:val="CM61"/>
    <w:basedOn w:val="109"/>
    <w:next w:val="109"/>
    <w:unhideWhenUsed/>
    <w:qFormat/>
    <w:uiPriority w:val="99"/>
  </w:style>
  <w:style w:type="paragraph" w:customStyle="1" w:styleId="277">
    <w:name w:val="CM2"/>
    <w:basedOn w:val="109"/>
    <w:next w:val="109"/>
    <w:unhideWhenUsed/>
    <w:qFormat/>
    <w:uiPriority w:val="99"/>
  </w:style>
  <w:style w:type="paragraph" w:customStyle="1" w:styleId="278">
    <w:name w:val="CM3"/>
    <w:basedOn w:val="109"/>
    <w:next w:val="109"/>
    <w:unhideWhenUsed/>
    <w:qFormat/>
    <w:uiPriority w:val="99"/>
    <w:pPr>
      <w:spacing w:line="468" w:lineRule="atLeast"/>
    </w:pPr>
  </w:style>
  <w:style w:type="paragraph" w:customStyle="1" w:styleId="279">
    <w:name w:val="CM4"/>
    <w:basedOn w:val="109"/>
    <w:next w:val="109"/>
    <w:unhideWhenUsed/>
    <w:qFormat/>
    <w:uiPriority w:val="99"/>
    <w:pPr>
      <w:spacing w:line="466" w:lineRule="atLeast"/>
    </w:pPr>
  </w:style>
  <w:style w:type="paragraph" w:customStyle="1" w:styleId="280">
    <w:name w:val="CM62"/>
    <w:basedOn w:val="109"/>
    <w:next w:val="109"/>
    <w:unhideWhenUsed/>
    <w:qFormat/>
    <w:uiPriority w:val="99"/>
  </w:style>
  <w:style w:type="paragraph" w:customStyle="1" w:styleId="281">
    <w:name w:val="CM66"/>
    <w:basedOn w:val="109"/>
    <w:next w:val="109"/>
    <w:unhideWhenUsed/>
    <w:qFormat/>
    <w:uiPriority w:val="99"/>
  </w:style>
  <w:style w:type="paragraph" w:customStyle="1" w:styleId="282">
    <w:name w:val="CM23"/>
    <w:basedOn w:val="109"/>
    <w:next w:val="109"/>
    <w:unhideWhenUsed/>
    <w:qFormat/>
    <w:uiPriority w:val="99"/>
    <w:pPr>
      <w:spacing w:line="466" w:lineRule="atLeast"/>
    </w:pPr>
  </w:style>
  <w:style w:type="paragraph" w:customStyle="1" w:styleId="283">
    <w:name w:val="CM22"/>
    <w:basedOn w:val="109"/>
    <w:next w:val="109"/>
    <w:unhideWhenUsed/>
    <w:qFormat/>
    <w:uiPriority w:val="99"/>
    <w:pPr>
      <w:spacing w:line="466" w:lineRule="atLeast"/>
    </w:pPr>
  </w:style>
  <w:style w:type="paragraph" w:customStyle="1" w:styleId="284">
    <w:name w:val="CM64"/>
    <w:basedOn w:val="109"/>
    <w:next w:val="109"/>
    <w:unhideWhenUsed/>
    <w:qFormat/>
    <w:uiPriority w:val="99"/>
  </w:style>
  <w:style w:type="paragraph" w:customStyle="1" w:styleId="285">
    <w:name w:val="CM67"/>
    <w:basedOn w:val="109"/>
    <w:next w:val="109"/>
    <w:unhideWhenUsed/>
    <w:qFormat/>
    <w:uiPriority w:val="99"/>
  </w:style>
  <w:style w:type="paragraph" w:customStyle="1" w:styleId="286">
    <w:name w:val="CM68"/>
    <w:basedOn w:val="109"/>
    <w:next w:val="109"/>
    <w:unhideWhenUsed/>
    <w:qFormat/>
    <w:uiPriority w:val="99"/>
  </w:style>
  <w:style w:type="paragraph" w:customStyle="1" w:styleId="287">
    <w:name w:val="CM65"/>
    <w:basedOn w:val="109"/>
    <w:next w:val="109"/>
    <w:unhideWhenUsed/>
    <w:qFormat/>
    <w:uiPriority w:val="99"/>
  </w:style>
  <w:style w:type="paragraph" w:customStyle="1" w:styleId="288">
    <w:name w:val="CM29"/>
    <w:basedOn w:val="109"/>
    <w:next w:val="109"/>
    <w:unhideWhenUsed/>
    <w:qFormat/>
    <w:uiPriority w:val="99"/>
    <w:pPr>
      <w:spacing w:line="431" w:lineRule="atLeast"/>
    </w:pPr>
  </w:style>
  <w:style w:type="paragraph" w:customStyle="1" w:styleId="289">
    <w:name w:val="CM34"/>
    <w:basedOn w:val="109"/>
    <w:next w:val="109"/>
    <w:unhideWhenUsed/>
    <w:qFormat/>
    <w:uiPriority w:val="99"/>
    <w:pPr>
      <w:spacing w:line="468" w:lineRule="atLeast"/>
    </w:pPr>
  </w:style>
  <w:style w:type="paragraph" w:customStyle="1" w:styleId="290">
    <w:name w:val="CM35"/>
    <w:basedOn w:val="109"/>
    <w:next w:val="109"/>
    <w:unhideWhenUsed/>
    <w:qFormat/>
    <w:uiPriority w:val="99"/>
  </w:style>
  <w:style w:type="paragraph" w:customStyle="1" w:styleId="291">
    <w:name w:val="CM37"/>
    <w:basedOn w:val="109"/>
    <w:next w:val="109"/>
    <w:unhideWhenUsed/>
    <w:qFormat/>
    <w:uiPriority w:val="99"/>
    <w:pPr>
      <w:spacing w:line="426" w:lineRule="atLeast"/>
    </w:pPr>
  </w:style>
  <w:style w:type="paragraph" w:customStyle="1" w:styleId="292">
    <w:name w:val="CM38"/>
    <w:basedOn w:val="109"/>
    <w:next w:val="109"/>
    <w:unhideWhenUsed/>
    <w:qFormat/>
    <w:uiPriority w:val="99"/>
    <w:pPr>
      <w:spacing w:line="426" w:lineRule="atLeast"/>
    </w:pPr>
  </w:style>
  <w:style w:type="paragraph" w:customStyle="1" w:styleId="293">
    <w:name w:val="CM39"/>
    <w:basedOn w:val="109"/>
    <w:next w:val="109"/>
    <w:unhideWhenUsed/>
    <w:qFormat/>
    <w:uiPriority w:val="99"/>
    <w:pPr>
      <w:spacing w:line="426" w:lineRule="atLeast"/>
    </w:pPr>
  </w:style>
  <w:style w:type="paragraph" w:customStyle="1" w:styleId="294">
    <w:name w:val="CM71"/>
    <w:basedOn w:val="109"/>
    <w:next w:val="109"/>
    <w:unhideWhenUsed/>
    <w:qFormat/>
    <w:uiPriority w:val="99"/>
  </w:style>
  <w:style w:type="paragraph" w:customStyle="1" w:styleId="295">
    <w:name w:val="CM40"/>
    <w:basedOn w:val="109"/>
    <w:next w:val="109"/>
    <w:unhideWhenUsed/>
    <w:qFormat/>
    <w:uiPriority w:val="99"/>
    <w:pPr>
      <w:spacing w:line="426" w:lineRule="atLeast"/>
    </w:pPr>
  </w:style>
  <w:style w:type="paragraph" w:customStyle="1" w:styleId="296">
    <w:name w:val="CM41"/>
    <w:basedOn w:val="109"/>
    <w:next w:val="109"/>
    <w:unhideWhenUsed/>
    <w:qFormat/>
    <w:uiPriority w:val="99"/>
    <w:pPr>
      <w:spacing w:line="313" w:lineRule="atLeast"/>
    </w:pPr>
  </w:style>
  <w:style w:type="paragraph" w:customStyle="1" w:styleId="297">
    <w:name w:val="CM72"/>
    <w:basedOn w:val="109"/>
    <w:next w:val="109"/>
    <w:unhideWhenUsed/>
    <w:qFormat/>
    <w:uiPriority w:val="99"/>
  </w:style>
  <w:style w:type="paragraph" w:customStyle="1" w:styleId="298">
    <w:name w:val="CM73"/>
    <w:basedOn w:val="109"/>
    <w:next w:val="109"/>
    <w:unhideWhenUsed/>
    <w:qFormat/>
    <w:uiPriority w:val="99"/>
  </w:style>
  <w:style w:type="paragraph" w:customStyle="1" w:styleId="299">
    <w:name w:val="CM63"/>
    <w:basedOn w:val="109"/>
    <w:next w:val="109"/>
    <w:unhideWhenUsed/>
    <w:qFormat/>
    <w:uiPriority w:val="99"/>
  </w:style>
  <w:style w:type="paragraph" w:customStyle="1" w:styleId="300">
    <w:name w:val="CM45"/>
    <w:basedOn w:val="109"/>
    <w:next w:val="109"/>
    <w:unhideWhenUsed/>
    <w:qFormat/>
    <w:uiPriority w:val="99"/>
    <w:pPr>
      <w:spacing w:line="486" w:lineRule="atLeast"/>
    </w:pPr>
  </w:style>
  <w:style w:type="paragraph" w:customStyle="1" w:styleId="301">
    <w:name w:val="null3"/>
    <w:qFormat/>
    <w:uiPriority w:val="0"/>
    <w:rPr>
      <w:rFonts w:hint="eastAsia" w:ascii="Calibri" w:hAnsi="Calibri" w:eastAsia="宋体" w:cs="Times New Roman"/>
      <w:lang w:val="en-US" w:eastAsia="zh-Hans" w:bidi="ar-SA"/>
    </w:rPr>
  </w:style>
  <w:style w:type="paragraph" w:customStyle="1" w:styleId="302">
    <w:name w:val="*正文"/>
    <w:basedOn w:val="1"/>
    <w:qFormat/>
    <w:uiPriority w:val="0"/>
    <w:pPr>
      <w:tabs>
        <w:tab w:val="left" w:pos="146"/>
      </w:tabs>
      <w:spacing w:line="360" w:lineRule="auto"/>
      <w:ind w:firstLine="482"/>
    </w:pPr>
    <w:rPr>
      <w:rFonts w:ascii="Times New Roman" w:hAnsi="Times New Roman" w:eastAsia="宋体" w:cs="仿宋_GB2312"/>
      <w:sz w:val="28"/>
      <w:szCs w:val="21"/>
    </w:rPr>
  </w:style>
  <w:style w:type="paragraph" w:customStyle="1" w:styleId="303">
    <w:name w:val="普通(网站)1"/>
    <w:basedOn w:val="1"/>
    <w:qFormat/>
    <w:uiPriority w:val="0"/>
    <w:pPr>
      <w:widowControl/>
      <w:spacing w:before="100" w:beforeAutospacing="1" w:after="100" w:afterAutospacing="1"/>
      <w:jc w:val="left"/>
    </w:pPr>
    <w:rPr>
      <w:rFonts w:ascii="宋体" w:hAnsi="宋体" w:eastAsia="宋体" w:cs="宋体"/>
      <w:kern w:val="0"/>
      <w:sz w:val="24"/>
      <w:szCs w:val="20"/>
    </w:rPr>
  </w:style>
  <w:style w:type="paragraph" w:customStyle="1" w:styleId="304">
    <w:name w:val="Table Paragraph"/>
    <w:basedOn w:val="1"/>
    <w:qFormat/>
    <w:uiPriority w:val="1"/>
    <w:rPr>
      <w:rFonts w:ascii="宋体" w:hAnsi="宋体" w:eastAsia="宋体" w:cs="宋体"/>
      <w:lang w:val="en-US" w:eastAsia="zh-CN" w:bidi="ar-SA"/>
    </w:rPr>
  </w:style>
  <w:style w:type="paragraph" w:customStyle="1" w:styleId="305">
    <w:name w:val="style4"/>
    <w:basedOn w:val="1"/>
    <w:next w:val="306"/>
    <w:qFormat/>
    <w:uiPriority w:val="0"/>
    <w:pPr>
      <w:widowControl/>
      <w:spacing w:before="280" w:after="280"/>
    </w:pPr>
    <w:rPr>
      <w:sz w:val="18"/>
    </w:rPr>
  </w:style>
  <w:style w:type="paragraph" w:customStyle="1" w:styleId="306">
    <w:name w:val="2"/>
    <w:next w:val="1"/>
    <w:qFormat/>
    <w:uiPriority w:val="0"/>
    <w:pPr>
      <w:widowControl w:val="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www.upanboot.com</Company>
  <Pages>77</Pages>
  <Words>38191</Words>
  <Characters>40026</Characters>
  <Lines>220</Lines>
  <Paragraphs>62</Paragraphs>
  <TotalTime>4</TotalTime>
  <ScaleCrop>false</ScaleCrop>
  <LinksUpToDate>false</LinksUpToDate>
  <CharactersWithSpaces>43961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2018-05-16T03:57:00Z</dcterms:created>
  <dc:creator>user</dc:creator>
  <cp:lastModifiedBy>陈</cp:lastModifiedBy>
  <cp:lastPrinted>2020-05-07T02:37:00Z</cp:lastPrinted>
  <dcterms:modified xsi:type="dcterms:W3CDTF">2025-01-02T03:02:29Z</dcterms:modified>
  <cp:revision>386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3345777CD12F49389DF16A6165D3A5C9_13</vt:lpwstr>
  </property>
  <property fmtid="{D5CDD505-2E9C-101B-9397-08002B2CF9AE}" pid="4" name="KSOTemplateDocerSaveRecord">
    <vt:lpwstr>eyJoZGlkIjoiNDhkYTViNDlkY2FjMmM1M2Y5YmJkNmI3ODg1NzYxZmEiLCJ1c2VySWQiOiI5MzU0NDA1MzUifQ==</vt:lpwstr>
  </property>
</Properties>
</file>