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rPr>
        <w:t>新阳</w:t>
      </w:r>
      <w:r>
        <w:rPr>
          <w:rFonts w:hint="eastAsia"/>
          <w:b/>
          <w:sz w:val="36"/>
          <w:szCs w:val="36"/>
          <w:lang w:val="en-US" w:eastAsia="zh-CN"/>
        </w:rPr>
        <w:t>事业部</w:t>
      </w:r>
      <w:r>
        <w:rPr>
          <w:rFonts w:hint="eastAsia"/>
          <w:b/>
          <w:sz w:val="36"/>
          <w:szCs w:val="36"/>
        </w:rPr>
        <w:t>氨水采购</w:t>
      </w:r>
      <w:r>
        <w:rPr>
          <w:rFonts w:hint="eastAsia"/>
          <w:sz w:val="36"/>
          <w:szCs w:val="36"/>
        </w:rPr>
        <w:t>项目</w:t>
      </w:r>
    </w:p>
    <w:p>
      <w:pPr>
        <w:jc w:val="center"/>
        <w:rPr>
          <w:sz w:val="36"/>
          <w:szCs w:val="36"/>
        </w:rPr>
      </w:pP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eastAsiaTheme="minorEastAsia"/>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4-02</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color w:val="3A3A3A"/>
          <w:kern w:val="0"/>
          <w:sz w:val="24"/>
          <w:szCs w:val="24"/>
        </w:rPr>
        <w:t>）环保需求，现进行</w:t>
      </w:r>
      <w:r>
        <w:rPr>
          <w:rFonts w:hint="eastAsia" w:ascii="宋体" w:hAnsi="宋体" w:eastAsia="宋体" w:cs="宋体"/>
          <w:color w:val="FF0000"/>
          <w:kern w:val="0"/>
          <w:sz w:val="24"/>
          <w:szCs w:val="24"/>
          <w:u w:val="single"/>
        </w:rPr>
        <w:t xml:space="preserve"> </w:t>
      </w:r>
      <w:r>
        <w:rPr>
          <w:rFonts w:ascii="宋体" w:hAnsi="宋体" w:eastAsia="宋体" w:cs="宋体"/>
          <w:b/>
          <w:kern w:val="0"/>
          <w:sz w:val="24"/>
          <w:szCs w:val="24"/>
          <w:u w:val="single"/>
        </w:rPr>
        <w:t>202</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年</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月-202</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年</w:t>
      </w:r>
      <w:r>
        <w:rPr>
          <w:rFonts w:hint="eastAsia" w:ascii="宋体" w:hAnsi="宋体" w:eastAsia="宋体" w:cs="宋体"/>
          <w:b/>
          <w:kern w:val="0"/>
          <w:sz w:val="24"/>
          <w:szCs w:val="24"/>
          <w:u w:val="single"/>
          <w:lang w:val="en-US" w:eastAsia="zh-CN"/>
        </w:rPr>
        <w:t>9</w:t>
      </w:r>
      <w:r>
        <w:rPr>
          <w:rFonts w:hint="eastAsia" w:ascii="宋体" w:hAnsi="宋体" w:eastAsia="宋体" w:cs="宋体"/>
          <w:b/>
          <w:kern w:val="0"/>
          <w:sz w:val="24"/>
          <w:szCs w:val="24"/>
        </w:rPr>
        <w:t>月氨水</w:t>
      </w:r>
      <w:r>
        <w:rPr>
          <w:rFonts w:hint="eastAsia" w:ascii="宋体" w:hAnsi="宋体" w:eastAsia="宋体" w:cs="宋体"/>
          <w:color w:val="3A3A3A"/>
          <w:kern w:val="0"/>
          <w:sz w:val="24"/>
          <w:szCs w:val="24"/>
        </w:rPr>
        <w:t>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rPr>
        <w:t>新阳</w:t>
      </w:r>
      <w:r>
        <w:rPr>
          <w:rFonts w:hint="eastAsia" w:ascii="宋体" w:hAnsi="宋体" w:eastAsia="宋体" w:cs="宋体"/>
          <w:color w:val="3A3A3A"/>
          <w:kern w:val="0"/>
          <w:sz w:val="24"/>
          <w:szCs w:val="24"/>
          <w:lang w:val="en-US" w:eastAsia="zh-CN"/>
        </w:rPr>
        <w:t>事业部</w:t>
      </w:r>
      <w:r>
        <w:rPr>
          <w:rFonts w:hint="eastAsia" w:ascii="宋体" w:hAnsi="宋体" w:eastAsia="宋体" w:cs="宋体"/>
          <w:color w:val="3A3A3A"/>
          <w:kern w:val="0"/>
          <w:sz w:val="24"/>
          <w:szCs w:val="24"/>
        </w:rPr>
        <w:t>氨水采购</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sz w:val="24"/>
          <w:szCs w:val="24"/>
        </w:rPr>
        <w:t>厦门市海沧区</w:t>
      </w:r>
      <w:r>
        <w:rPr>
          <w:rFonts w:ascii="宋体"/>
          <w:sz w:val="24"/>
          <w:szCs w:val="24"/>
        </w:rPr>
        <w:t>阳光西路</w:t>
      </w:r>
      <w:r>
        <w:rPr>
          <w:rFonts w:hint="eastAsia" w:ascii="宋体"/>
          <w:sz w:val="24"/>
          <w:szCs w:val="24"/>
        </w:rPr>
        <w:t>288号</w:t>
      </w:r>
      <w:r>
        <w:rPr>
          <w:rFonts w:hint="eastAsia" w:ascii="宋体" w:hAnsi="宋体" w:eastAsia="宋体" w:cs="Times New Roman"/>
          <w:sz w:val="24"/>
          <w:szCs w:val="24"/>
        </w:rPr>
        <w:t>（</w:t>
      </w:r>
      <w:r>
        <w:rPr>
          <w:rFonts w:hint="eastAsia" w:ascii="宋体" w:hAnsi="宋体" w:eastAsia="宋体" w:cs="宋体"/>
          <w:color w:val="3A3A3A"/>
          <w:kern w:val="0"/>
          <w:sz w:val="24"/>
          <w:szCs w:val="24"/>
        </w:rPr>
        <w:t>厦门海发</w:t>
      </w:r>
      <w:r>
        <w:rPr>
          <w:rFonts w:ascii="宋体" w:hAnsi="宋体" w:eastAsia="宋体" w:cs="宋体"/>
          <w:color w:val="3A3A3A"/>
          <w:kern w:val="0"/>
          <w:sz w:val="24"/>
          <w:szCs w:val="24"/>
        </w:rPr>
        <w:t>环保能源股份有限公司</w:t>
      </w:r>
      <w:r>
        <w:rPr>
          <w:rFonts w:hint="eastAsia" w:ascii="宋体" w:hAnsi="宋体" w:eastAsia="宋体" w:cs="宋体"/>
          <w:bCs/>
          <w:kern w:val="0"/>
          <w:sz w:val="24"/>
          <w:szCs w:val="24"/>
        </w:rPr>
        <w:t>）</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*2.3报价方须提供</w:t>
      </w:r>
      <w:r>
        <w:rPr>
          <w:rFonts w:hint="eastAsia" w:ascii="宋体" w:hAnsi="宋体" w:cs="宋体"/>
          <w:kern w:val="0"/>
          <w:sz w:val="24"/>
          <w:szCs w:val="24"/>
        </w:rPr>
        <w:t>危险化学品经营</w:t>
      </w:r>
      <w:r>
        <w:rPr>
          <w:rFonts w:ascii="宋体" w:hAnsi="宋体" w:cs="宋体"/>
          <w:kern w:val="0"/>
          <w:sz w:val="24"/>
          <w:szCs w:val="24"/>
        </w:rPr>
        <w:t>许可证</w:t>
      </w:r>
      <w:r>
        <w:rPr>
          <w:rFonts w:hint="eastAsia" w:ascii="宋体" w:hAnsi="宋体"/>
          <w:sz w:val="24"/>
          <w:szCs w:val="24"/>
        </w:rPr>
        <w:t>复印件加盖公章。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报价方递交报价文件前须缴足谈判保证金人民币</w:t>
      </w:r>
      <w:r>
        <w:rPr>
          <w:rFonts w:hint="eastAsia" w:ascii="宋体" w:hAnsi="宋体" w:eastAsia="宋体" w:cs="宋体"/>
          <w:b/>
          <w:kern w:val="0"/>
          <w:sz w:val="24"/>
          <w:szCs w:val="24"/>
          <w:lang w:val="en-US" w:eastAsia="zh-CN"/>
        </w:rPr>
        <w:t>陆仟</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6</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w:t>
      </w:r>
      <w:r>
        <w:rPr>
          <w:rFonts w:hint="eastAsia" w:ascii="宋体" w:hAnsi="宋体" w:eastAsia="宋体" w:cs="宋体"/>
          <w:color w:val="3A3A3A"/>
          <w:kern w:val="0"/>
          <w:sz w:val="24"/>
          <w:szCs w:val="24"/>
        </w:rPr>
        <w:t>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3.2</w:t>
      </w:r>
      <w:r>
        <w:rPr>
          <w:rFonts w:hint="eastAsia" w:ascii="宋体" w:hAnsi="宋体" w:eastAsia="宋体" w:cs="宋体"/>
          <w:color w:val="3A3A3A"/>
          <w:kern w:val="0"/>
          <w:sz w:val="24"/>
          <w:szCs w:val="24"/>
        </w:rPr>
        <w:t>不接受现场缴款，只能到银行以现金或转账方式缴款。</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w:t>
      </w: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b/>
          <w:color w:val="3A3A3A"/>
          <w:kern w:val="0"/>
          <w:sz w:val="24"/>
          <w:szCs w:val="24"/>
        </w:rPr>
        <w:t>“新阳</w:t>
      </w:r>
      <w:r>
        <w:rPr>
          <w:rFonts w:hint="eastAsia" w:ascii="宋体" w:hAnsi="宋体" w:eastAsia="宋体" w:cs="宋体"/>
          <w:b/>
          <w:color w:val="3A3A3A"/>
          <w:kern w:val="0"/>
          <w:sz w:val="24"/>
          <w:szCs w:val="24"/>
          <w:lang w:val="en-US" w:eastAsia="zh-CN"/>
        </w:rPr>
        <w:t>事业部</w:t>
      </w:r>
      <w:r>
        <w:rPr>
          <w:rFonts w:hint="eastAsia" w:ascii="宋体" w:hAnsi="宋体" w:eastAsia="宋体" w:cs="宋体"/>
          <w:b/>
          <w:color w:val="3A3A3A"/>
          <w:kern w:val="0"/>
          <w:sz w:val="24"/>
          <w:szCs w:val="24"/>
        </w:rPr>
        <w:t>氨水</w:t>
      </w:r>
      <w:r>
        <w:rPr>
          <w:rFonts w:hint="eastAsia" w:ascii="宋体" w:hAnsi="宋体" w:eastAsia="宋体" w:cs="宋体"/>
          <w:b/>
          <w:color w:val="3A3A3A"/>
          <w:kern w:val="0"/>
          <w:sz w:val="24"/>
          <w:szCs w:val="24"/>
          <w:lang w:val="en-US" w:eastAsia="zh-CN"/>
        </w:rPr>
        <w:t>采购</w:t>
      </w:r>
      <w:r>
        <w:rPr>
          <w:rFonts w:hint="eastAsia" w:ascii="宋体" w:hAnsi="宋体" w:eastAsia="宋体" w:cs="宋体"/>
          <w:b/>
          <w:color w:val="3A3A3A"/>
          <w:kern w:val="0"/>
          <w:sz w:val="24"/>
          <w:szCs w:val="24"/>
        </w:rPr>
        <w:t>谈判保证金”</w:t>
      </w:r>
      <w:r>
        <w:rPr>
          <w:rFonts w:hint="eastAsia" w:ascii="宋体" w:hAnsi="宋体" w:eastAsia="宋体" w:cs="宋体"/>
          <w:color w:val="3A3A3A"/>
          <w:kern w:val="0"/>
          <w:sz w:val="24"/>
          <w:szCs w:val="24"/>
        </w:rPr>
        <w:t>字样。</w:t>
      </w:r>
    </w:p>
    <w:p>
      <w:pPr>
        <w:widowControl/>
        <w:spacing w:line="480" w:lineRule="auto"/>
        <w:jc w:val="left"/>
        <w:rPr>
          <w:rFonts w:hint="eastAsia" w:ascii="宋体" w:hAnsi="宋体" w:eastAsia="宋体" w:cs="宋体"/>
          <w:color w:val="3A3A3A"/>
          <w:kern w:val="0"/>
          <w:sz w:val="24"/>
          <w:szCs w:val="24"/>
        </w:rPr>
      </w:pPr>
      <w:r>
        <w:rPr>
          <w:rFonts w:ascii="宋体" w:hAnsi="宋体" w:eastAsia="宋体" w:cs="宋体"/>
          <w:color w:val="3A3A3A"/>
          <w:kern w:val="0"/>
          <w:sz w:val="24"/>
          <w:szCs w:val="24"/>
        </w:rPr>
        <w:t>3.4</w:t>
      </w:r>
      <w:r>
        <w:rPr>
          <w:rFonts w:hint="eastAsia" w:ascii="宋体" w:hAnsi="宋体" w:eastAsia="宋体" w:cs="宋体"/>
          <w:color w:val="3A3A3A"/>
          <w:kern w:val="0"/>
          <w:sz w:val="24"/>
          <w:szCs w:val="24"/>
        </w:rPr>
        <w:t>谈判保证金收款单位：厦门海发环保能源股份有限公司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开户银行：</w:t>
      </w:r>
      <w:r>
        <w:rPr>
          <w:rFonts w:hint="eastAsia" w:ascii="宋体" w:hAnsi="宋体" w:eastAsia="宋体" w:cs="宋体"/>
          <w:color w:val="3A3A3A"/>
          <w:kern w:val="0"/>
          <w:sz w:val="24"/>
          <w:szCs w:val="24"/>
          <w:lang w:val="en-US" w:eastAsia="zh-CN"/>
        </w:rPr>
        <w:t xml:space="preserve">农业银行新阳支行  </w:t>
      </w:r>
      <w:r>
        <w:rPr>
          <w:rFonts w:hint="eastAsia" w:ascii="宋体" w:hAnsi="宋体" w:eastAsia="宋体" w:cs="宋体"/>
          <w:color w:val="3A3A3A"/>
          <w:kern w:val="0"/>
          <w:sz w:val="24"/>
          <w:szCs w:val="24"/>
        </w:rPr>
        <w:t>账号：</w:t>
      </w:r>
      <w:r>
        <w:rPr>
          <w:rFonts w:hint="eastAsia" w:ascii="宋体" w:hAnsi="宋体" w:eastAsia="宋体" w:cs="宋体"/>
          <w:color w:val="3A3A3A"/>
          <w:kern w:val="0"/>
          <w:sz w:val="24"/>
          <w:szCs w:val="24"/>
          <w:lang w:val="en-US" w:eastAsia="zh-CN"/>
        </w:rPr>
        <w:t xml:space="preserve">40373001040009422  </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3.5</w:t>
      </w:r>
      <w:r>
        <w:rPr>
          <w:rFonts w:hint="eastAsia" w:ascii="宋体" w:hAnsi="宋体" w:eastAsia="宋体" w:cs="Times New Roman"/>
          <w:sz w:val="24"/>
          <w:szCs w:val="24"/>
        </w:rPr>
        <w:t>谈判保证金缴交截止时间：</w:t>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3</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hint="eastAsia" w:ascii="宋体" w:hAnsi="宋体" w:eastAsia="宋体" w:cs="宋体"/>
          <w:b/>
          <w:bCs/>
          <w:color w:val="auto"/>
          <w:kern w:val="0"/>
          <w:sz w:val="24"/>
          <w:szCs w:val="24"/>
          <w:lang w:val="en-US" w:eastAsia="zh-CN"/>
        </w:rPr>
      </w:pPr>
      <w:r>
        <w:rPr>
          <w:rFonts w:hint="eastAsia" w:ascii="宋体" w:hAnsi="宋体" w:eastAsia="宋体" w:cs="宋体"/>
          <w:kern w:val="0"/>
          <w:sz w:val="24"/>
          <w:szCs w:val="24"/>
          <w:lang w:val="en-US" w:eastAsia="zh-CN"/>
        </w:rPr>
        <w:t>*</w:t>
      </w:r>
      <w:r>
        <w:rPr>
          <w:rFonts w:ascii="宋体" w:hAnsi="宋体" w:eastAsia="宋体" w:cs="宋体"/>
          <w:kern w:val="0"/>
          <w:sz w:val="24"/>
          <w:szCs w:val="24"/>
        </w:rPr>
        <w:t>4.1</w:t>
      </w:r>
      <w:r>
        <w:rPr>
          <w:rFonts w:hint="eastAsia" w:ascii="宋体" w:hAnsi="宋体" w:eastAsia="宋体" w:cs="宋体"/>
          <w:b/>
          <w:bCs/>
          <w:color w:val="auto"/>
          <w:kern w:val="0"/>
          <w:sz w:val="24"/>
          <w:szCs w:val="24"/>
        </w:rPr>
        <w:t>报价文件要求装袋密封并在密封处加盖公章，封面须注明报价项目名称</w:t>
      </w:r>
      <w:r>
        <w:rPr>
          <w:rFonts w:hint="eastAsia" w:ascii="宋体" w:hAnsi="宋体" w:eastAsia="宋体" w:cs="宋体"/>
          <w:b/>
          <w:bCs/>
          <w:color w:val="auto"/>
          <w:kern w:val="0"/>
          <w:sz w:val="24"/>
          <w:szCs w:val="24"/>
          <w:lang w:val="en-US" w:eastAsia="zh-CN"/>
        </w:rPr>
        <w:t>、单位名称、联系人及联系电话，并加盖公章，未按要求标识则视为无效报价文件。</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lang w:val="en-US" w:eastAsia="zh-CN"/>
        </w:rPr>
        <w:t>3楼305室</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rPr>
        <w:t>4.5</w:t>
      </w:r>
      <w:r>
        <w:rPr>
          <w:rFonts w:hint="eastAsia" w:ascii="宋体" w:hAnsi="宋体" w:eastAsia="宋体" w:cs="宋体"/>
          <w:b/>
          <w:bCs/>
          <w:color w:val="auto"/>
          <w:kern w:val="0"/>
          <w:sz w:val="24"/>
          <w:szCs w:val="24"/>
          <w:lang w:val="en-US" w:eastAsia="zh-CN"/>
        </w:rPr>
        <w:t>密封提供报价文件（有加盖公章的）扫描件，可以光盘或U盘提供。</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3</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3</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项目限价：本次采购设定限高价为1125元/吨，报价高于此价格则视为无效报价</w:t>
      </w:r>
      <w:r>
        <w:rPr>
          <w:rFonts w:hint="eastAsia" w:ascii="宋体" w:hAnsi="宋体" w:eastAsia="宋体" w:cs="宋体"/>
          <w:kern w:val="0"/>
          <w:sz w:val="24"/>
          <w:szCs w:val="24"/>
          <w:lang w:val="en-US" w:eastAsia="zh-CN"/>
        </w:rPr>
        <w:t>。</w:t>
      </w:r>
    </w:p>
    <w:p>
      <w:pPr>
        <w:widowControl/>
        <w:snapToGrid w:val="0"/>
        <w:spacing w:line="360" w:lineRule="auto"/>
        <w:ind w:right="105" w:rightChars="50"/>
        <w:jc w:val="left"/>
        <w:rPr>
          <w:rFonts w:hint="eastAsia" w:ascii="宋体" w:hAnsi="宋体" w:eastAsia="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成交</w:t>
      </w:r>
      <w:r>
        <w:rPr>
          <w:rFonts w:ascii="宋体" w:hAnsi="宋体" w:eastAsia="宋体" w:cs="宋体"/>
          <w:kern w:val="0"/>
          <w:sz w:val="24"/>
          <w:szCs w:val="24"/>
        </w:rPr>
        <w:t>原则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本次</w:t>
      </w:r>
      <w:r>
        <w:rPr>
          <w:rFonts w:hint="eastAsia" w:ascii="宋体" w:hAnsi="宋体" w:eastAsia="宋体" w:cs="宋体"/>
          <w:kern w:val="0"/>
          <w:sz w:val="24"/>
          <w:szCs w:val="24"/>
        </w:rPr>
        <w:t>采用经评审合格且最低价成交法。</w:t>
      </w:r>
      <w:r>
        <w:rPr>
          <w:rFonts w:hint="eastAsia" w:ascii="宋体" w:hAnsi="宋体" w:eastAsia="宋体" w:cs="宋体"/>
          <w:kern w:val="0"/>
          <w:sz w:val="24"/>
          <w:szCs w:val="24"/>
          <w:lang w:val="en-US" w:eastAsia="zh-CN"/>
        </w:rPr>
        <w:t>原则上</w:t>
      </w:r>
      <w:r>
        <w:rPr>
          <w:rFonts w:hint="eastAsia" w:ascii="宋体" w:hAnsi="宋体"/>
          <w:color w:val="auto"/>
          <w:sz w:val="24"/>
          <w:szCs w:val="24"/>
          <w:highlight w:val="none"/>
          <w:lang w:val="en-US" w:eastAsia="zh-CN"/>
        </w:rPr>
        <w:t xml:space="preserve">不对价格进行二次谈判， </w:t>
      </w:r>
      <w:r>
        <w:rPr>
          <w:rFonts w:hint="eastAsia" w:ascii="宋体" w:hAnsi="宋体"/>
          <w:color w:val="auto"/>
          <w:sz w:val="24"/>
          <w:szCs w:val="24"/>
          <w:highlight w:val="none"/>
        </w:rPr>
        <w:t>报价最低的前三位如出现2家及以上价格相等，由评标小组抽签确定成交</w:t>
      </w:r>
      <w:r>
        <w:rPr>
          <w:rFonts w:hint="eastAsia" w:ascii="宋体" w:hAnsi="宋体"/>
          <w:color w:val="auto"/>
          <w:sz w:val="24"/>
          <w:szCs w:val="24"/>
          <w:highlight w:val="none"/>
          <w:lang w:val="en-US" w:eastAsia="zh-CN"/>
        </w:rPr>
        <w:t>候选</w:t>
      </w:r>
      <w:r>
        <w:rPr>
          <w:rFonts w:hint="eastAsia" w:ascii="宋体" w:hAnsi="宋体"/>
          <w:color w:val="auto"/>
          <w:sz w:val="24"/>
          <w:szCs w:val="24"/>
          <w:highlight w:val="none"/>
        </w:rPr>
        <w:t>供应商</w:t>
      </w:r>
      <w:r>
        <w:rPr>
          <w:rFonts w:hint="eastAsia" w:ascii="宋体" w:hAnsi="宋体"/>
          <w:color w:val="auto"/>
          <w:sz w:val="24"/>
          <w:szCs w:val="24"/>
          <w:highlight w:val="none"/>
          <w:lang w:val="en-US" w:eastAsia="zh-CN"/>
        </w:rPr>
        <w:t>顺序。</w:t>
      </w:r>
      <w:r>
        <w:rPr>
          <w:rFonts w:hint="eastAsia" w:ascii="宋体" w:hAnsi="宋体" w:cs="宋体"/>
          <w:lang w:val="en-US" w:eastAsia="zh-CN"/>
        </w:rPr>
        <w:t xml:space="preserve"> </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 xml:space="preserve">联系人： </w:t>
      </w:r>
      <w:r>
        <w:rPr>
          <w:rFonts w:hint="eastAsia" w:ascii="宋体" w:hAnsi="宋体" w:eastAsia="宋体" w:cs="宋体"/>
          <w:kern w:val="0"/>
          <w:sz w:val="24"/>
          <w:szCs w:val="24"/>
          <w:lang w:val="en-US" w:eastAsia="zh-CN"/>
        </w:rPr>
        <w:t>江汉林</w:t>
      </w:r>
      <w:r>
        <w:rPr>
          <w:rFonts w:ascii="宋体" w:hAnsi="宋体" w:eastAsia="宋体" w:cs="宋体"/>
          <w:kern w:val="0"/>
          <w:sz w:val="24"/>
          <w:szCs w:val="24"/>
        </w:rPr>
        <w:t>（联系电话：</w:t>
      </w:r>
      <w:r>
        <w:rPr>
          <w:rFonts w:hint="eastAsia" w:ascii="宋体" w:hAnsi="宋体" w:eastAsia="宋体" w:cs="宋体"/>
          <w:kern w:val="0"/>
          <w:sz w:val="24"/>
          <w:szCs w:val="24"/>
        </w:rPr>
        <w:t>0592-68075</w:t>
      </w:r>
      <w:r>
        <w:rPr>
          <w:rFonts w:hint="eastAsia" w:ascii="宋体" w:hAnsi="宋体" w:eastAsia="宋体" w:cs="宋体"/>
          <w:kern w:val="0"/>
          <w:sz w:val="24"/>
          <w:szCs w:val="24"/>
          <w:lang w:val="en-US" w:eastAsia="zh-CN"/>
        </w:rPr>
        <w:t>63</w:t>
      </w:r>
      <w:r>
        <w:rPr>
          <w:rFonts w:hint="eastAsia" w:ascii="宋体" w:hAnsi="宋体" w:eastAsia="宋体" w:cs="宋体"/>
          <w:kern w:val="0"/>
          <w:sz w:val="24"/>
          <w:szCs w:val="24"/>
        </w:rPr>
        <w:t>）</w:t>
      </w:r>
    </w:p>
    <w:p>
      <w:pPr>
        <w:widowControl/>
        <w:spacing w:line="48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王芸芸</w:t>
      </w:r>
      <w:r>
        <w:rPr>
          <w:rFonts w:hint="eastAsia" w:ascii="宋体" w:hAnsi="宋体" w:eastAsia="宋体" w:cs="宋体"/>
          <w:kern w:val="0"/>
          <w:sz w:val="24"/>
          <w:szCs w:val="24"/>
        </w:rPr>
        <w:t>（联系电话：</w:t>
      </w:r>
      <w:r>
        <w:rPr>
          <w:rFonts w:hint="eastAsia" w:ascii="宋体" w:hAnsi="宋体"/>
          <w:kern w:val="0"/>
          <w:sz w:val="24"/>
          <w:szCs w:val="24"/>
        </w:rPr>
        <w:t>0592-</w:t>
      </w:r>
      <w:r>
        <w:rPr>
          <w:rFonts w:hint="eastAsia" w:ascii="宋体" w:hAnsi="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920" w:hanging="1920" w:hangingChars="80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0" w:firstLineChars="0"/>
        <w:jc w:val="left"/>
        <w:rPr>
          <w:rFonts w:hint="default" w:ascii="宋体" w:hAnsi="宋体" w:eastAsia="宋体" w:cs="宋体"/>
          <w:kern w:val="0"/>
          <w:sz w:val="24"/>
          <w:szCs w:val="24"/>
          <w:lang w:val="en-US" w:eastAsia="zh-CN"/>
        </w:rPr>
      </w:pPr>
      <w:r>
        <w:rPr>
          <w:rFonts w:hint="eastAsia" w:ascii="宋体" w:hAnsi="宋体" w:eastAsia="宋体"/>
          <w:color w:val="000000"/>
          <w:sz w:val="24"/>
          <w:szCs w:val="24"/>
          <w:shd w:val="clear" w:color="auto" w:fill="FFFFFF"/>
        </w:rPr>
        <w:t>环保能源公司纪检小组 0592-68075</w:t>
      </w:r>
      <w:r>
        <w:rPr>
          <w:rFonts w:hint="eastAsia" w:ascii="宋体" w:hAnsi="宋体" w:eastAsia="宋体"/>
          <w:color w:val="000000"/>
          <w:sz w:val="24"/>
          <w:szCs w:val="24"/>
          <w:shd w:val="clear" w:color="auto" w:fill="FFFFFF"/>
          <w:lang w:val="en-US" w:eastAsia="zh-CN"/>
        </w:rPr>
        <w:t>96</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03</w:t>
      </w:r>
      <w:r>
        <w:rPr>
          <w:rFonts w:hint="eastAsia" w:ascii="宋体" w:hAnsi="宋体" w:eastAsia="宋体" w:cs="宋体"/>
          <w:b/>
          <w:kern w:val="0"/>
          <w:sz w:val="24"/>
          <w:szCs w:val="24"/>
        </w:rPr>
        <w:t>月</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报价</w:t>
      </w:r>
      <w:r>
        <w:rPr>
          <w:rFonts w:ascii="宋体" w:hAnsi="宋体" w:eastAsia="宋体" w:cs="宋体"/>
          <w:b/>
          <w:kern w:val="0"/>
          <w:sz w:val="36"/>
          <w:szCs w:val="36"/>
        </w:rPr>
        <w:t>方须知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新阳事业部氨水</w:t>
      </w:r>
      <w:r>
        <w:rPr>
          <w:rFonts w:hint="eastAsia" w:ascii="宋体" w:hAnsi="宋体" w:eastAsia="宋体"/>
          <w:b w:val="0"/>
          <w:sz w:val="24"/>
          <w:szCs w:val="24"/>
        </w:rPr>
        <w:t>采购，采购方为</w:t>
      </w:r>
      <w:r>
        <w:rPr>
          <w:rFonts w:hint="eastAsia" w:ascii="宋体" w:hAnsi="宋体" w:eastAsia="宋体"/>
          <w:sz w:val="24"/>
          <w:szCs w:val="24"/>
        </w:rPr>
        <w:t>厦门海发</w:t>
      </w:r>
      <w:r>
        <w:rPr>
          <w:rFonts w:ascii="宋体" w:hAnsi="宋体" w:eastAsia="宋体"/>
          <w:sz w:val="24"/>
          <w:szCs w:val="24"/>
        </w:rPr>
        <w:t>环保能源股份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4455231"/>
      <w:bookmarkStart w:id="2" w:name="_Toc24083811"/>
      <w:bookmarkStart w:id="3" w:name="_Toc514_WPSOffice_Level2"/>
      <w:bookmarkStart w:id="4" w:name="_Toc32305_WPSOffice_Level2"/>
      <w:bookmarkStart w:id="5" w:name="_Toc260238414"/>
      <w:bookmarkStart w:id="6" w:name="_Toc33340836"/>
      <w:bookmarkStart w:id="7" w:name="_Toc260230610"/>
      <w:bookmarkStart w:id="8" w:name="_Toc23613348"/>
      <w:bookmarkStart w:id="9" w:name="_Toc32472_WPSOffice_Level2"/>
      <w:bookmarkStart w:id="10" w:name="_Toc293413478"/>
      <w:bookmarkStart w:id="11" w:name="_Toc229281569"/>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293413479"/>
      <w:bookmarkStart w:id="14" w:name="_Toc32292_WPSOffice_Level2"/>
      <w:bookmarkStart w:id="15" w:name="_Toc11355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响应函；</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并加盖报价单位公章；</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企业能有效识别二维码的营业执照复印件且加盖报价单位公章；</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cs="宋体"/>
          <w:kern w:val="0"/>
          <w:sz w:val="24"/>
          <w:szCs w:val="24"/>
        </w:rPr>
        <w:t>危险化学品经营</w:t>
      </w:r>
      <w:r>
        <w:rPr>
          <w:rFonts w:ascii="宋体" w:hAnsi="宋体" w:cs="宋体"/>
          <w:kern w:val="0"/>
          <w:sz w:val="24"/>
          <w:szCs w:val="24"/>
        </w:rPr>
        <w:t>许可证</w:t>
      </w:r>
      <w:r>
        <w:rPr>
          <w:rFonts w:hint="eastAsia" w:ascii="宋体" w:hAnsi="宋体"/>
          <w:sz w:val="24"/>
          <w:szCs w:val="24"/>
        </w:rPr>
        <w:t>复印件加盖公章。</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4455233"/>
      <w:bookmarkStart w:id="17" w:name="_Toc17624_WPSOffice_Level2"/>
      <w:bookmarkStart w:id="18" w:name="_Toc229281571"/>
      <w:bookmarkStart w:id="19" w:name="_Toc260230612"/>
      <w:bookmarkStart w:id="20" w:name="_Toc24083813"/>
      <w:bookmarkStart w:id="21" w:name="_Toc260238416"/>
      <w:bookmarkStart w:id="22" w:name="_Toc1802_WPSOffice_Level2"/>
      <w:bookmarkStart w:id="23" w:name="_Toc33340838"/>
      <w:bookmarkStart w:id="24" w:name="_Toc12004_WPSOffice_Level2"/>
      <w:bookmarkStart w:id="25" w:name="_Toc293413480"/>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480" w:lineRule="auto"/>
        <w:jc w:val="left"/>
        <w:rPr>
          <w:rFonts w:ascii="宋体" w:hAnsi="宋体"/>
          <w:sz w:val="24"/>
          <w:szCs w:val="24"/>
        </w:rPr>
      </w:pPr>
      <w:bookmarkStart w:id="27" w:name="_Toc441500070"/>
      <w:bookmarkStart w:id="28" w:name="_Toc439661731"/>
      <w:bookmarkStart w:id="29" w:name="_Toc449373772"/>
      <w:bookmarkStart w:id="30" w:name="_Toc445991603"/>
      <w:bookmarkStart w:id="31" w:name="_Toc449635679"/>
      <w:bookmarkStart w:id="32" w:name="_Toc457383223"/>
      <w:bookmarkStart w:id="33" w:name="_Toc445748261"/>
      <w:bookmarkStart w:id="34" w:name="_Toc440899515"/>
      <w:bookmarkStart w:id="35" w:name="_Toc422906617"/>
      <w:bookmarkStart w:id="36" w:name="_Toc421773672"/>
      <w:bookmarkStart w:id="37" w:name="_Toc441224335"/>
      <w:bookmarkStart w:id="38" w:name="_Toc462647056"/>
      <w:bookmarkStart w:id="39" w:name="_Toc425266324"/>
      <w:bookmarkStart w:id="40" w:name="_Toc422416153"/>
      <w:bookmarkStart w:id="41" w:name="_Toc420577581"/>
      <w:bookmarkStart w:id="42" w:name="_Toc445901129"/>
      <w:bookmarkStart w:id="43" w:name="_Toc418522815"/>
      <w:bookmarkStart w:id="44" w:name="_Toc444614425"/>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widowControl/>
        <w:snapToGrid w:val="0"/>
        <w:spacing w:line="360" w:lineRule="auto"/>
        <w:ind w:right="105" w:rightChars="50"/>
        <w:jc w:val="left"/>
        <w:rPr>
          <w:rFonts w:ascii="宋体" w:hAnsi="宋体"/>
          <w:sz w:val="24"/>
          <w:szCs w:val="24"/>
        </w:rPr>
      </w:pPr>
      <w:r>
        <w:rPr>
          <w:rFonts w:hint="eastAsia" w:ascii="宋体" w:hAnsi="宋体"/>
          <w:b/>
          <w:bCs/>
          <w:sz w:val="24"/>
        </w:rPr>
        <w:t>5.2.2.4成交原则。</w:t>
      </w:r>
      <w:r>
        <w:rPr>
          <w:rFonts w:hint="eastAsia" w:ascii="宋体" w:hAnsi="宋体" w:eastAsia="宋体" w:cs="宋体"/>
          <w:kern w:val="0"/>
          <w:sz w:val="24"/>
          <w:szCs w:val="24"/>
          <w:lang w:val="en-US" w:eastAsia="zh-CN"/>
        </w:rPr>
        <w:t>本次</w:t>
      </w:r>
      <w:r>
        <w:rPr>
          <w:rFonts w:hint="eastAsia" w:ascii="宋体" w:hAnsi="宋体" w:eastAsia="宋体" w:cs="宋体"/>
          <w:kern w:val="0"/>
          <w:sz w:val="24"/>
          <w:szCs w:val="24"/>
        </w:rPr>
        <w:t>采用经评审合格且最低价成交法。</w:t>
      </w:r>
      <w:r>
        <w:rPr>
          <w:rFonts w:hint="eastAsia" w:ascii="宋体" w:hAnsi="宋体" w:eastAsia="宋体" w:cs="宋体"/>
          <w:kern w:val="0"/>
          <w:sz w:val="24"/>
          <w:szCs w:val="24"/>
          <w:lang w:val="en-US" w:eastAsia="zh-CN"/>
        </w:rPr>
        <w:t>原则上</w:t>
      </w:r>
      <w:r>
        <w:rPr>
          <w:rFonts w:hint="eastAsia" w:ascii="宋体" w:hAnsi="宋体"/>
          <w:color w:val="auto"/>
          <w:sz w:val="24"/>
          <w:szCs w:val="24"/>
          <w:highlight w:val="none"/>
          <w:lang w:val="en-US" w:eastAsia="zh-CN"/>
        </w:rPr>
        <w:t xml:space="preserve">不对价格进行二次谈判， </w:t>
      </w:r>
      <w:r>
        <w:rPr>
          <w:rFonts w:hint="eastAsia" w:ascii="宋体" w:hAnsi="宋体"/>
          <w:color w:val="auto"/>
          <w:sz w:val="24"/>
          <w:szCs w:val="24"/>
          <w:highlight w:val="none"/>
        </w:rPr>
        <w:t>报价最低的前三位如出现2家及以上价格相等，由评标小组抽签确定成交</w:t>
      </w:r>
      <w:r>
        <w:rPr>
          <w:rFonts w:hint="eastAsia" w:ascii="宋体" w:hAnsi="宋体"/>
          <w:color w:val="auto"/>
          <w:sz w:val="24"/>
          <w:szCs w:val="24"/>
          <w:highlight w:val="none"/>
          <w:lang w:val="en-US" w:eastAsia="zh-CN"/>
        </w:rPr>
        <w:t>候选</w:t>
      </w:r>
      <w:r>
        <w:rPr>
          <w:rFonts w:hint="eastAsia" w:ascii="宋体" w:hAnsi="宋体"/>
          <w:color w:val="auto"/>
          <w:sz w:val="24"/>
          <w:szCs w:val="24"/>
          <w:highlight w:val="none"/>
        </w:rPr>
        <w:t>供应商</w:t>
      </w:r>
      <w:r>
        <w:rPr>
          <w:rFonts w:hint="eastAsia" w:ascii="宋体" w:hAnsi="宋体"/>
          <w:color w:val="auto"/>
          <w:sz w:val="24"/>
          <w:szCs w:val="24"/>
          <w:highlight w:val="none"/>
          <w:lang w:val="en-US" w:eastAsia="zh-CN"/>
        </w:rPr>
        <w:t>顺序。</w:t>
      </w:r>
      <w:r>
        <w:rPr>
          <w:rFonts w:hint="eastAsia" w:ascii="宋体" w:hAnsi="宋体" w:cs="宋体"/>
          <w:lang w:val="en-US" w:eastAsia="zh-CN"/>
        </w:rPr>
        <w:t xml:space="preserve"> </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w:t>
      </w:r>
      <w:r>
        <w:rPr>
          <w:rFonts w:hint="eastAsia" w:ascii="宋体" w:hAnsi="宋体"/>
          <w:sz w:val="24"/>
          <w:szCs w:val="24"/>
          <w:lang w:val="en-US" w:eastAsia="zh-CN"/>
        </w:rPr>
        <w:t>五个工作日内</w:t>
      </w:r>
      <w:r>
        <w:rPr>
          <w:rFonts w:hint="eastAsia" w:ascii="宋体" w:hAnsi="宋体"/>
          <w:sz w:val="24"/>
          <w:szCs w:val="24"/>
        </w:rPr>
        <w:t>与采购方签订合同，采购方和成交供应商不得另行订立背离合同实质性内容的其它协议。</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rPr>
          <w:b/>
        </w:rPr>
      </w:pPr>
    </w:p>
    <w:p>
      <w:pPr>
        <w:pStyle w:val="4"/>
        <w:spacing w:line="480" w:lineRule="auto"/>
        <w:rPr>
          <w:rFonts w:ascii="宋体" w:hAnsi="宋体"/>
          <w:sz w:val="24"/>
          <w:szCs w:val="24"/>
        </w:rPr>
      </w:pPr>
    </w:p>
    <w:p>
      <w:pPr>
        <w:pStyle w:val="4"/>
        <w:spacing w:line="480" w:lineRule="auto"/>
        <w:rPr>
          <w:rFonts w:ascii="宋体" w:hAnsi="宋体"/>
          <w:sz w:val="24"/>
          <w:szCs w:val="24"/>
        </w:rPr>
      </w:pPr>
    </w:p>
    <w:p>
      <w:pPr>
        <w:pStyle w:val="4"/>
        <w:spacing w:line="480" w:lineRule="auto"/>
        <w:rPr>
          <w:rFonts w:ascii="宋体" w:hAnsi="宋体"/>
          <w:sz w:val="24"/>
          <w:szCs w:val="24"/>
        </w:rPr>
      </w:pPr>
    </w:p>
    <w:p>
      <w:pPr>
        <w:pStyle w:val="4"/>
        <w:spacing w:line="480" w:lineRule="auto"/>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3"/>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color w:val="3A3A3A"/>
          <w:kern w:val="0"/>
          <w:sz w:val="24"/>
          <w:szCs w:val="24"/>
        </w:rPr>
        <w:t>）环保需求，现进行</w:t>
      </w:r>
      <w:r>
        <w:rPr>
          <w:rFonts w:hint="eastAsia" w:ascii="宋体" w:hAnsi="宋体" w:eastAsia="宋体" w:cs="宋体"/>
          <w:b/>
          <w:kern w:val="0"/>
          <w:sz w:val="24"/>
          <w:szCs w:val="24"/>
        </w:rPr>
        <w:t>氨水</w:t>
      </w:r>
      <w:r>
        <w:rPr>
          <w:rFonts w:hint="eastAsia" w:ascii="宋体" w:hAnsi="宋体" w:eastAsia="宋体" w:cs="宋体"/>
          <w:color w:val="3A3A3A"/>
          <w:kern w:val="0"/>
          <w:sz w:val="24"/>
          <w:szCs w:val="24"/>
        </w:rPr>
        <w:t>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项目名称：新阳</w:t>
      </w:r>
      <w:r>
        <w:rPr>
          <w:rFonts w:hint="eastAsia" w:ascii="宋体" w:hAnsi="宋体" w:eastAsia="宋体" w:cs="宋体"/>
          <w:color w:val="000000" w:themeColor="text1"/>
          <w:kern w:val="0"/>
          <w:sz w:val="24"/>
          <w:szCs w:val="24"/>
          <w:lang w:val="en-US" w:eastAsia="zh-CN"/>
          <w14:textFill>
            <w14:solidFill>
              <w14:schemeClr w14:val="tx1"/>
            </w14:solidFill>
          </w14:textFill>
        </w:rPr>
        <w:t>事业部</w:t>
      </w:r>
      <w:r>
        <w:rPr>
          <w:rFonts w:hint="eastAsia" w:ascii="宋体" w:hAnsi="宋体" w:eastAsia="宋体" w:cs="宋体"/>
          <w:color w:val="000000" w:themeColor="text1"/>
          <w:kern w:val="0"/>
          <w:sz w:val="24"/>
          <w:szCs w:val="24"/>
          <w14:textFill>
            <w14:solidFill>
              <w14:schemeClr w14:val="tx1"/>
            </w14:solidFill>
          </w14:textFill>
        </w:rPr>
        <w:t>氨水</w:t>
      </w:r>
      <w:r>
        <w:rPr>
          <w:rFonts w:hint="eastAsia" w:ascii="宋体" w:hAnsi="宋体" w:eastAsia="宋体" w:cs="宋体"/>
          <w:color w:val="000000" w:themeColor="text1"/>
          <w:kern w:val="0"/>
          <w:sz w:val="24"/>
          <w:szCs w:val="24"/>
          <w:lang w:val="en-US" w:eastAsia="zh-CN"/>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1"/>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142"/>
        <w:gridCol w:w="2693"/>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2142"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需求数量</w:t>
            </w:r>
          </w:p>
        </w:tc>
        <w:tc>
          <w:tcPr>
            <w:tcW w:w="2882"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2"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氨水</w:t>
            </w:r>
          </w:p>
        </w:tc>
        <w:tc>
          <w:tcPr>
            <w:tcW w:w="2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Times New Roman"/>
                <w:color w:val="000000"/>
                <w:kern w:val="0"/>
                <w:sz w:val="24"/>
                <w:szCs w:val="24"/>
                <w:lang w:val="en-US" w:eastAsia="zh-CN"/>
              </w:rPr>
              <w:t>3</w:t>
            </w:r>
            <w:r>
              <w:rPr>
                <w:rFonts w:ascii="宋体" w:hAnsi="宋体" w:eastAsia="宋体" w:cs="Times New Roman"/>
                <w:color w:val="000000"/>
                <w:kern w:val="0"/>
                <w:sz w:val="24"/>
                <w:szCs w:val="24"/>
              </w:rPr>
              <w:t>00</w:t>
            </w:r>
            <w:r>
              <w:rPr>
                <w:rFonts w:hint="eastAsia" w:ascii="宋体" w:hAnsi="宋体" w:eastAsia="宋体" w:cs="Times New Roman"/>
                <w:color w:val="000000"/>
                <w:kern w:val="0"/>
                <w:sz w:val="24"/>
                <w:szCs w:val="24"/>
              </w:rPr>
              <w:t>吨</w:t>
            </w:r>
          </w:p>
        </w:tc>
        <w:tc>
          <w:tcPr>
            <w:tcW w:w="2882"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 w:val="24"/>
              </w:rPr>
              <w:t>氨（NH3）含量≥20％；外观无色透明或带微黄色液体；色度≤80号；残渣含量≤0.3g/L；硫化物≤2.0％；氯化物≤1.0％；</w:t>
            </w:r>
          </w:p>
        </w:tc>
      </w:tr>
    </w:tbl>
    <w:p>
      <w:pPr>
        <w:widowControl/>
        <w:spacing w:line="360" w:lineRule="auto"/>
        <w:jc w:val="left"/>
        <w:rPr>
          <w:rFonts w:ascii="宋体" w:hAnsi="宋体" w:cs="宋体"/>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429"/>
        <w:gridCol w:w="46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8" w:type="dxa"/>
            <w:shd w:val="clear" w:color="auto" w:fill="auto"/>
            <w:vAlign w:val="center"/>
          </w:tcPr>
          <w:p>
            <w:pPr>
              <w:spacing w:line="520" w:lineRule="exact"/>
              <w:rPr>
                <w:rFonts w:ascii="宋体" w:hAnsi="宋体"/>
                <w:sz w:val="24"/>
              </w:rPr>
            </w:pPr>
            <w:r>
              <w:rPr>
                <w:rFonts w:hint="eastAsia" w:ascii="宋体" w:hAnsi="宋体"/>
                <w:sz w:val="24"/>
              </w:rPr>
              <w:t>序号</w:t>
            </w:r>
          </w:p>
        </w:tc>
        <w:tc>
          <w:tcPr>
            <w:tcW w:w="2429" w:type="dxa"/>
            <w:shd w:val="clear" w:color="auto" w:fill="auto"/>
            <w:vAlign w:val="center"/>
          </w:tcPr>
          <w:p>
            <w:pPr>
              <w:spacing w:line="520" w:lineRule="exact"/>
              <w:ind w:firstLine="360" w:firstLineChars="150"/>
              <w:rPr>
                <w:rFonts w:ascii="宋体" w:hAnsi="宋体"/>
                <w:sz w:val="24"/>
              </w:rPr>
            </w:pPr>
            <w:r>
              <w:rPr>
                <w:rFonts w:hint="eastAsia" w:ascii="宋体" w:hAnsi="宋体"/>
                <w:sz w:val="24"/>
              </w:rPr>
              <w:t>检验质量（</w:t>
            </w:r>
            <w:r>
              <w:rPr>
                <w:rFonts w:ascii="宋体" w:hAnsi="宋体"/>
                <w:sz w:val="24"/>
              </w:rPr>
              <w:t>浓度）</w:t>
            </w:r>
          </w:p>
        </w:tc>
        <w:tc>
          <w:tcPr>
            <w:tcW w:w="4667" w:type="dxa"/>
            <w:shd w:val="clear" w:color="auto" w:fill="auto"/>
            <w:vAlign w:val="center"/>
          </w:tcPr>
          <w:p>
            <w:pPr>
              <w:spacing w:line="520" w:lineRule="exact"/>
              <w:ind w:firstLine="720" w:firstLineChars="300"/>
              <w:rPr>
                <w:rFonts w:ascii="宋体" w:hAnsi="宋体"/>
                <w:sz w:val="24"/>
              </w:rPr>
            </w:pPr>
            <w:r>
              <w:rPr>
                <w:rFonts w:hint="eastAsia" w:ascii="宋体" w:hAnsi="宋体"/>
                <w:sz w:val="24"/>
              </w:rPr>
              <w:t>每批次结算</w:t>
            </w:r>
            <w:r>
              <w:rPr>
                <w:rFonts w:ascii="宋体" w:hAnsi="宋体"/>
                <w:sz w:val="24"/>
              </w:rPr>
              <w:t>价</w:t>
            </w:r>
            <w:r>
              <w:rPr>
                <w:rFonts w:hint="eastAsia" w:ascii="宋体" w:hAnsi="宋体"/>
                <w:sz w:val="24"/>
              </w:rPr>
              <w:t>（元/吨</w:t>
            </w:r>
            <w:r>
              <w:rPr>
                <w:rFonts w:ascii="宋体" w:hAnsi="宋体"/>
                <w:sz w:val="24"/>
              </w:rPr>
              <w:t>）</w:t>
            </w:r>
          </w:p>
        </w:tc>
        <w:tc>
          <w:tcPr>
            <w:tcW w:w="708" w:type="dxa"/>
            <w:shd w:val="clear" w:color="auto" w:fill="auto"/>
            <w:vAlign w:val="center"/>
          </w:tcPr>
          <w:p>
            <w:pPr>
              <w:spacing w:line="520" w:lineRule="exact"/>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1</w:t>
            </w:r>
          </w:p>
        </w:tc>
        <w:tc>
          <w:tcPr>
            <w:tcW w:w="2429" w:type="dxa"/>
            <w:shd w:val="clear" w:color="auto" w:fill="auto"/>
            <w:vAlign w:val="center"/>
          </w:tcPr>
          <w:p>
            <w:pPr>
              <w:spacing w:line="520" w:lineRule="exact"/>
              <w:ind w:firstLine="315" w:firstLineChars="150"/>
              <w:rPr>
                <w:rFonts w:ascii="宋体" w:hAnsi="宋体"/>
                <w:sz w:val="24"/>
              </w:rPr>
            </w:pPr>
            <w:r>
              <w:rPr>
                <w:rFonts w:hint="eastAsia" w:ascii="宋体" w:hAnsi="宋体"/>
                <w:szCs w:val="21"/>
              </w:rPr>
              <w:t>浓度≥20</w:t>
            </w:r>
            <w:r>
              <w:rPr>
                <w:rFonts w:ascii="宋体" w:hAnsi="宋体"/>
                <w:szCs w:val="21"/>
              </w:rPr>
              <w:t>%</w:t>
            </w:r>
          </w:p>
        </w:tc>
        <w:tc>
          <w:tcPr>
            <w:tcW w:w="4667" w:type="dxa"/>
            <w:shd w:val="clear" w:color="auto" w:fill="auto"/>
            <w:vAlign w:val="center"/>
          </w:tcPr>
          <w:p>
            <w:pPr>
              <w:spacing w:line="520" w:lineRule="exact"/>
              <w:rPr>
                <w:rFonts w:ascii="宋体" w:hAnsi="宋体"/>
                <w:sz w:val="24"/>
              </w:rPr>
            </w:pPr>
            <w:r>
              <w:rPr>
                <w:rFonts w:hint="eastAsia" w:ascii="宋体" w:hAnsi="宋体"/>
                <w:szCs w:val="21"/>
              </w:rPr>
              <w:t>按成交</w:t>
            </w:r>
            <w:r>
              <w:rPr>
                <w:rFonts w:ascii="宋体" w:hAnsi="宋体"/>
                <w:szCs w:val="21"/>
              </w:rPr>
              <w:t>价</w:t>
            </w:r>
          </w:p>
        </w:tc>
        <w:tc>
          <w:tcPr>
            <w:tcW w:w="708" w:type="dxa"/>
            <w:shd w:val="clear" w:color="auto" w:fill="auto"/>
            <w:vAlign w:val="center"/>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2</w:t>
            </w:r>
          </w:p>
        </w:tc>
        <w:tc>
          <w:tcPr>
            <w:tcW w:w="2429" w:type="dxa"/>
            <w:shd w:val="clear" w:color="auto" w:fill="auto"/>
            <w:vAlign w:val="center"/>
          </w:tcPr>
          <w:p>
            <w:pPr>
              <w:spacing w:line="520" w:lineRule="exact"/>
              <w:ind w:firstLine="315" w:firstLineChars="150"/>
              <w:rPr>
                <w:rFonts w:ascii="宋体" w:hAnsi="宋体"/>
                <w:sz w:val="24"/>
              </w:rPr>
            </w:pPr>
            <w:r>
              <w:rPr>
                <w:rFonts w:hint="eastAsia" w:ascii="宋体" w:hAnsi="宋体"/>
                <w:szCs w:val="21"/>
              </w:rPr>
              <w:t>20</w:t>
            </w:r>
            <w:r>
              <w:rPr>
                <w:rFonts w:ascii="宋体" w:hAnsi="宋体"/>
                <w:szCs w:val="21"/>
              </w:rPr>
              <w:t>%</w:t>
            </w:r>
            <w:r>
              <w:rPr>
                <w:rFonts w:hint="eastAsia" w:ascii="宋体" w:hAnsi="宋体"/>
                <w:szCs w:val="21"/>
              </w:rPr>
              <w:t>＞浓度≥</w:t>
            </w:r>
            <w:r>
              <w:rPr>
                <w:rFonts w:ascii="宋体" w:hAnsi="宋体"/>
                <w:szCs w:val="21"/>
              </w:rPr>
              <w:t>1</w:t>
            </w:r>
            <w:r>
              <w:rPr>
                <w:rFonts w:hint="eastAsia" w:ascii="宋体" w:hAnsi="宋体"/>
                <w:szCs w:val="21"/>
              </w:rPr>
              <w:t>9</w:t>
            </w:r>
            <w:r>
              <w:rPr>
                <w:rFonts w:ascii="宋体" w:hAnsi="宋体"/>
                <w:szCs w:val="21"/>
              </w:rPr>
              <w:t>%</w:t>
            </w:r>
          </w:p>
        </w:tc>
        <w:tc>
          <w:tcPr>
            <w:tcW w:w="4667"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成交价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%-取样</w:t>
            </w:r>
            <w:r>
              <w:rPr>
                <w:rFonts w:hint="eastAsia" w:ascii="宋体" w:hAnsi="宋体"/>
                <w:color w:val="000000" w:themeColor="text1"/>
                <w:szCs w:val="21"/>
                <w14:textFill>
                  <w14:solidFill>
                    <w14:schemeClr w14:val="tx1"/>
                  </w14:solidFill>
                </w14:textFill>
              </w:rPr>
              <w:t>值)</w:t>
            </w:r>
            <w:r>
              <w:rPr>
                <w:rFonts w:ascii="宋体" w:hAnsi="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成交价</w:t>
            </w:r>
          </w:p>
        </w:tc>
        <w:tc>
          <w:tcPr>
            <w:tcW w:w="708" w:type="dxa"/>
            <w:shd w:val="clear" w:color="auto" w:fill="auto"/>
            <w:vAlign w:val="center"/>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3</w:t>
            </w:r>
          </w:p>
        </w:tc>
        <w:tc>
          <w:tcPr>
            <w:tcW w:w="2429" w:type="dxa"/>
            <w:shd w:val="clear" w:color="auto" w:fill="auto"/>
            <w:vAlign w:val="center"/>
          </w:tcPr>
          <w:p>
            <w:pPr>
              <w:spacing w:line="520" w:lineRule="exact"/>
              <w:ind w:firstLine="315" w:firstLineChars="150"/>
              <w:rPr>
                <w:rFonts w:ascii="宋体" w:hAnsi="宋体"/>
                <w:sz w:val="24"/>
              </w:rPr>
            </w:pPr>
            <w:r>
              <w:rPr>
                <w:rFonts w:hint="eastAsia" w:ascii="宋体" w:hAnsi="宋体"/>
                <w:szCs w:val="21"/>
              </w:rPr>
              <w:t>19%＞浓度≥18%</w:t>
            </w:r>
          </w:p>
        </w:tc>
        <w:tc>
          <w:tcPr>
            <w:tcW w:w="4667"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成交价-（20%-取样值)</w:t>
            </w:r>
            <w:r>
              <w:rPr>
                <w:color w:val="000000" w:themeColor="text1"/>
                <w14:textFill>
                  <w14:solidFill>
                    <w14:schemeClr w14:val="tx1"/>
                  </w14:solidFill>
                </w14:textFill>
              </w:rPr>
              <w:t xml:space="preserve"> </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成交价</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元</w:t>
            </w:r>
            <w:r>
              <w:rPr>
                <w:rFonts w:ascii="宋体" w:hAnsi="宋体"/>
                <w:color w:val="000000" w:themeColor="text1"/>
                <w:szCs w:val="21"/>
                <w14:textFill>
                  <w14:solidFill>
                    <w14:schemeClr w14:val="tx1"/>
                  </w14:solidFill>
                </w14:textFill>
              </w:rPr>
              <w:t>/吨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tc>
        <w:tc>
          <w:tcPr>
            <w:tcW w:w="708" w:type="dxa"/>
            <w:shd w:val="clear" w:color="auto" w:fill="auto"/>
            <w:vAlign w:val="center"/>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4</w:t>
            </w:r>
          </w:p>
        </w:tc>
        <w:tc>
          <w:tcPr>
            <w:tcW w:w="2429" w:type="dxa"/>
            <w:shd w:val="clear" w:color="auto" w:fill="auto"/>
            <w:vAlign w:val="center"/>
          </w:tcPr>
          <w:p>
            <w:pPr>
              <w:spacing w:line="520" w:lineRule="exact"/>
              <w:ind w:firstLine="315" w:firstLineChars="150"/>
              <w:rPr>
                <w:rFonts w:ascii="宋体" w:hAnsi="宋体"/>
                <w:sz w:val="24"/>
              </w:rPr>
            </w:pPr>
            <w:r>
              <w:rPr>
                <w:rFonts w:ascii="宋体" w:hAnsi="宋体"/>
                <w:szCs w:val="21"/>
              </w:rPr>
              <w:t>18%</w:t>
            </w:r>
            <w:r>
              <w:rPr>
                <w:rFonts w:hint="eastAsia" w:ascii="宋体" w:hAnsi="宋体"/>
                <w:szCs w:val="21"/>
              </w:rPr>
              <w:t>＞</w:t>
            </w:r>
            <w:r>
              <w:rPr>
                <w:rFonts w:ascii="宋体" w:hAnsi="宋体"/>
                <w:szCs w:val="21"/>
              </w:rPr>
              <w:t>浓度</w:t>
            </w:r>
            <w:r>
              <w:rPr>
                <w:rFonts w:hint="eastAsia" w:ascii="宋体" w:hAnsi="宋体"/>
                <w:szCs w:val="21"/>
              </w:rPr>
              <w:t>≥</w:t>
            </w:r>
            <w:r>
              <w:rPr>
                <w:rFonts w:ascii="宋体" w:hAnsi="宋体"/>
                <w:szCs w:val="21"/>
              </w:rPr>
              <w:t>17%</w:t>
            </w:r>
          </w:p>
        </w:tc>
        <w:tc>
          <w:tcPr>
            <w:tcW w:w="4667"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成交价-（20%-取样值)</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成交价</w:t>
            </w:r>
            <w:r>
              <w:rPr>
                <w:rFonts w:ascii="宋体" w:hAnsi="宋体"/>
                <w:color w:val="000000" w:themeColor="text1"/>
                <w:szCs w:val="21"/>
                <w14:textFill>
                  <w14:solidFill>
                    <w14:schemeClr w14:val="tx1"/>
                  </w14:solidFill>
                </w14:textFill>
              </w:rPr>
              <w:t>-60</w:t>
            </w:r>
            <w:r>
              <w:rPr>
                <w:rFonts w:hint="eastAsia" w:ascii="宋体" w:hAnsi="宋体"/>
                <w:color w:val="000000" w:themeColor="text1"/>
                <w:sz w:val="24"/>
                <w14:textFill>
                  <w14:solidFill>
                    <w14:schemeClr w14:val="tx1"/>
                  </w14:solidFill>
                </w14:textFill>
              </w:rPr>
              <w:t>元/吨。</w:t>
            </w:r>
          </w:p>
        </w:tc>
        <w:tc>
          <w:tcPr>
            <w:tcW w:w="708" w:type="dxa"/>
            <w:shd w:val="clear" w:color="auto" w:fill="auto"/>
            <w:vAlign w:val="center"/>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5</w:t>
            </w:r>
          </w:p>
        </w:tc>
        <w:tc>
          <w:tcPr>
            <w:tcW w:w="2429" w:type="dxa"/>
            <w:shd w:val="clear" w:color="auto" w:fill="auto"/>
            <w:vAlign w:val="center"/>
          </w:tcPr>
          <w:p>
            <w:pPr>
              <w:spacing w:line="520" w:lineRule="exact"/>
              <w:ind w:firstLine="315" w:firstLineChars="150"/>
              <w:rPr>
                <w:rFonts w:ascii="宋体" w:hAnsi="宋体"/>
                <w:sz w:val="24"/>
              </w:rPr>
            </w:pPr>
            <w:r>
              <w:rPr>
                <w:rFonts w:hint="eastAsia" w:ascii="宋体" w:hAnsi="宋体"/>
                <w:szCs w:val="21"/>
              </w:rPr>
              <w:t>浓度＜</w:t>
            </w:r>
            <w:r>
              <w:rPr>
                <w:rFonts w:ascii="宋体" w:hAnsi="宋体"/>
                <w:szCs w:val="21"/>
              </w:rPr>
              <w:t>17%</w:t>
            </w:r>
          </w:p>
        </w:tc>
        <w:tc>
          <w:tcPr>
            <w:tcW w:w="4667" w:type="dxa"/>
            <w:shd w:val="clear" w:color="auto" w:fill="auto"/>
            <w:vAlign w:val="center"/>
          </w:tcPr>
          <w:p>
            <w:pPr>
              <w:spacing w:line="276"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按</w:t>
            </w:r>
            <w:r>
              <w:rPr>
                <w:rFonts w:hint="eastAsia" w:ascii="宋体" w:hAnsi="宋体"/>
                <w:color w:val="000000" w:themeColor="text1"/>
                <w:szCs w:val="21"/>
                <w14:textFill>
                  <w14:solidFill>
                    <w14:schemeClr w14:val="tx1"/>
                  </w14:solidFill>
                </w14:textFill>
              </w:rPr>
              <w:t>成交价的</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结算</w:t>
            </w:r>
            <w:r>
              <w:rPr>
                <w:rFonts w:ascii="宋体" w:hAnsi="宋体"/>
                <w:color w:val="000000" w:themeColor="text1"/>
                <w:szCs w:val="21"/>
                <w14:textFill>
                  <w14:solidFill>
                    <w14:schemeClr w14:val="tx1"/>
                  </w14:solidFill>
                </w14:textFill>
              </w:rPr>
              <w:t>。</w:t>
            </w:r>
          </w:p>
        </w:tc>
        <w:tc>
          <w:tcPr>
            <w:tcW w:w="708" w:type="dxa"/>
            <w:shd w:val="clear" w:color="auto" w:fill="auto"/>
            <w:vAlign w:val="center"/>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shd w:val="clear" w:color="auto" w:fill="auto"/>
            <w:vAlign w:val="center"/>
          </w:tcPr>
          <w:p>
            <w:pPr>
              <w:spacing w:line="520" w:lineRule="exact"/>
              <w:ind w:firstLine="210" w:firstLineChars="100"/>
              <w:rPr>
                <w:rFonts w:ascii="宋体" w:hAnsi="宋体"/>
                <w:sz w:val="24"/>
              </w:rPr>
            </w:pPr>
            <w:r>
              <w:rPr>
                <w:rFonts w:hint="eastAsia" w:ascii="宋体" w:hAnsi="宋体"/>
                <w:szCs w:val="21"/>
              </w:rPr>
              <w:t>6</w:t>
            </w:r>
          </w:p>
        </w:tc>
        <w:tc>
          <w:tcPr>
            <w:tcW w:w="2429" w:type="dxa"/>
            <w:shd w:val="clear" w:color="auto" w:fill="auto"/>
            <w:vAlign w:val="center"/>
          </w:tcPr>
          <w:p>
            <w:pPr>
              <w:spacing w:line="520" w:lineRule="exact"/>
              <w:ind w:firstLine="315" w:firstLineChars="150"/>
              <w:rPr>
                <w:rFonts w:ascii="宋体" w:hAnsi="宋体"/>
                <w:sz w:val="24"/>
              </w:rPr>
            </w:pPr>
            <w:r>
              <w:rPr>
                <w:rFonts w:hint="eastAsia" w:ascii="宋体" w:hAnsi="宋体"/>
                <w:szCs w:val="21"/>
              </w:rPr>
              <w:t>浓度≤1</w:t>
            </w:r>
            <w:r>
              <w:rPr>
                <w:rFonts w:ascii="宋体" w:hAnsi="宋体"/>
                <w:szCs w:val="21"/>
              </w:rPr>
              <w:t>5</w:t>
            </w:r>
            <w:r>
              <w:rPr>
                <w:rFonts w:hint="eastAsia" w:ascii="宋体" w:hAnsi="宋体"/>
                <w:szCs w:val="21"/>
              </w:rPr>
              <w:t>%</w:t>
            </w:r>
          </w:p>
        </w:tc>
        <w:tc>
          <w:tcPr>
            <w:tcW w:w="4667" w:type="dxa"/>
            <w:shd w:val="clear" w:color="auto" w:fill="auto"/>
            <w:vAlign w:val="center"/>
          </w:tcPr>
          <w:p>
            <w:pPr>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需方将无偿使用该批次产品</w:t>
            </w:r>
          </w:p>
        </w:tc>
        <w:tc>
          <w:tcPr>
            <w:tcW w:w="708" w:type="dxa"/>
            <w:shd w:val="clear" w:color="auto" w:fill="auto"/>
            <w:vAlign w:val="center"/>
          </w:tcPr>
          <w:p>
            <w:pPr>
              <w:spacing w:line="520" w:lineRule="exact"/>
              <w:rPr>
                <w:rFonts w:ascii="宋体" w:hAnsi="宋体"/>
                <w:sz w:val="24"/>
              </w:rPr>
            </w:pPr>
          </w:p>
        </w:tc>
      </w:tr>
    </w:tbl>
    <w:p>
      <w:pPr>
        <w:widowControl/>
        <w:spacing w:line="360" w:lineRule="auto"/>
        <w:jc w:val="left"/>
        <w:rPr>
          <w:rFonts w:ascii="宋体" w:hAnsi="宋体" w:eastAsia="宋体" w:cs="宋体"/>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月1日至202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9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日，具体以需方通知为准。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cs="宋体" w:asciiTheme="minorEastAsia" w:hAnsiTheme="minorEastAsia"/>
          <w:color w:val="000000" w:themeColor="text1"/>
          <w:kern w:val="0"/>
          <w:sz w:val="24"/>
          <w:szCs w:val="24"/>
          <w14:textFill>
            <w14:solidFill>
              <w14:schemeClr w14:val="tx1"/>
            </w14:solidFill>
          </w14:textFill>
        </w:rPr>
        <w:t>厦门市海沧区</w:t>
      </w:r>
      <w:r>
        <w:rPr>
          <w:rFonts w:cs="宋体" w:asciiTheme="minorEastAsia" w:hAnsiTheme="minorEastAsia"/>
          <w:color w:val="000000" w:themeColor="text1"/>
          <w:kern w:val="0"/>
          <w:sz w:val="24"/>
          <w:szCs w:val="24"/>
          <w14:textFill>
            <w14:solidFill>
              <w14:schemeClr w14:val="tx1"/>
            </w14:solidFill>
          </w14:textFill>
        </w:rPr>
        <w:t>阳光西路</w:t>
      </w:r>
      <w:r>
        <w:rPr>
          <w:rFonts w:hint="eastAsia" w:cs="宋体" w:asciiTheme="minorEastAsia" w:hAnsiTheme="minorEastAsia"/>
          <w:color w:val="000000" w:themeColor="text1"/>
          <w:kern w:val="0"/>
          <w:sz w:val="24"/>
          <w:szCs w:val="24"/>
          <w14:textFill>
            <w14:solidFill>
              <w14:schemeClr w14:val="tx1"/>
            </w14:solidFill>
          </w14:textFill>
        </w:rPr>
        <w:t>288号</w:t>
      </w:r>
      <w:r>
        <w:rPr>
          <w:rFonts w:hint="eastAsia" w:ascii="宋体" w:hAnsi="宋体" w:eastAsia="宋体" w:cs="宋体"/>
          <w:kern w:val="0"/>
          <w:sz w:val="24"/>
          <w:szCs w:val="24"/>
        </w:rPr>
        <w:t>（厦门海</w:t>
      </w:r>
      <w:r>
        <w:rPr>
          <w:rFonts w:ascii="宋体" w:hAnsi="宋体" w:eastAsia="宋体" w:cs="宋体"/>
          <w:kern w:val="0"/>
          <w:sz w:val="24"/>
          <w:szCs w:val="24"/>
        </w:rPr>
        <w:t>发环保能源股份</w:t>
      </w:r>
      <w:r>
        <w:rPr>
          <w:rFonts w:hint="eastAsia" w:ascii="宋体" w:hAnsi="宋体" w:eastAsia="宋体" w:cs="宋体"/>
          <w:kern w:val="0"/>
          <w:sz w:val="24"/>
          <w:szCs w:val="24"/>
        </w:rPr>
        <w:t>有限</w:t>
      </w:r>
      <w:r>
        <w:rPr>
          <w:rFonts w:ascii="宋体" w:hAnsi="宋体" w:eastAsia="宋体" w:cs="宋体"/>
          <w:kern w:val="0"/>
          <w:sz w:val="24"/>
          <w:szCs w:val="24"/>
        </w:rPr>
        <w:t>公司</w:t>
      </w:r>
      <w:r>
        <w:rPr>
          <w:rFonts w:hint="eastAsia" w:ascii="宋体" w:hAnsi="宋体" w:eastAsia="宋体" w:cs="宋体"/>
          <w:kern w:val="0"/>
          <w:sz w:val="24"/>
          <w:szCs w:val="24"/>
        </w:rPr>
        <w:t>厂</w:t>
      </w:r>
      <w:r>
        <w:rPr>
          <w:rFonts w:ascii="宋体" w:hAnsi="宋体" w:eastAsia="宋体" w:cs="宋体"/>
          <w:kern w:val="0"/>
          <w:sz w:val="24"/>
          <w:szCs w:val="24"/>
        </w:rPr>
        <w:t>内</w:t>
      </w:r>
      <w:r>
        <w:rPr>
          <w:rFonts w:hint="eastAsia" w:ascii="宋体" w:hAnsi="宋体" w:eastAsia="宋体" w:cs="宋体"/>
          <w:kern w:val="0"/>
          <w:sz w:val="24"/>
          <w:szCs w:val="24"/>
        </w:rPr>
        <w:t>）</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约15吨。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cs="宋体"/>
          <w:color w:val="333333"/>
          <w:kern w:val="0"/>
          <w:sz w:val="24"/>
        </w:rPr>
        <w:t>需适合</w:t>
      </w:r>
      <w:r>
        <w:rPr>
          <w:rFonts w:hint="eastAsia" w:ascii="宋体" w:hAnsi="宋体" w:eastAsia="宋体" w:cs="宋体"/>
          <w:color w:val="3A3A3A"/>
          <w:kern w:val="0"/>
          <w:sz w:val="24"/>
          <w:szCs w:val="24"/>
        </w:rPr>
        <w:t>需方</w:t>
      </w:r>
      <w:r>
        <w:rPr>
          <w:rFonts w:hint="eastAsia" w:ascii="宋体" w:hAnsi="宋体" w:cs="宋体"/>
          <w:color w:val="333333"/>
          <w:kern w:val="0"/>
          <w:sz w:val="24"/>
        </w:rPr>
        <w:t>环保脱硝使用，由</w:t>
      </w:r>
      <w:r>
        <w:rPr>
          <w:rFonts w:hint="eastAsia" w:ascii="宋体" w:hAnsi="宋体" w:eastAsia="宋体" w:cs="宋体"/>
          <w:color w:val="3A3A3A"/>
          <w:kern w:val="0"/>
          <w:sz w:val="24"/>
          <w:szCs w:val="24"/>
        </w:rPr>
        <w:t>需方</w:t>
      </w:r>
      <w:r>
        <w:rPr>
          <w:rFonts w:hint="eastAsia" w:ascii="宋体" w:hAnsi="宋体" w:cs="宋体"/>
          <w:color w:val="333333"/>
          <w:kern w:val="0"/>
          <w:sz w:val="24"/>
        </w:rPr>
        <w:t>按照现有的设备对所取样品进行化验，并以化验结果作为结算依据(四</w:t>
      </w:r>
      <w:r>
        <w:rPr>
          <w:rFonts w:ascii="宋体" w:hAnsi="宋体" w:cs="宋体"/>
          <w:color w:val="333333"/>
          <w:kern w:val="0"/>
          <w:sz w:val="24"/>
        </w:rPr>
        <w:t>小时内出化验报告</w:t>
      </w:r>
      <w:r>
        <w:rPr>
          <w:rFonts w:hint="eastAsia" w:ascii="宋体" w:hAnsi="宋体" w:cs="宋体"/>
          <w:color w:val="333333"/>
          <w:kern w:val="0"/>
          <w:sz w:val="24"/>
        </w:rPr>
        <w:t>)</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月结算</w:t>
      </w:r>
      <w:r>
        <w:rPr>
          <w:rFonts w:cs="宋体" w:asciiTheme="minorEastAsia" w:hAnsiTheme="minorEastAsia"/>
          <w:kern w:val="0"/>
          <w:sz w:val="24"/>
          <w:szCs w:val="24"/>
        </w:rPr>
        <w:t>。</w:t>
      </w:r>
    </w:p>
    <w:p>
      <w:pPr>
        <w:widowControl/>
        <w:spacing w:line="480" w:lineRule="auto"/>
        <w:rPr>
          <w:rFonts w:cs="宋体" w:asciiTheme="minorEastAsia" w:hAnsiTheme="minorEastAsia"/>
          <w:color w:val="FF0000"/>
          <w:kern w:val="0"/>
          <w:sz w:val="24"/>
          <w:szCs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8176"/>
      <w:bookmarkStart w:id="46" w:name="_Toc15618_WPSOffice_Level1"/>
      <w:bookmarkStart w:id="47" w:name="_Toc3940_WPSOffice_Level1"/>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spacing w:line="500" w:lineRule="exact"/>
        <w:ind w:firstLine="480" w:firstLineChars="200"/>
        <w:rPr>
          <w:rFonts w:ascii="宋体" w:hAnsi="宋体"/>
          <w:sz w:val="24"/>
        </w:rPr>
      </w:pPr>
      <w:r>
        <w:rPr>
          <w:rFonts w:hint="eastAsia" w:ascii="宋体" w:hAnsi="宋体"/>
          <w:sz w:val="24"/>
        </w:rPr>
        <w:t>根据《中华人民共和国民法典》及有关法律、法规，需方、供方本着精诚合作、互惠互利的原则，就需方环保生产用</w:t>
      </w:r>
      <w:r>
        <w:rPr>
          <w:rFonts w:ascii="宋体" w:hAnsi="宋体"/>
          <w:sz w:val="24"/>
        </w:rPr>
        <w:t>氨水</w:t>
      </w:r>
      <w:r>
        <w:rPr>
          <w:rFonts w:hint="eastAsia" w:ascii="宋体" w:hAnsi="宋体"/>
          <w:sz w:val="24"/>
        </w:rPr>
        <w:t>采购项目，经双方协商，达成如下协议，供双方共同遵守。</w:t>
      </w:r>
    </w:p>
    <w:p/>
    <w:p>
      <w:pPr>
        <w:spacing w:line="360" w:lineRule="auto"/>
        <w:ind w:firstLine="480" w:firstLineChars="200"/>
        <w:rPr>
          <w:rFonts w:ascii="宋体" w:hAnsi="宋体"/>
          <w:sz w:val="24"/>
        </w:rPr>
      </w:pPr>
      <w:r>
        <w:rPr>
          <w:rFonts w:hint="eastAsia" w:ascii="宋体" w:hAnsi="宋体"/>
          <w:sz w:val="24"/>
        </w:rPr>
        <w:t>一、产品名称、规格、数量、单价（</w:t>
      </w:r>
      <w:r>
        <w:rPr>
          <w:rFonts w:ascii="宋体" w:hAnsi="宋体"/>
          <w:sz w:val="24"/>
        </w:rPr>
        <w:t>含</w:t>
      </w:r>
      <w:r>
        <w:rPr>
          <w:rFonts w:hint="eastAsia" w:ascii="宋体" w:hAnsi="宋体"/>
          <w:sz w:val="24"/>
        </w:rPr>
        <w:t>13</w:t>
      </w:r>
      <w:r>
        <w:rPr>
          <w:rFonts w:ascii="宋体" w:hAnsi="宋体"/>
          <w:sz w:val="24"/>
        </w:rPr>
        <w:t>%税</w:t>
      </w:r>
      <w:r>
        <w:rPr>
          <w:rFonts w:hint="eastAsia" w:ascii="宋体" w:hAnsi="宋体"/>
          <w:sz w:val="24"/>
        </w:rPr>
        <w:t>）表</w:t>
      </w:r>
      <w:r>
        <w:rPr>
          <w:rFonts w:ascii="宋体" w:hAnsi="宋体"/>
          <w:sz w:val="24"/>
        </w:rPr>
        <w:t>一</w:t>
      </w:r>
      <w:r>
        <w:rPr>
          <w:rFonts w:hint="eastAsia" w:ascii="宋体" w:hAnsi="宋体"/>
          <w:sz w:val="24"/>
        </w:rPr>
        <w:t xml:space="preserve">。       </w:t>
      </w:r>
    </w:p>
    <w:tbl>
      <w:tblPr>
        <w:tblStyle w:val="1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892"/>
        <w:gridCol w:w="1276"/>
        <w:gridCol w:w="1565"/>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93" w:type="dxa"/>
            <w:vAlign w:val="center"/>
          </w:tcPr>
          <w:p>
            <w:pPr>
              <w:spacing w:line="360" w:lineRule="auto"/>
              <w:jc w:val="center"/>
              <w:rPr>
                <w:rFonts w:ascii="宋体" w:hAnsi="宋体"/>
                <w:sz w:val="24"/>
              </w:rPr>
            </w:pPr>
            <w:r>
              <w:rPr>
                <w:rFonts w:hint="eastAsia" w:ascii="宋体" w:hAnsi="宋体"/>
                <w:sz w:val="24"/>
              </w:rPr>
              <w:t>产品名称</w:t>
            </w:r>
          </w:p>
        </w:tc>
        <w:tc>
          <w:tcPr>
            <w:tcW w:w="2892" w:type="dxa"/>
            <w:vAlign w:val="center"/>
          </w:tcPr>
          <w:p>
            <w:pPr>
              <w:spacing w:line="360" w:lineRule="auto"/>
              <w:jc w:val="center"/>
              <w:rPr>
                <w:rFonts w:ascii="宋体" w:hAnsi="宋体"/>
                <w:sz w:val="24"/>
              </w:rPr>
            </w:pPr>
            <w:r>
              <w:rPr>
                <w:rFonts w:hint="eastAsia" w:ascii="宋体" w:hAnsi="宋体"/>
                <w:sz w:val="24"/>
              </w:rPr>
              <w:t xml:space="preserve">规 </w:t>
            </w:r>
            <w:r>
              <w:rPr>
                <w:rFonts w:ascii="宋体" w:hAnsi="宋体"/>
                <w:sz w:val="24"/>
              </w:rPr>
              <w:t xml:space="preserve"> </w:t>
            </w:r>
            <w:r>
              <w:rPr>
                <w:rFonts w:hint="eastAsia" w:ascii="宋体" w:hAnsi="宋体"/>
                <w:sz w:val="24"/>
              </w:rPr>
              <w:t>格</w:t>
            </w:r>
          </w:p>
        </w:tc>
        <w:tc>
          <w:tcPr>
            <w:tcW w:w="1276" w:type="dxa"/>
            <w:vAlign w:val="center"/>
          </w:tcPr>
          <w:p>
            <w:pPr>
              <w:spacing w:line="360" w:lineRule="auto"/>
              <w:jc w:val="center"/>
              <w:rPr>
                <w:rFonts w:ascii="宋体" w:hAnsi="宋体"/>
                <w:sz w:val="24"/>
              </w:rPr>
            </w:pPr>
            <w:r>
              <w:rPr>
                <w:rFonts w:hint="eastAsia" w:ascii="宋体" w:hAnsi="宋体"/>
                <w:sz w:val="24"/>
              </w:rPr>
              <w:t>数量(吨)</w:t>
            </w:r>
          </w:p>
        </w:tc>
        <w:tc>
          <w:tcPr>
            <w:tcW w:w="1565" w:type="dxa"/>
            <w:vAlign w:val="center"/>
          </w:tcPr>
          <w:p>
            <w:pPr>
              <w:spacing w:line="360" w:lineRule="auto"/>
              <w:jc w:val="center"/>
              <w:rPr>
                <w:rFonts w:ascii="宋体" w:hAnsi="宋体"/>
                <w:sz w:val="24"/>
              </w:rPr>
            </w:pPr>
            <w:r>
              <w:rPr>
                <w:rFonts w:hint="eastAsia" w:ascii="宋体" w:hAnsi="宋体"/>
                <w:sz w:val="24"/>
              </w:rPr>
              <w:t>单价    （吨/元）</w:t>
            </w:r>
          </w:p>
        </w:tc>
        <w:tc>
          <w:tcPr>
            <w:tcW w:w="1974" w:type="dxa"/>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93" w:type="dxa"/>
            <w:vAlign w:val="center"/>
          </w:tcPr>
          <w:p>
            <w:pPr>
              <w:spacing w:line="360" w:lineRule="auto"/>
              <w:jc w:val="center"/>
              <w:rPr>
                <w:rFonts w:ascii="宋体" w:hAnsi="宋体"/>
                <w:sz w:val="24"/>
              </w:rPr>
            </w:pPr>
            <w:r>
              <w:rPr>
                <w:rFonts w:hint="eastAsia" w:ascii="宋体" w:hAnsi="宋体"/>
                <w:sz w:val="24"/>
              </w:rPr>
              <w:t>氨水</w:t>
            </w:r>
          </w:p>
        </w:tc>
        <w:tc>
          <w:tcPr>
            <w:tcW w:w="2892" w:type="dxa"/>
            <w:vAlign w:val="center"/>
          </w:tcPr>
          <w:p>
            <w:pPr>
              <w:spacing w:line="360" w:lineRule="auto"/>
              <w:jc w:val="center"/>
              <w:rPr>
                <w:rFonts w:ascii="宋体" w:hAnsi="宋体"/>
                <w:sz w:val="24"/>
              </w:rPr>
            </w:pPr>
            <w:r>
              <w:rPr>
                <w:rFonts w:ascii="宋体" w:hAnsi="宋体"/>
                <w:sz w:val="22"/>
              </w:rPr>
              <w:t></w:t>
            </w:r>
            <w:r>
              <w:rPr>
                <w:rFonts w:hint="eastAsia" w:ascii="宋体" w:hAnsi="宋体"/>
                <w:sz w:val="22"/>
              </w:rPr>
              <w:t>氨（NH3）含量≥20％；外观无色透明或带微黄色液体；色度≤80号；残渣含量≤0.3g/L；硫化物≤2.0％；氯化物≤1.0％；</w:t>
            </w:r>
          </w:p>
        </w:tc>
        <w:tc>
          <w:tcPr>
            <w:tcW w:w="1276" w:type="dxa"/>
            <w:vAlign w:val="center"/>
          </w:tcPr>
          <w:p>
            <w:pPr>
              <w:spacing w:line="360" w:lineRule="auto"/>
              <w:jc w:val="center"/>
              <w:rPr>
                <w:rFonts w:ascii="宋体" w:hAnsi="宋体"/>
                <w:sz w:val="24"/>
              </w:rPr>
            </w:pPr>
            <w:r>
              <w:rPr>
                <w:rFonts w:hint="eastAsia" w:ascii="宋体" w:hAnsi="宋体"/>
                <w:sz w:val="24"/>
                <w:lang w:val="en-US" w:eastAsia="zh-CN"/>
              </w:rPr>
              <w:t>3</w:t>
            </w:r>
            <w:r>
              <w:rPr>
                <w:rFonts w:ascii="宋体" w:hAnsi="宋体"/>
                <w:sz w:val="24"/>
              </w:rPr>
              <w:t>00</w:t>
            </w:r>
          </w:p>
        </w:tc>
        <w:tc>
          <w:tcPr>
            <w:tcW w:w="1565" w:type="dxa"/>
            <w:vAlign w:val="center"/>
          </w:tcPr>
          <w:p>
            <w:pPr>
              <w:spacing w:line="360" w:lineRule="auto"/>
              <w:jc w:val="center"/>
              <w:rPr>
                <w:rFonts w:ascii="宋体" w:hAnsi="宋体"/>
                <w:sz w:val="24"/>
              </w:rPr>
            </w:pPr>
          </w:p>
        </w:tc>
        <w:tc>
          <w:tcPr>
            <w:tcW w:w="1974" w:type="dxa"/>
            <w:vAlign w:val="center"/>
          </w:tcPr>
          <w:p>
            <w:pPr>
              <w:spacing w:line="360" w:lineRule="auto"/>
              <w:jc w:val="left"/>
              <w:rPr>
                <w:rFonts w:ascii="宋体" w:hAnsi="宋体"/>
                <w:sz w:val="24"/>
              </w:rPr>
            </w:pPr>
            <w:r>
              <w:rPr>
                <w:rFonts w:hint="eastAsia" w:ascii="宋体" w:hAnsi="宋体"/>
                <w:sz w:val="24"/>
              </w:rPr>
              <w:t xml:space="preserve">  根据需方通知分批次送货，约15吨/次，按月结算。</w:t>
            </w:r>
          </w:p>
        </w:tc>
      </w:tr>
    </w:tbl>
    <w:p>
      <w:pPr>
        <w:spacing w:line="360" w:lineRule="auto"/>
        <w:ind w:firstLine="480" w:firstLineChars="200"/>
        <w:rPr>
          <w:rFonts w:ascii="宋体" w:hAnsi="宋体"/>
          <w:bCs/>
          <w:sz w:val="24"/>
        </w:rPr>
      </w:pPr>
      <w:r>
        <w:rPr>
          <w:rFonts w:hint="eastAsia" w:ascii="宋体" w:hAnsi="宋体"/>
          <w:sz w:val="24"/>
        </w:rPr>
        <w:t>二、运输、</w:t>
      </w:r>
      <w:r>
        <w:rPr>
          <w:rFonts w:hint="eastAsia" w:ascii="宋体" w:hAnsi="宋体"/>
          <w:bCs/>
          <w:sz w:val="24"/>
        </w:rPr>
        <w:t>交（提）货方式、地点及费用：</w:t>
      </w:r>
    </w:p>
    <w:p>
      <w:pPr>
        <w:spacing w:line="360" w:lineRule="auto"/>
        <w:ind w:firstLine="480"/>
        <w:rPr>
          <w:rFonts w:ascii="宋体" w:hAnsi="宋体"/>
          <w:bCs/>
          <w:sz w:val="24"/>
        </w:rPr>
      </w:pPr>
      <w:r>
        <w:rPr>
          <w:rFonts w:hint="eastAsia" w:ascii="宋体" w:hAnsi="宋体"/>
          <w:bCs/>
          <w:sz w:val="24"/>
        </w:rPr>
        <w:t>1、供方须向需方提供企业营业、危险化学品运营资质、危险化学品运输许可证（或委托运输单位合同），相关风险由供方承担。</w:t>
      </w:r>
    </w:p>
    <w:p>
      <w:pPr>
        <w:spacing w:line="360" w:lineRule="auto"/>
        <w:ind w:firstLine="480"/>
        <w:rPr>
          <w:rFonts w:ascii="宋体" w:hAnsi="宋体"/>
          <w:bCs/>
          <w:sz w:val="24"/>
        </w:rPr>
      </w:pPr>
      <w:r>
        <w:rPr>
          <w:rFonts w:hint="eastAsia" w:ascii="宋体" w:hAnsi="宋体"/>
          <w:bCs/>
          <w:sz w:val="24"/>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、供方在接到需方通知后3天内送达。</w:t>
      </w:r>
    </w:p>
    <w:p>
      <w:pPr>
        <w:spacing w:line="360" w:lineRule="auto"/>
        <w:ind w:firstLine="480" w:firstLineChars="200"/>
        <w:rPr>
          <w:rFonts w:ascii="宋体" w:hAnsi="宋体"/>
          <w:b/>
          <w:sz w:val="24"/>
        </w:rPr>
      </w:pPr>
      <w:r>
        <w:rPr>
          <w:rFonts w:hint="eastAsia" w:ascii="宋体" w:hAnsi="宋体"/>
          <w:sz w:val="24"/>
        </w:rPr>
        <w:t>三、数量验收、质量验收</w:t>
      </w:r>
      <w:r>
        <w:rPr>
          <w:rFonts w:ascii="宋体" w:hAnsi="宋体"/>
          <w:bCs/>
          <w:sz w:val="24"/>
        </w:rPr>
        <w:t>：</w:t>
      </w:r>
    </w:p>
    <w:p>
      <w:pPr>
        <w:spacing w:line="360" w:lineRule="auto"/>
        <w:ind w:firstLine="480" w:firstLineChars="200"/>
        <w:rPr>
          <w:rFonts w:ascii="宋体" w:hAnsi="宋体"/>
          <w:sz w:val="24"/>
        </w:rPr>
      </w:pPr>
      <w:r>
        <w:rPr>
          <w:rFonts w:hint="eastAsia" w:ascii="宋体" w:hAnsi="宋体"/>
          <w:sz w:val="24"/>
        </w:rPr>
        <w:t>1、数量验收：以需方厂内电子汽车衡的计量数量为准，双方共同监磅，并作为结算依据。如供方需要，可以委托第三方进行过磅校验，费用由供方负责，每次送货需提供该批次产品出厂检验报告。</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、质量验收：需方分阶段对产品取样,化验由需方按照现有的设备进行化验，并以化验出来的氨水浓</w:t>
      </w:r>
      <w:r>
        <w:rPr>
          <w:rFonts w:ascii="宋体" w:hAnsi="宋体"/>
          <w:sz w:val="24"/>
        </w:rPr>
        <w:t>度</w:t>
      </w:r>
      <w:r>
        <w:rPr>
          <w:rFonts w:hint="eastAsia" w:ascii="宋体" w:hAnsi="宋体"/>
          <w:sz w:val="24"/>
        </w:rPr>
        <w:t>结果作为结算依据。（四小时内出化验报告）表二：</w:t>
      </w:r>
      <w:r>
        <w:rPr>
          <w:rFonts w:ascii="宋体" w:hAnsi="宋体"/>
          <w:sz w:val="24"/>
        </w:rPr>
        <w:t xml:space="preserve"> </w:t>
      </w:r>
    </w:p>
    <w:tbl>
      <w:tblPr>
        <w:tblStyle w:val="11"/>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序号</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检验质量（氨水浓</w:t>
            </w:r>
            <w:r>
              <w:rPr>
                <w:rFonts w:ascii="宋体" w:hAnsi="宋体"/>
                <w:szCs w:val="21"/>
              </w:rPr>
              <w:t>度）</w:t>
            </w:r>
          </w:p>
        </w:tc>
        <w:tc>
          <w:tcPr>
            <w:tcW w:w="5107" w:type="dxa"/>
            <w:shd w:val="clear" w:color="auto" w:fill="auto"/>
            <w:vAlign w:val="center"/>
          </w:tcPr>
          <w:p>
            <w:pPr>
              <w:spacing w:line="520" w:lineRule="exact"/>
              <w:jc w:val="center"/>
              <w:rPr>
                <w:rFonts w:ascii="宋体" w:hAnsi="宋体"/>
                <w:szCs w:val="21"/>
              </w:rPr>
            </w:pPr>
            <w:r>
              <w:rPr>
                <w:rFonts w:hint="eastAsia"/>
              </w:rPr>
              <w:t>每批次结算价（元/吨）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1</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浓度≥20</w:t>
            </w:r>
            <w:r>
              <w:rPr>
                <w:rFonts w:ascii="宋体" w:hAnsi="宋体"/>
                <w:szCs w:val="21"/>
              </w:rPr>
              <w:t>%</w:t>
            </w:r>
          </w:p>
        </w:tc>
        <w:tc>
          <w:tcPr>
            <w:tcW w:w="5107" w:type="dxa"/>
            <w:shd w:val="clear" w:color="auto" w:fill="auto"/>
            <w:vAlign w:val="center"/>
          </w:tcPr>
          <w:p>
            <w:pPr>
              <w:spacing w:line="520" w:lineRule="exact"/>
              <w:rPr>
                <w:rFonts w:ascii="宋体" w:hAnsi="宋体"/>
                <w:szCs w:val="21"/>
              </w:rPr>
            </w:pPr>
            <w:r>
              <w:rPr>
                <w:rFonts w:hint="eastAsia"/>
              </w:rPr>
              <w:t>按合同单价。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2</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20</w:t>
            </w:r>
            <w:r>
              <w:rPr>
                <w:rFonts w:ascii="宋体" w:hAnsi="宋体"/>
                <w:szCs w:val="21"/>
              </w:rPr>
              <w:t>%</w:t>
            </w:r>
            <w:r>
              <w:rPr>
                <w:rFonts w:hint="eastAsia" w:ascii="宋体" w:hAnsi="宋体"/>
                <w:szCs w:val="21"/>
              </w:rPr>
              <w:t>＞浓度≥</w:t>
            </w:r>
            <w:r>
              <w:rPr>
                <w:rFonts w:ascii="宋体" w:hAnsi="宋体"/>
                <w:szCs w:val="21"/>
              </w:rPr>
              <w:t>1</w:t>
            </w:r>
            <w:r>
              <w:rPr>
                <w:rFonts w:hint="eastAsia" w:ascii="宋体" w:hAnsi="宋体"/>
                <w:szCs w:val="21"/>
              </w:rPr>
              <w:t>9</w:t>
            </w:r>
            <w:r>
              <w:rPr>
                <w:rFonts w:ascii="宋体" w:hAnsi="宋体"/>
                <w:szCs w:val="21"/>
              </w:rPr>
              <w:t>%</w:t>
            </w:r>
          </w:p>
        </w:tc>
        <w:tc>
          <w:tcPr>
            <w:tcW w:w="5107" w:type="dxa"/>
            <w:shd w:val="clear" w:color="auto" w:fill="auto"/>
            <w:vAlign w:val="center"/>
          </w:tcPr>
          <w:p>
            <w:pPr>
              <w:spacing w:line="520" w:lineRule="exact"/>
              <w:rPr>
                <w:rFonts w:ascii="宋体" w:hAnsi="宋体"/>
                <w:szCs w:val="21"/>
              </w:rPr>
            </w:pPr>
            <w:r>
              <w:rPr>
                <w:rFonts w:hint="eastAsia"/>
              </w:rPr>
              <w:t>合同单价-（20%-化验浓度）/20%×合同单价。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3</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19%＞浓度≥18%</w:t>
            </w:r>
          </w:p>
        </w:tc>
        <w:tc>
          <w:tcPr>
            <w:tcW w:w="5107" w:type="dxa"/>
            <w:shd w:val="clear" w:color="auto" w:fill="auto"/>
            <w:vAlign w:val="center"/>
          </w:tcPr>
          <w:p>
            <w:pPr>
              <w:spacing w:line="520" w:lineRule="exact"/>
              <w:rPr>
                <w:rFonts w:ascii="宋体" w:hAnsi="宋体"/>
                <w:szCs w:val="21"/>
              </w:rPr>
            </w:pPr>
            <w:r>
              <w:rPr>
                <w:rFonts w:hint="eastAsia"/>
              </w:rPr>
              <w:t>合同单价-（20%-化验浓度）/20%×合同单价-</w:t>
            </w:r>
            <w:r>
              <w:t>30</w:t>
            </w:r>
            <w:r>
              <w:rPr>
                <w:rFonts w:hint="eastAsia"/>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4</w:t>
            </w:r>
          </w:p>
        </w:tc>
        <w:tc>
          <w:tcPr>
            <w:tcW w:w="2410" w:type="dxa"/>
            <w:shd w:val="clear" w:color="auto" w:fill="auto"/>
            <w:vAlign w:val="center"/>
          </w:tcPr>
          <w:p>
            <w:pPr>
              <w:spacing w:line="520" w:lineRule="exact"/>
              <w:jc w:val="center"/>
              <w:rPr>
                <w:rFonts w:ascii="宋体" w:hAnsi="宋体"/>
                <w:szCs w:val="21"/>
              </w:rPr>
            </w:pPr>
            <w:r>
              <w:rPr>
                <w:rFonts w:ascii="宋体" w:hAnsi="宋体"/>
                <w:szCs w:val="21"/>
              </w:rPr>
              <w:t>18%</w:t>
            </w:r>
            <w:r>
              <w:rPr>
                <w:rFonts w:hint="eastAsia" w:ascii="宋体" w:hAnsi="宋体"/>
                <w:szCs w:val="21"/>
              </w:rPr>
              <w:t>＞浓</w:t>
            </w:r>
            <w:r>
              <w:rPr>
                <w:rFonts w:ascii="宋体" w:hAnsi="宋体"/>
                <w:szCs w:val="21"/>
              </w:rPr>
              <w:t>度</w:t>
            </w:r>
            <w:r>
              <w:rPr>
                <w:rFonts w:hint="eastAsia" w:ascii="宋体" w:hAnsi="宋体"/>
                <w:szCs w:val="21"/>
              </w:rPr>
              <w:t>≥</w:t>
            </w:r>
            <w:r>
              <w:rPr>
                <w:rFonts w:ascii="宋体" w:hAnsi="宋体"/>
                <w:szCs w:val="21"/>
              </w:rPr>
              <w:t>17%</w:t>
            </w:r>
          </w:p>
        </w:tc>
        <w:tc>
          <w:tcPr>
            <w:tcW w:w="5107" w:type="dxa"/>
            <w:shd w:val="clear" w:color="auto" w:fill="auto"/>
            <w:vAlign w:val="center"/>
          </w:tcPr>
          <w:p>
            <w:pPr>
              <w:spacing w:line="520" w:lineRule="exact"/>
              <w:rPr>
                <w:rFonts w:ascii="宋体" w:hAnsi="宋体"/>
                <w:szCs w:val="21"/>
              </w:rPr>
            </w:pPr>
            <w:r>
              <w:rPr>
                <w:rFonts w:hint="eastAsia"/>
              </w:rPr>
              <w:t>合同单价-（20%-化验浓度）/20%×合同单价-</w:t>
            </w:r>
            <w:r>
              <w:t>60</w:t>
            </w:r>
            <w:r>
              <w:rPr>
                <w:rFonts w:hint="eastAsia"/>
              </w:rPr>
              <w:t>元/</w:t>
            </w:r>
            <w:r>
              <w:t>吨。</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5</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浓度＜</w:t>
            </w:r>
            <w:r>
              <w:rPr>
                <w:rFonts w:ascii="宋体" w:hAnsi="宋体"/>
                <w:szCs w:val="21"/>
              </w:rPr>
              <w:t>17%</w:t>
            </w:r>
          </w:p>
        </w:tc>
        <w:tc>
          <w:tcPr>
            <w:tcW w:w="5107" w:type="dxa"/>
            <w:shd w:val="clear" w:color="auto" w:fill="auto"/>
            <w:vAlign w:val="center"/>
          </w:tcPr>
          <w:p>
            <w:pPr>
              <w:spacing w:line="276" w:lineRule="auto"/>
              <w:rPr>
                <w:rFonts w:ascii="宋体" w:hAnsi="宋体"/>
                <w:szCs w:val="21"/>
              </w:rPr>
            </w:pPr>
            <w:r>
              <w:rPr>
                <w:rFonts w:hint="eastAsia"/>
              </w:rPr>
              <w:t>按合同单价的50%结算。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520" w:lineRule="exact"/>
              <w:jc w:val="center"/>
              <w:rPr>
                <w:rFonts w:ascii="宋体" w:hAnsi="宋体"/>
                <w:szCs w:val="21"/>
              </w:rPr>
            </w:pPr>
            <w:r>
              <w:rPr>
                <w:rFonts w:hint="eastAsia" w:ascii="宋体" w:hAnsi="宋体"/>
                <w:szCs w:val="21"/>
              </w:rPr>
              <w:t>6</w:t>
            </w:r>
          </w:p>
        </w:tc>
        <w:tc>
          <w:tcPr>
            <w:tcW w:w="2410" w:type="dxa"/>
            <w:shd w:val="clear" w:color="auto" w:fill="auto"/>
            <w:vAlign w:val="center"/>
          </w:tcPr>
          <w:p>
            <w:pPr>
              <w:spacing w:line="520" w:lineRule="exact"/>
              <w:jc w:val="center"/>
              <w:rPr>
                <w:rFonts w:ascii="宋体" w:hAnsi="宋体"/>
                <w:szCs w:val="21"/>
              </w:rPr>
            </w:pPr>
            <w:r>
              <w:rPr>
                <w:rFonts w:hint="eastAsia" w:ascii="宋体" w:hAnsi="宋体"/>
                <w:szCs w:val="21"/>
              </w:rPr>
              <w:t>浓度≤1</w:t>
            </w:r>
            <w:r>
              <w:rPr>
                <w:rFonts w:ascii="宋体" w:hAnsi="宋体"/>
                <w:szCs w:val="21"/>
              </w:rPr>
              <w:t>5</w:t>
            </w:r>
            <w:r>
              <w:rPr>
                <w:rFonts w:hint="eastAsia" w:ascii="宋体" w:hAnsi="宋体"/>
                <w:szCs w:val="21"/>
              </w:rPr>
              <w:t>%</w:t>
            </w:r>
          </w:p>
        </w:tc>
        <w:tc>
          <w:tcPr>
            <w:tcW w:w="5107" w:type="dxa"/>
            <w:shd w:val="clear" w:color="auto" w:fill="auto"/>
            <w:vAlign w:val="center"/>
          </w:tcPr>
          <w:p>
            <w:pPr>
              <w:spacing w:line="276" w:lineRule="auto"/>
              <w:rPr>
                <w:rFonts w:ascii="宋体" w:hAnsi="宋体"/>
                <w:szCs w:val="21"/>
              </w:rPr>
            </w:pPr>
            <w:r>
              <w:rPr>
                <w:rFonts w:hint="eastAsia"/>
              </w:rPr>
              <w:t>需方将无偿使用该批次产品</w:t>
            </w:r>
          </w:p>
        </w:tc>
      </w:tr>
    </w:tbl>
    <w:p>
      <w:pPr>
        <w:spacing w:line="360" w:lineRule="auto"/>
        <w:ind w:firstLine="480" w:firstLineChars="200"/>
        <w:rPr>
          <w:rFonts w:ascii="宋体" w:hAnsi="宋体"/>
          <w:sz w:val="24"/>
        </w:rPr>
      </w:pPr>
      <w:r>
        <w:rPr>
          <w:rFonts w:hint="eastAsia" w:ascii="宋体" w:hAnsi="宋体"/>
          <w:sz w:val="24"/>
        </w:rPr>
        <w:t>四、履约保证金：</w:t>
      </w:r>
    </w:p>
    <w:p>
      <w:pPr>
        <w:spacing w:line="360" w:lineRule="auto"/>
        <w:ind w:firstLine="480" w:firstLineChars="200"/>
        <w:rPr>
          <w:rFonts w:ascii="宋体" w:hAnsi="宋体"/>
          <w:sz w:val="24"/>
        </w:rPr>
      </w:pPr>
      <w:r>
        <w:rPr>
          <w:rFonts w:hint="eastAsia" w:ascii="宋体" w:hAnsi="宋体"/>
          <w:sz w:val="24"/>
        </w:rPr>
        <w:t>经供需双方协商一致，需方将原投标保证金</w:t>
      </w:r>
      <w:r>
        <w:rPr>
          <w:rFonts w:hint="eastAsia" w:ascii="宋体" w:hAnsi="宋体"/>
          <w:sz w:val="24"/>
          <w:lang w:val="en-US" w:eastAsia="zh-CN"/>
        </w:rPr>
        <w:t>陆仟</w:t>
      </w:r>
      <w:r>
        <w:rPr>
          <w:rFonts w:hint="eastAsia" w:ascii="宋体" w:hAnsi="宋体"/>
          <w:sz w:val="24"/>
        </w:rPr>
        <w:t>元整（</w:t>
      </w:r>
      <w:r>
        <w:rPr>
          <w:rFonts w:hint="eastAsia" w:asciiTheme="minorEastAsia" w:hAnsiTheme="minorEastAsia"/>
          <w:sz w:val="24"/>
        </w:rPr>
        <w:t>¥</w:t>
      </w:r>
      <w:r>
        <w:rPr>
          <w:rFonts w:hint="eastAsia" w:ascii="宋体" w:hAnsi="宋体"/>
          <w:sz w:val="24"/>
          <w:lang w:val="en-US" w:eastAsia="zh-CN"/>
        </w:rPr>
        <w:t>6</w:t>
      </w:r>
      <w:r>
        <w:rPr>
          <w:rFonts w:hint="eastAsia" w:ascii="宋体" w:hAnsi="宋体"/>
          <w:sz w:val="24"/>
        </w:rPr>
        <w:t>000.00元）自动转为履约保证金,</w:t>
      </w:r>
      <w:r>
        <w:rPr>
          <w:rFonts w:hint="eastAsia"/>
        </w:rPr>
        <w:t xml:space="preserve"> </w:t>
      </w:r>
      <w:r>
        <w:rPr>
          <w:rFonts w:hint="eastAsia" w:ascii="宋体" w:hAnsi="宋体"/>
          <w:sz w:val="24"/>
        </w:rPr>
        <w:t>履约保证金在供方依约完整全面履行完合同后并经供方书面申请后五个工作日内退还；若供方未能履约，需方无需退还履约保证金。</w:t>
      </w:r>
    </w:p>
    <w:p>
      <w:pPr>
        <w:spacing w:line="360" w:lineRule="auto"/>
        <w:ind w:firstLine="480" w:firstLineChars="200"/>
        <w:rPr>
          <w:rFonts w:ascii="宋体" w:hAnsi="宋体"/>
          <w:bCs/>
          <w:sz w:val="24"/>
        </w:rPr>
      </w:pPr>
      <w:r>
        <w:rPr>
          <w:rFonts w:hint="eastAsia" w:ascii="宋体" w:hAnsi="宋体"/>
          <w:bCs/>
          <w:sz w:val="24"/>
        </w:rPr>
        <w:t>五、结算方式、时间、地点：</w:t>
      </w:r>
    </w:p>
    <w:p>
      <w:pPr>
        <w:spacing w:line="360" w:lineRule="auto"/>
        <w:ind w:firstLine="480" w:firstLineChars="200"/>
        <w:rPr>
          <w:rFonts w:ascii="宋体" w:hAnsi="宋体"/>
          <w:sz w:val="24"/>
        </w:rPr>
      </w:pPr>
      <w:r>
        <w:rPr>
          <w:rFonts w:hint="eastAsia" w:ascii="宋体" w:hAnsi="宋体"/>
          <w:bCs/>
          <w:sz w:val="24"/>
        </w:rPr>
        <w:t>1、</w:t>
      </w:r>
      <w:r>
        <w:rPr>
          <w:rFonts w:hint="eastAsia" w:ascii="宋体" w:hAnsi="宋体"/>
          <w:sz w:val="24"/>
        </w:rPr>
        <w:t>货到付款，以需方厂内电子汽车衡的计量数量为准，供方每月20日出具正规合法有效的13%增值税全额专用发票给需方，需方在书面核实无误后并在收到发票后15个工作日内支付相应款项。</w:t>
      </w:r>
    </w:p>
    <w:p>
      <w:pPr>
        <w:spacing w:line="360" w:lineRule="auto"/>
        <w:ind w:firstLine="480" w:firstLineChars="200"/>
        <w:rPr>
          <w:rFonts w:ascii="宋体" w:hAnsi="宋体"/>
          <w:sz w:val="24"/>
        </w:rPr>
      </w:pPr>
      <w:r>
        <w:rPr>
          <w:rFonts w:hint="eastAsia" w:ascii="宋体" w:hAnsi="宋体"/>
          <w:sz w:val="24"/>
        </w:rPr>
        <w:t>2、在合同期内供货数量以实际供应量结算，总数量不得超过合同签订数量</w:t>
      </w:r>
      <w:r>
        <w:rPr>
          <w:rFonts w:hint="eastAsia" w:ascii="宋体" w:hAnsi="宋体"/>
          <w:sz w:val="24"/>
          <w:lang w:val="en-US" w:eastAsia="zh-CN"/>
        </w:rPr>
        <w:t>3</w:t>
      </w:r>
      <w:bookmarkStart w:id="72" w:name="_GoBack"/>
      <w:bookmarkEnd w:id="72"/>
      <w:r>
        <w:rPr>
          <w:rFonts w:hint="eastAsia" w:ascii="宋体" w:hAnsi="宋体"/>
          <w:sz w:val="24"/>
        </w:rPr>
        <w:t>00吨。</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、若在合同期内增值税率发生调整，则含税单价也须做相应调整。</w:t>
      </w:r>
    </w:p>
    <w:p>
      <w:pPr>
        <w:spacing w:line="360" w:lineRule="auto"/>
        <w:ind w:firstLine="480" w:firstLineChars="200"/>
        <w:rPr>
          <w:rFonts w:ascii="宋体" w:hAnsi="宋体"/>
          <w:bCs/>
          <w:sz w:val="24"/>
        </w:rPr>
      </w:pPr>
      <w:r>
        <w:rPr>
          <w:rFonts w:hint="eastAsia" w:ascii="宋体" w:hAnsi="宋体"/>
          <w:sz w:val="24"/>
        </w:rPr>
        <w:t>六、</w:t>
      </w:r>
      <w:r>
        <w:rPr>
          <w:rFonts w:hint="eastAsia" w:ascii="宋体" w:hAnsi="宋体"/>
          <w:bCs/>
          <w:sz w:val="24"/>
        </w:rPr>
        <w:t>违约责任：</w:t>
      </w:r>
    </w:p>
    <w:p>
      <w:pPr>
        <w:spacing w:line="360" w:lineRule="auto"/>
        <w:ind w:firstLine="480" w:firstLineChars="200"/>
        <w:rPr>
          <w:rFonts w:ascii="宋体" w:hAnsi="宋体"/>
          <w:sz w:val="24"/>
        </w:rPr>
      </w:pPr>
      <w:r>
        <w:rPr>
          <w:rFonts w:hint="eastAsia" w:ascii="宋体" w:hAnsi="宋体"/>
          <w:bCs/>
          <w:sz w:val="24"/>
        </w:rPr>
        <w:t>1、</w:t>
      </w:r>
      <w:r>
        <w:rPr>
          <w:rFonts w:hint="eastAsia" w:ascii="宋体" w:hAnsi="宋体"/>
          <w:sz w:val="24"/>
        </w:rPr>
        <w:t>供方产品质量不符合合同第三条规定的，按照第三条第2款约定承担违约责任。</w:t>
      </w:r>
    </w:p>
    <w:p>
      <w:pPr>
        <w:spacing w:line="360" w:lineRule="auto"/>
        <w:ind w:firstLine="480" w:firstLineChars="200"/>
        <w:rPr>
          <w:rFonts w:ascii="宋体" w:hAnsi="宋体"/>
          <w:sz w:val="24"/>
        </w:rPr>
      </w:pPr>
      <w:r>
        <w:rPr>
          <w:rFonts w:hint="eastAsia" w:ascii="宋体" w:hAnsi="宋体"/>
          <w:sz w:val="24"/>
        </w:rPr>
        <w:t>2、供方若延迟交货，每日须承担该合同总价款的千分之五违约金；逾期五个工作日，需方可单方解除合同，且供方仍应承担违约责任，并赔偿给需方造成的任何损失。</w:t>
      </w:r>
    </w:p>
    <w:p>
      <w:pPr>
        <w:spacing w:line="360" w:lineRule="auto"/>
        <w:ind w:firstLine="480" w:firstLineChars="200"/>
        <w:rPr>
          <w:rFonts w:ascii="宋体" w:hAnsi="宋体"/>
          <w:sz w:val="24"/>
        </w:rPr>
      </w:pPr>
      <w:r>
        <w:rPr>
          <w:rFonts w:hint="eastAsia" w:ascii="宋体" w:hAnsi="宋体"/>
          <w:sz w:val="24"/>
        </w:rPr>
        <w:t>七、安全责任</w:t>
      </w:r>
      <w:r>
        <w:rPr>
          <w:rFonts w:ascii="宋体" w:hAnsi="宋体"/>
          <w:sz w:val="24"/>
        </w:rPr>
        <w:t>条款：</w:t>
      </w:r>
    </w:p>
    <w:p>
      <w:pPr>
        <w:spacing w:line="360" w:lineRule="auto"/>
        <w:ind w:firstLine="480" w:firstLineChars="200"/>
        <w:rPr>
          <w:rFonts w:ascii="宋体" w:hAnsi="宋体"/>
          <w:sz w:val="24"/>
        </w:rPr>
      </w:pPr>
      <w:r>
        <w:rPr>
          <w:rFonts w:hint="eastAsia" w:ascii="宋体" w:hAnsi="宋体"/>
          <w:sz w:val="24"/>
        </w:rPr>
        <w:t>供方进入需方生产区域应遵守需方安全生产管理规定，车辆应</w:t>
      </w:r>
      <w:r>
        <w:rPr>
          <w:rFonts w:ascii="宋体" w:hAnsi="宋体"/>
          <w:sz w:val="24"/>
        </w:rPr>
        <w:t>按规定路线行驶</w:t>
      </w:r>
      <w:r>
        <w:rPr>
          <w:rFonts w:hint="eastAsia" w:ascii="宋体" w:hAnsi="宋体"/>
          <w:sz w:val="24"/>
        </w:rPr>
        <w:t>，不得</w:t>
      </w:r>
      <w:r>
        <w:rPr>
          <w:rFonts w:ascii="宋体" w:hAnsi="宋体"/>
          <w:sz w:val="24"/>
        </w:rPr>
        <w:t>随意进入与本次生产</w:t>
      </w:r>
      <w:r>
        <w:rPr>
          <w:rFonts w:hint="eastAsia" w:ascii="宋体" w:hAnsi="宋体"/>
          <w:sz w:val="24"/>
        </w:rPr>
        <w:t>（</w:t>
      </w:r>
      <w:r>
        <w:rPr>
          <w:rFonts w:ascii="宋体" w:hAnsi="宋体"/>
          <w:sz w:val="24"/>
        </w:rPr>
        <w:t>送货）无关</w:t>
      </w:r>
      <w:r>
        <w:rPr>
          <w:rFonts w:hint="eastAsia" w:ascii="宋体" w:hAnsi="宋体"/>
          <w:sz w:val="24"/>
        </w:rPr>
        <w:t>的</w:t>
      </w:r>
      <w:r>
        <w:rPr>
          <w:rFonts w:ascii="宋体" w:hAnsi="宋体"/>
          <w:sz w:val="24"/>
        </w:rPr>
        <w:t>区域，</w:t>
      </w:r>
      <w:r>
        <w:rPr>
          <w:rFonts w:hint="eastAsia" w:ascii="宋体" w:hAnsi="宋体"/>
          <w:sz w:val="24"/>
        </w:rPr>
        <w:t>进入</w:t>
      </w:r>
      <w:r>
        <w:rPr>
          <w:rFonts w:ascii="宋体" w:hAnsi="宋体"/>
          <w:sz w:val="24"/>
        </w:rPr>
        <w:t>厂区人员</w:t>
      </w:r>
      <w:r>
        <w:rPr>
          <w:rFonts w:hint="eastAsia" w:ascii="宋体" w:hAnsi="宋体"/>
          <w:sz w:val="24"/>
        </w:rPr>
        <w:t>必须按国家有关规定为施工人员配备劳动防护用具、安全用具等，如因供方人员违规</w:t>
      </w:r>
      <w:r>
        <w:rPr>
          <w:rFonts w:ascii="宋体" w:hAnsi="宋体"/>
          <w:sz w:val="24"/>
        </w:rPr>
        <w:t>操作或</w:t>
      </w:r>
      <w:r>
        <w:rPr>
          <w:rFonts w:hint="eastAsia" w:ascii="宋体" w:hAnsi="宋体"/>
          <w:sz w:val="24"/>
        </w:rPr>
        <w:t>疏忽等原因造</w:t>
      </w:r>
      <w:r>
        <w:rPr>
          <w:rFonts w:ascii="宋体" w:hAnsi="宋体"/>
          <w:sz w:val="24"/>
        </w:rPr>
        <w:t>成的损失由供方负责赔偿。</w:t>
      </w:r>
    </w:p>
    <w:p>
      <w:pPr>
        <w:spacing w:line="360" w:lineRule="auto"/>
        <w:ind w:firstLine="480" w:firstLineChars="200"/>
        <w:rPr>
          <w:rFonts w:ascii="宋体" w:hAnsi="宋体"/>
          <w:bCs/>
          <w:sz w:val="24"/>
        </w:rPr>
      </w:pPr>
      <w:r>
        <w:rPr>
          <w:rFonts w:hint="eastAsia" w:ascii="宋体" w:hAnsi="宋体"/>
          <w:sz w:val="24"/>
        </w:rPr>
        <w:t>八、</w:t>
      </w:r>
      <w:r>
        <w:rPr>
          <w:rFonts w:hint="eastAsia" w:ascii="宋体" w:hAnsi="宋体"/>
          <w:bCs/>
          <w:sz w:val="24"/>
        </w:rPr>
        <w:t>合同争议的解决方式：</w:t>
      </w:r>
    </w:p>
    <w:p>
      <w:pPr>
        <w:spacing w:line="360" w:lineRule="auto"/>
        <w:rPr>
          <w:rStyle w:val="27"/>
          <w:rFonts w:ascii="宋体" w:hAnsi="宋体"/>
          <w:b w:val="0"/>
          <w:sz w:val="24"/>
          <w:szCs w:val="24"/>
        </w:rPr>
      </w:pPr>
      <w:r>
        <w:rPr>
          <w:rFonts w:hint="eastAsia" w:ascii="宋体" w:hAnsi="宋体"/>
          <w:bCs/>
          <w:sz w:val="24"/>
        </w:rPr>
        <w:t xml:space="preserve">    </w:t>
      </w:r>
      <w:r>
        <w:rPr>
          <w:rFonts w:hint="eastAsia" w:ascii="宋体" w:hAnsi="宋体"/>
          <w:sz w:val="24"/>
        </w:rPr>
        <w:t>本合同在履行过程中发生的争议，由双方当事人协商解决，协商、调解不成的，可依法向需方所在地有管辖权的人民法院起诉。</w:t>
      </w:r>
    </w:p>
    <w:p>
      <w:pPr>
        <w:spacing w:line="360" w:lineRule="auto"/>
        <w:ind w:firstLine="480" w:firstLineChars="200"/>
        <w:rPr>
          <w:rFonts w:ascii="宋体" w:hAnsi="宋体"/>
          <w:bCs/>
          <w:sz w:val="24"/>
        </w:rPr>
      </w:pPr>
      <w:r>
        <w:rPr>
          <w:rFonts w:hint="eastAsia" w:ascii="宋体" w:hAnsi="宋体"/>
          <w:sz w:val="24"/>
        </w:rPr>
        <w:t>九、</w:t>
      </w:r>
      <w:r>
        <w:rPr>
          <w:rFonts w:hint="eastAsia" w:ascii="宋体" w:hAnsi="宋体"/>
          <w:bCs/>
          <w:sz w:val="24"/>
        </w:rPr>
        <w:t>其他：</w:t>
      </w:r>
    </w:p>
    <w:p>
      <w:pPr>
        <w:spacing w:line="360" w:lineRule="auto"/>
        <w:ind w:left="105" w:leftChars="50" w:firstLine="360" w:firstLineChars="150"/>
        <w:rPr>
          <w:rFonts w:ascii="宋体" w:hAnsi="宋体"/>
          <w:sz w:val="24"/>
        </w:rPr>
      </w:pPr>
      <w:r>
        <w:rPr>
          <w:rFonts w:hint="eastAsia" w:ascii="宋体" w:hAnsi="宋体"/>
          <w:sz w:val="24"/>
        </w:rPr>
        <w:t>1、本合同自签字盖章之日起生效。合同期：</w:t>
      </w:r>
      <w:r>
        <w:rPr>
          <w:rFonts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ascii="宋体" w:hAnsi="宋体"/>
          <w:sz w:val="24"/>
        </w:rPr>
        <w:t>1</w:t>
      </w:r>
      <w:r>
        <w:rPr>
          <w:rFonts w:hint="eastAsia" w:ascii="宋体" w:hAnsi="宋体"/>
          <w:sz w:val="24"/>
        </w:rPr>
        <w:t>日至</w:t>
      </w:r>
      <w:r>
        <w:rPr>
          <w:rFonts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 xml:space="preserve">9 </w:t>
      </w:r>
      <w:r>
        <w:rPr>
          <w:rFonts w:hint="eastAsia" w:ascii="宋体" w:hAnsi="宋体"/>
          <w:sz w:val="24"/>
        </w:rPr>
        <w:t>月</w:t>
      </w:r>
      <w:r>
        <w:rPr>
          <w:rFonts w:hint="eastAsia" w:ascii="宋体" w:hAnsi="宋体"/>
          <w:sz w:val="24"/>
          <w:lang w:val="en-US" w:eastAsia="zh-CN"/>
        </w:rPr>
        <w:t xml:space="preserve"> 30</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kern w:val="0"/>
          <w:sz w:val="24"/>
        </w:rPr>
        <w:t>本合同正本一式三份，需方执二份，供方执一份</w:t>
      </w:r>
      <w:r>
        <w:rPr>
          <w:rFonts w:hint="eastAsia" w:ascii="宋体" w:hAnsi="宋体"/>
          <w:sz w:val="24"/>
        </w:rPr>
        <w:t>。</w:t>
      </w:r>
    </w:p>
    <w:p>
      <w:pPr>
        <w:spacing w:line="120" w:lineRule="auto"/>
        <w:ind w:firstLine="420" w:firstLineChars="200"/>
        <w:rPr>
          <w:rFonts w:ascii="宋体" w:hAnsi="宋体"/>
          <w:szCs w:val="28"/>
        </w:rPr>
      </w:pPr>
    </w:p>
    <w:p>
      <w:pPr>
        <w:spacing w:line="120" w:lineRule="auto"/>
        <w:rPr>
          <w:rFonts w:ascii="宋体" w:hAnsi="宋体"/>
          <w:szCs w:val="28"/>
        </w:rPr>
      </w:pP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4723" w:type="dxa"/>
          </w:tcPr>
          <w:p>
            <w:pPr>
              <w:spacing w:line="360" w:lineRule="auto"/>
              <w:rPr>
                <w:rFonts w:ascii="宋体" w:hAnsi="宋体"/>
                <w:sz w:val="24"/>
              </w:rPr>
            </w:pPr>
            <w:r>
              <w:rPr>
                <w:rFonts w:hint="eastAsia" w:ascii="宋体" w:hAnsi="宋体"/>
                <w:sz w:val="24"/>
              </w:rPr>
              <w:t>供方：</w:t>
            </w:r>
          </w:p>
          <w:p>
            <w:pPr>
              <w:spacing w:line="360" w:lineRule="auto"/>
              <w:rPr>
                <w:rFonts w:ascii="宋体" w:hAnsi="宋体"/>
                <w:sz w:val="24"/>
              </w:rPr>
            </w:pPr>
            <w:r>
              <w:rPr>
                <w:rFonts w:hint="eastAsia" w:ascii="宋体" w:hAnsi="宋体"/>
                <w:sz w:val="24"/>
              </w:rPr>
              <w:t xml:space="preserve">地址： </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bCs/>
                <w:sz w:val="24"/>
              </w:rPr>
            </w:pPr>
            <w:r>
              <w:rPr>
                <w:rFonts w:hint="eastAsia" w:ascii="宋体" w:hAnsi="宋体"/>
                <w:sz w:val="24"/>
              </w:rPr>
              <w:t>开户银行：</w:t>
            </w:r>
          </w:p>
          <w:p>
            <w:pPr>
              <w:spacing w:line="360" w:lineRule="auto"/>
              <w:rPr>
                <w:rFonts w:ascii="宋体" w:hAnsi="宋体"/>
                <w:sz w:val="24"/>
              </w:rPr>
            </w:pPr>
            <w:r>
              <w:rPr>
                <w:rFonts w:hint="eastAsia" w:ascii="宋体" w:hAnsi="宋体"/>
                <w:sz w:val="24"/>
              </w:rPr>
              <w:t>账号：</w:t>
            </w:r>
          </w:p>
          <w:p>
            <w:pPr>
              <w:spacing w:line="360" w:lineRule="auto"/>
              <w:rPr>
                <w:rFonts w:ascii="宋体" w:hAnsi="宋体"/>
                <w:sz w:val="24"/>
              </w:rPr>
            </w:pPr>
            <w:r>
              <w:rPr>
                <w:rFonts w:hint="eastAsia" w:ascii="宋体" w:hAnsi="宋体"/>
                <w:sz w:val="24"/>
              </w:rPr>
              <w:t>电话：</w:t>
            </w:r>
          </w:p>
          <w:p>
            <w:pPr>
              <w:spacing w:line="360" w:lineRule="auto"/>
              <w:rPr>
                <w:rFonts w:ascii="宋体" w:hAnsi="宋体"/>
                <w:sz w:val="24"/>
              </w:rPr>
            </w:pPr>
            <w:r>
              <w:rPr>
                <w:rFonts w:hint="eastAsia" w:ascii="宋体" w:hAnsi="宋体"/>
                <w:sz w:val="24"/>
              </w:rPr>
              <w:t>传真：</w:t>
            </w:r>
          </w:p>
        </w:tc>
        <w:tc>
          <w:tcPr>
            <w:tcW w:w="4628" w:type="dxa"/>
          </w:tcPr>
          <w:p>
            <w:pPr>
              <w:spacing w:line="360" w:lineRule="auto"/>
              <w:rPr>
                <w:rFonts w:ascii="宋体" w:hAnsi="宋体"/>
                <w:sz w:val="24"/>
              </w:rPr>
            </w:pPr>
            <w:r>
              <w:rPr>
                <w:rFonts w:hint="eastAsia" w:ascii="宋体" w:hAnsi="宋体"/>
                <w:sz w:val="24"/>
              </w:rPr>
              <w:t xml:space="preserve">需方：厦门海发环保能源股份有限公司   </w:t>
            </w:r>
          </w:p>
          <w:p>
            <w:pPr>
              <w:spacing w:line="360" w:lineRule="auto"/>
              <w:rPr>
                <w:rFonts w:ascii="宋体" w:hAnsi="宋体"/>
                <w:sz w:val="24"/>
              </w:rPr>
            </w:pPr>
            <w:r>
              <w:rPr>
                <w:rFonts w:hint="eastAsia" w:ascii="宋体" w:hAnsi="宋体"/>
                <w:sz w:val="24"/>
              </w:rPr>
              <w:t>单位地址：厦门市海沧区阳光西路288号</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p>
          <w:p>
            <w:pPr>
              <w:spacing w:line="360" w:lineRule="auto"/>
              <w:rPr>
                <w:rFonts w:ascii="宋体" w:hAnsi="宋体"/>
                <w:sz w:val="24"/>
              </w:rPr>
            </w:pPr>
            <w:r>
              <w:rPr>
                <w:rFonts w:hint="eastAsia" w:ascii="宋体" w:hAnsi="宋体"/>
                <w:sz w:val="24"/>
              </w:rPr>
              <w:t>经办人：</w:t>
            </w:r>
          </w:p>
          <w:p>
            <w:pPr>
              <w:spacing w:line="360" w:lineRule="auto"/>
              <w:rPr>
                <w:rFonts w:hint="eastAsia" w:ascii="宋体" w:hAnsi="宋体" w:eastAsiaTheme="minorEastAsia"/>
                <w:bCs/>
                <w:sz w:val="24"/>
                <w:lang w:eastAsia="zh-CN"/>
              </w:rPr>
            </w:pPr>
            <w:r>
              <w:rPr>
                <w:rFonts w:hint="eastAsia" w:ascii="宋体" w:hAnsi="宋体"/>
                <w:sz w:val="24"/>
              </w:rPr>
              <w:t>开户银行：</w:t>
            </w:r>
            <w:r>
              <w:rPr>
                <w:rFonts w:hint="eastAsia" w:ascii="宋体" w:hAnsi="宋体"/>
                <w:sz w:val="24"/>
                <w:lang w:val="en-US" w:eastAsia="zh-CN"/>
              </w:rPr>
              <w:t xml:space="preserve"> </w:t>
            </w:r>
          </w:p>
          <w:p>
            <w:pPr>
              <w:spacing w:line="360" w:lineRule="auto"/>
              <w:rPr>
                <w:rFonts w:hint="eastAsia" w:ascii="宋体" w:hAnsi="宋体"/>
                <w:sz w:val="24"/>
                <w:lang w:val="en-US" w:eastAsia="zh-CN"/>
              </w:rPr>
            </w:pPr>
            <w:r>
              <w:rPr>
                <w:rFonts w:hint="eastAsia" w:ascii="宋体" w:hAnsi="宋体"/>
                <w:sz w:val="24"/>
              </w:rPr>
              <w:t>账号：</w:t>
            </w:r>
            <w:r>
              <w:rPr>
                <w:rFonts w:hint="eastAsia" w:ascii="宋体" w:hAnsi="宋体"/>
                <w:sz w:val="24"/>
                <w:lang w:val="en-US" w:eastAsia="zh-CN"/>
              </w:rPr>
              <w:t xml:space="preserve"> </w:t>
            </w:r>
          </w:p>
          <w:p>
            <w:pPr>
              <w:spacing w:line="360" w:lineRule="auto"/>
              <w:rPr>
                <w:rFonts w:ascii="宋体" w:hAnsi="宋体"/>
                <w:sz w:val="24"/>
              </w:rPr>
            </w:pPr>
            <w:r>
              <w:rPr>
                <w:rFonts w:hint="eastAsia" w:ascii="宋体" w:hAnsi="宋体"/>
                <w:sz w:val="24"/>
              </w:rPr>
              <w:t>电话：</w:t>
            </w:r>
          </w:p>
          <w:p>
            <w:pPr>
              <w:spacing w:line="360" w:lineRule="auto"/>
              <w:rPr>
                <w:rFonts w:ascii="宋体" w:hAnsi="宋体"/>
                <w:sz w:val="24"/>
              </w:rPr>
            </w:pPr>
            <w:r>
              <w:rPr>
                <w:rFonts w:hint="eastAsia" w:ascii="宋体" w:hAnsi="宋体"/>
                <w:sz w:val="24"/>
              </w:rPr>
              <w:t>传真：</w:t>
            </w:r>
          </w:p>
        </w:tc>
      </w:tr>
    </w:tbl>
    <w:p/>
    <w:p>
      <w:pPr>
        <w:spacing w:line="276" w:lineRule="auto"/>
        <w:ind w:firstLine="420" w:firstLineChars="200"/>
        <w:rPr>
          <w:rFonts w:asciiTheme="minorEastAsia" w:hAnsiTheme="minorEastAsia"/>
          <w:szCs w:val="28"/>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
    <w:p/>
    <w:p/>
    <w:p/>
    <w:p/>
    <w:p/>
    <w:p/>
    <w:p/>
    <w:p/>
    <w:p/>
    <w:p/>
    <w:p/>
    <w:p/>
    <w:p/>
    <w:p/>
    <w:p/>
    <w:p/>
    <w:p/>
    <w:p/>
    <w:p/>
    <w:p/>
    <w:p/>
    <w:p/>
    <w:p/>
    <w:p/>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28305"/>
      <w:bookmarkStart w:id="49" w:name="_Toc3580"/>
      <w:bookmarkStart w:id="50" w:name="_Toc30894"/>
      <w:r>
        <w:rPr>
          <w:rFonts w:hint="eastAsia" w:ascii="宋体" w:hAnsi="宋体"/>
          <w:b/>
          <w:sz w:val="44"/>
          <w:szCs w:val="44"/>
        </w:rPr>
        <w:t>新阳</w:t>
      </w:r>
      <w:r>
        <w:rPr>
          <w:rFonts w:hint="eastAsia" w:ascii="宋体" w:hAnsi="宋体"/>
          <w:b/>
          <w:sz w:val="44"/>
          <w:szCs w:val="44"/>
          <w:lang w:val="en-US" w:eastAsia="zh-CN"/>
        </w:rPr>
        <w:t>事业部</w:t>
      </w:r>
      <w:r>
        <w:rPr>
          <w:rFonts w:hint="eastAsia" w:ascii="宋体" w:hAnsi="宋体"/>
          <w:b/>
          <w:sz w:val="44"/>
          <w:szCs w:val="44"/>
        </w:rPr>
        <w:t>氨水采购项目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31210"/>
      <w:bookmarkStart w:id="53" w:name="_Toc26010"/>
      <w:bookmarkStart w:id="54" w:name="_Toc12676"/>
      <w:bookmarkStart w:id="55" w:name="_Toc106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2504"/>
      <w:bookmarkStart w:id="57" w:name="_Toc26421"/>
      <w:bookmarkStart w:id="58" w:name="_Toc16600"/>
      <w:bookmarkStart w:id="59" w:name="_Toc2110"/>
      <w:bookmarkStart w:id="60" w:name="_Toc28416"/>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hint="eastAsia" w:ascii="宋体" w:hAnsi="宋体"/>
          <w:b/>
          <w:bCs/>
          <w:sz w:val="28"/>
          <w:szCs w:val="28"/>
        </w:rPr>
      </w:pPr>
      <w:bookmarkStart w:id="61" w:name="_Toc7425"/>
      <w:bookmarkStart w:id="62" w:name="_Toc19182"/>
      <w:bookmarkStart w:id="63" w:name="_Toc14233"/>
      <w:bookmarkStart w:id="64" w:name="_Toc7142"/>
      <w:bookmarkStart w:id="65" w:name="_Toc24026"/>
      <w:r>
        <w:rPr>
          <w:rFonts w:hint="eastAsia" w:ascii="宋体" w:hAnsi="宋体"/>
          <w:b/>
          <w:bCs/>
          <w:sz w:val="28"/>
          <w:szCs w:val="28"/>
        </w:rPr>
        <w:t>报价日期：202</w:t>
      </w:r>
      <w:r>
        <w:rPr>
          <w:rFonts w:hint="eastAsia" w:ascii="宋体" w:hAnsi="宋体"/>
          <w:b/>
          <w:bCs/>
          <w:sz w:val="28"/>
          <w:szCs w:val="28"/>
          <w:lang w:val="en-US" w:eastAsia="zh-CN"/>
        </w:rPr>
        <w:t>4</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ind w:firstLine="562" w:firstLineChars="200"/>
        <w:outlineLvl w:val="0"/>
        <w:rPr>
          <w:rFonts w:hint="eastAsia" w:ascii="宋体" w:hAnsi="宋体"/>
          <w:b/>
          <w:bCs/>
          <w:sz w:val="28"/>
          <w:szCs w:val="28"/>
        </w:rPr>
      </w:pPr>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28"/>
        <w:widowControl/>
        <w:numPr>
          <w:ilvl w:val="0"/>
          <w:numId w:val="14"/>
        </w:numPr>
        <w:shd w:val="clear" w:color="auto" w:fill="FFFFFF"/>
        <w:spacing w:line="480" w:lineRule="atLeast"/>
        <w:ind w:firstLineChars="0"/>
        <w:jc w:val="left"/>
        <w:rPr>
          <w:rFonts w:cs="宋体" w:asciiTheme="minorEastAsia" w:hAnsiTheme="minorEastAsia"/>
          <w:kern w:val="0"/>
          <w:sz w:val="24"/>
          <w:szCs w:val="24"/>
        </w:rPr>
      </w:pPr>
      <w:r>
        <w:rPr>
          <w:rFonts w:hint="eastAsia" w:ascii="宋体" w:hAnsi="宋体" w:cs="宋体"/>
          <w:kern w:val="0"/>
          <w:sz w:val="24"/>
          <w:szCs w:val="24"/>
        </w:rPr>
        <w:t>危险化学品经营</w:t>
      </w:r>
      <w:r>
        <w:rPr>
          <w:rFonts w:ascii="宋体" w:hAnsi="宋体" w:cs="宋体"/>
          <w:kern w:val="0"/>
          <w:sz w:val="24"/>
          <w:szCs w:val="24"/>
        </w:rPr>
        <w:t>许可证</w:t>
      </w:r>
      <w:r>
        <w:rPr>
          <w:rFonts w:hint="eastAsia" w:ascii="宋体" w:hAnsi="宋体"/>
          <w:sz w:val="24"/>
          <w:szCs w:val="24"/>
        </w:rPr>
        <w:t>复印件加盖公章。（</w:t>
      </w:r>
      <w:r>
        <w:rPr>
          <w:rFonts w:ascii="宋体" w:hAnsi="宋体"/>
          <w:sz w:val="24"/>
          <w:szCs w:val="24"/>
        </w:rPr>
        <w:t>见附件</w:t>
      </w:r>
      <w:r>
        <w:rPr>
          <w:rFonts w:hint="eastAsia" w:ascii="宋体" w:hAnsi="宋体"/>
          <w:sz w:val="24"/>
          <w:szCs w:val="24"/>
        </w:rPr>
        <w:t>6）</w:t>
      </w:r>
      <w:r>
        <w:rPr>
          <w:rFonts w:ascii="宋体" w:hAnsi="宋体"/>
          <w:sz w:val="24"/>
          <w:szCs w:val="24"/>
        </w:rPr>
        <w:t>；</w:t>
      </w:r>
    </w:p>
    <w:p>
      <w:pPr>
        <w:numPr>
          <w:ilvl w:val="0"/>
          <w:numId w:val="14"/>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5"/>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rPr>
        <w:t>新阳</w:t>
      </w:r>
      <w:r>
        <w:rPr>
          <w:rFonts w:hint="eastAsia" w:ascii="宋体" w:hAnsi="宋体" w:cs="宋体"/>
          <w:b/>
          <w:spacing w:val="-4"/>
          <w:sz w:val="24"/>
          <w:szCs w:val="24"/>
          <w:u w:val="single"/>
          <w:lang w:val="en-US" w:eastAsia="zh-CN"/>
        </w:rPr>
        <w:t>事业部</w:t>
      </w:r>
      <w:r>
        <w:rPr>
          <w:rFonts w:hint="eastAsia" w:ascii="宋体" w:hAnsi="宋体" w:cs="宋体"/>
          <w:b/>
          <w:spacing w:val="-4"/>
          <w:sz w:val="24"/>
          <w:szCs w:val="24"/>
          <w:u w:val="single"/>
        </w:rPr>
        <w:t>氨水</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4</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hint="eastAsia" w:ascii="宋体" w:hAnsi="宋体" w:eastAsiaTheme="minorEastAsia"/>
          <w:b/>
          <w:kern w:val="0"/>
          <w:sz w:val="36"/>
          <w:szCs w:val="36"/>
          <w:lang w:eastAsia="zh-CN"/>
        </w:rPr>
      </w:pPr>
      <w:r>
        <w:rPr>
          <w:rFonts w:hint="eastAsia" w:ascii="宋体" w:hAnsi="宋体"/>
          <w:b/>
          <w:kern w:val="0"/>
          <w:sz w:val="36"/>
          <w:szCs w:val="36"/>
        </w:rPr>
        <w:t>谈 判 报 价 书</w:t>
      </w:r>
      <w:r>
        <w:rPr>
          <w:rFonts w:hint="eastAsia" w:ascii="宋体" w:hAnsi="宋体"/>
          <w:b/>
          <w:kern w:val="0"/>
          <w:sz w:val="36"/>
          <w:szCs w:val="36"/>
          <w:lang w:val="en-US" w:eastAsia="zh-CN"/>
        </w:rPr>
        <w:t xml:space="preserve"> </w:t>
      </w:r>
    </w:p>
    <w:tbl>
      <w:tblPr>
        <w:tblStyle w:val="11"/>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1708"/>
        <w:gridCol w:w="1485"/>
        <w:gridCol w:w="2040"/>
        <w:gridCol w:w="813"/>
        <w:gridCol w:w="930"/>
        <w:gridCol w:w="93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66" w:type="dxa"/>
          <w:trHeight w:val="865" w:hRule="atLeast"/>
          <w:jc w:val="center"/>
        </w:trPr>
        <w:tc>
          <w:tcPr>
            <w:tcW w:w="2567"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1708"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1485" w:type="dxa"/>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数量（吨）</w:t>
            </w:r>
          </w:p>
        </w:tc>
        <w:tc>
          <w:tcPr>
            <w:tcW w:w="2040" w:type="dxa"/>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含税合计金额（元）</w:t>
            </w:r>
          </w:p>
        </w:tc>
        <w:tc>
          <w:tcPr>
            <w:tcW w:w="1743" w:type="dxa"/>
            <w:gridSpan w:val="2"/>
            <w:vAlign w:val="center"/>
          </w:tcPr>
          <w:p>
            <w:pPr>
              <w:widowControl/>
              <w:spacing w:line="500" w:lineRule="exact"/>
              <w:jc w:val="center"/>
              <w:rPr>
                <w:rFonts w:hint="eastAsia" w:eastAsiaTheme="minorEastAsia"/>
                <w:color w:val="000000"/>
                <w:kern w:val="0"/>
                <w:sz w:val="24"/>
                <w:lang w:val="en-US" w:eastAsia="zh-CN"/>
              </w:rPr>
            </w:pPr>
            <w:r>
              <w:rPr>
                <w:rFonts w:hint="eastAsia"/>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66" w:type="dxa"/>
          <w:trHeight w:val="2224" w:hRule="atLeast"/>
          <w:jc w:val="center"/>
        </w:trPr>
        <w:tc>
          <w:tcPr>
            <w:tcW w:w="2567" w:type="dxa"/>
            <w:vAlign w:val="center"/>
          </w:tcPr>
          <w:p>
            <w:pPr>
              <w:pStyle w:val="26"/>
              <w:spacing w:line="276" w:lineRule="auto"/>
              <w:jc w:val="center"/>
              <w:rPr>
                <w:color w:val="000000"/>
                <w:sz w:val="28"/>
                <w:szCs w:val="28"/>
              </w:rPr>
            </w:pPr>
            <w:r>
              <w:rPr>
                <w:rFonts w:hint="eastAsia"/>
                <w:color w:val="000000"/>
                <w:sz w:val="28"/>
                <w:szCs w:val="28"/>
              </w:rPr>
              <w:t>氨水</w:t>
            </w:r>
          </w:p>
          <w:p>
            <w:pPr>
              <w:pStyle w:val="26"/>
              <w:spacing w:line="276" w:lineRule="auto"/>
              <w:jc w:val="center"/>
              <w:rPr>
                <w:color w:val="000000"/>
              </w:rPr>
            </w:pPr>
            <w:r>
              <w:rPr>
                <w:rFonts w:hint="eastAsia"/>
              </w:rPr>
              <w:t>（NH</w:t>
            </w:r>
            <w:r>
              <w:rPr>
                <w:rFonts w:hint="eastAsia"/>
                <w:vertAlign w:val="subscript"/>
              </w:rPr>
              <w:t>3</w:t>
            </w:r>
            <w:r>
              <w:rPr>
                <w:rFonts w:hint="eastAsia" w:asciiTheme="minorEastAsia" w:hAnsiTheme="minorEastAsia"/>
                <w:color w:val="000000" w:themeColor="text1"/>
                <w14:textFill>
                  <w14:solidFill>
                    <w14:schemeClr w14:val="tx1"/>
                  </w14:solidFill>
                </w14:textFill>
              </w:rPr>
              <w:t>浓度≥</w:t>
            </w: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0%</w:t>
            </w:r>
            <w:r>
              <w:rPr>
                <w:rFonts w:asciiTheme="minorEastAsia" w:hAnsiTheme="minorEastAsia"/>
                <w:color w:val="000000" w:themeColor="text1"/>
                <w14:textFill>
                  <w14:solidFill>
                    <w14:schemeClr w14:val="tx1"/>
                  </w14:solidFill>
                </w14:textFill>
              </w:rPr>
              <w:t>）</w:t>
            </w:r>
          </w:p>
        </w:tc>
        <w:tc>
          <w:tcPr>
            <w:tcW w:w="1708" w:type="dxa"/>
            <w:vAlign w:val="center"/>
          </w:tcPr>
          <w:p>
            <w:pPr>
              <w:pStyle w:val="26"/>
              <w:jc w:val="center"/>
              <w:rPr>
                <w:color w:val="000000"/>
              </w:rPr>
            </w:pPr>
          </w:p>
        </w:tc>
        <w:tc>
          <w:tcPr>
            <w:tcW w:w="1485" w:type="dxa"/>
            <w:vAlign w:val="center"/>
          </w:tcPr>
          <w:p>
            <w:pPr>
              <w:pStyle w:val="26"/>
              <w:jc w:val="center"/>
              <w:rPr>
                <w:rFonts w:hint="default" w:eastAsia="宋体"/>
                <w:color w:val="000000"/>
                <w:lang w:val="en-US" w:eastAsia="zh-CN"/>
              </w:rPr>
            </w:pPr>
            <w:r>
              <w:rPr>
                <w:rFonts w:hint="eastAsia"/>
                <w:color w:val="000000"/>
                <w:lang w:val="en-US" w:eastAsia="zh-CN"/>
              </w:rPr>
              <w:t>300</w:t>
            </w:r>
          </w:p>
        </w:tc>
        <w:tc>
          <w:tcPr>
            <w:tcW w:w="2040" w:type="dxa"/>
            <w:vAlign w:val="center"/>
          </w:tcPr>
          <w:p>
            <w:pPr>
              <w:pStyle w:val="26"/>
              <w:jc w:val="center"/>
              <w:rPr>
                <w:color w:val="000000"/>
              </w:rPr>
            </w:pPr>
          </w:p>
        </w:tc>
        <w:tc>
          <w:tcPr>
            <w:tcW w:w="1743" w:type="dxa"/>
            <w:gridSpan w:val="2"/>
            <w:vAlign w:val="center"/>
          </w:tcPr>
          <w:p>
            <w:pPr>
              <w:pStyle w:val="2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66" w:type="dxa"/>
          <w:trHeight w:val="2224" w:hRule="atLeast"/>
          <w:jc w:val="center"/>
        </w:trPr>
        <w:tc>
          <w:tcPr>
            <w:tcW w:w="9543" w:type="dxa"/>
            <w:gridSpan w:val="6"/>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rPr>
              <w:t>谈判保证金为人民币</w:t>
            </w:r>
            <w:r>
              <w:rPr>
                <w:rFonts w:hint="eastAsia" w:ascii="宋体" w:hAnsi="宋体" w:cs="宋体"/>
                <w:color w:val="000000"/>
                <w:kern w:val="0"/>
                <w:sz w:val="24"/>
                <w:szCs w:val="24"/>
                <w:lang w:val="en-US" w:eastAsia="zh-CN"/>
              </w:rPr>
              <w:t>陆仟</w:t>
            </w:r>
            <w:r>
              <w:rPr>
                <w:rFonts w:hint="eastAsia" w:ascii="宋体" w:hAnsi="宋体" w:cs="宋体"/>
                <w:color w:val="000000"/>
                <w:kern w:val="0"/>
                <w:sz w:val="24"/>
                <w:szCs w:val="24"/>
              </w:rPr>
              <w:t>元整</w:t>
            </w: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000.00）。</w:t>
            </w:r>
          </w:p>
          <w:p>
            <w:pPr>
              <w:pStyle w:val="26"/>
              <w:rPr>
                <w:color w:val="000000"/>
              </w:rPr>
            </w:pPr>
            <w:r>
              <w:rPr>
                <w:color w:val="000000"/>
              </w:rPr>
              <w:t>2</w:t>
            </w:r>
            <w:r>
              <w:rPr>
                <w:rFonts w:hint="eastAsia"/>
                <w:color w:val="000000"/>
              </w:rPr>
              <w:t>、若国家税率调整，含税价格须作相应调整。</w:t>
            </w:r>
          </w:p>
          <w:p>
            <w:pPr>
              <w:pStyle w:val="26"/>
              <w:rPr>
                <w:rFonts w:hint="eastAsia"/>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5"/>
          <w:wBefore w:w="8613" w:type="dxa"/>
          <w:trHeight w:val="100" w:hRule="atLeast"/>
          <w:jc w:val="center"/>
        </w:trPr>
        <w:tc>
          <w:tcPr>
            <w:tcW w:w="930" w:type="dxa"/>
          </w:tcPr>
          <w:p>
            <w:pPr>
              <w:widowControl/>
              <w:spacing w:line="500" w:lineRule="exact"/>
              <w:rPr>
                <w:rFonts w:ascii="宋体" w:hAnsi="宋体"/>
                <w:color w:val="000000"/>
                <w:kern w:val="0"/>
                <w:sz w:val="28"/>
                <w:szCs w:val="28"/>
              </w:rPr>
            </w:pPr>
          </w:p>
        </w:tc>
        <w:tc>
          <w:tcPr>
            <w:tcW w:w="930" w:type="dxa"/>
          </w:tcPr>
          <w:p>
            <w:pPr>
              <w:widowControl/>
              <w:spacing w:line="500" w:lineRule="exact"/>
              <w:rPr>
                <w:rFonts w:ascii="宋体" w:hAnsi="宋体"/>
                <w:color w:val="000000"/>
                <w:kern w:val="0"/>
                <w:sz w:val="28"/>
                <w:szCs w:val="28"/>
              </w:rPr>
            </w:pPr>
          </w:p>
        </w:tc>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4</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rPr>
        <w:t>新阳</w:t>
      </w:r>
      <w:r>
        <w:rPr>
          <w:rFonts w:hint="eastAsia" w:ascii="宋体" w:hAnsi="宋体" w:eastAsia="宋体" w:cs="Times New Roman"/>
          <w:bCs/>
          <w:color w:val="000000"/>
          <w:sz w:val="28"/>
          <w:szCs w:val="28"/>
          <w:u w:val="single"/>
          <w:lang w:val="en-US" w:eastAsia="zh-CN"/>
        </w:rPr>
        <w:t>事业部</w:t>
      </w:r>
      <w:r>
        <w:rPr>
          <w:rFonts w:hint="eastAsia" w:ascii="宋体" w:hAnsi="宋体" w:eastAsia="宋体" w:cs="Times New Roman"/>
          <w:bCs/>
          <w:color w:val="000000"/>
          <w:sz w:val="28"/>
          <w:szCs w:val="28"/>
          <w:u w:val="single"/>
        </w:rPr>
        <w:t>氨水</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4</w:t>
      </w:r>
      <w:r>
        <w:rPr>
          <w:rFonts w:hint="eastAsia" w:ascii="宋体" w:hAnsi="宋体" w:eastAsia="宋体" w:cs="Times New Roman"/>
          <w:bCs/>
          <w:color w:val="000000"/>
          <w:sz w:val="28"/>
          <w:szCs w:val="28"/>
        </w:rPr>
        <w:t>年</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0"/>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0"/>
        <w:keepNext w:val="0"/>
        <w:keepLines w:val="0"/>
        <w:kinsoku w:val="0"/>
        <w:overflowPunct w:val="0"/>
        <w:snapToGrid w:val="0"/>
        <w:spacing w:before="0" w:after="0" w:line="240" w:lineRule="auto"/>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r>
        <w:rPr>
          <w:rFonts w:hint="eastAsia" w:ascii="宋体" w:hAnsi="宋体"/>
          <w:sz w:val="28"/>
          <w:szCs w:val="28"/>
        </w:rPr>
        <w:t>附件6：</w:t>
      </w:r>
      <w:r>
        <w:rPr>
          <w:rFonts w:hint="eastAsia" w:ascii="宋体" w:hAnsi="宋体" w:cs="宋体"/>
          <w:kern w:val="0"/>
          <w:sz w:val="28"/>
          <w:szCs w:val="28"/>
        </w:rPr>
        <w:t>危险化学品经营</w:t>
      </w:r>
      <w:r>
        <w:rPr>
          <w:rFonts w:ascii="宋体" w:hAnsi="宋体" w:cs="宋体"/>
          <w:kern w:val="0"/>
          <w:sz w:val="28"/>
          <w:szCs w:val="28"/>
        </w:rPr>
        <w:t>许可证</w:t>
      </w:r>
      <w:r>
        <w:rPr>
          <w:rFonts w:hint="eastAsia" w:ascii="宋体" w:hAnsi="宋体"/>
          <w:sz w:val="28"/>
          <w:szCs w:val="28"/>
        </w:rPr>
        <w:t>复印件加盖报价</w:t>
      </w:r>
      <w:r>
        <w:rPr>
          <w:rFonts w:ascii="宋体" w:hAnsi="宋体"/>
          <w:sz w:val="28"/>
          <w:szCs w:val="28"/>
        </w:rPr>
        <w:t>单位</w:t>
      </w:r>
      <w:r>
        <w:rPr>
          <w:rFonts w:hint="eastAsia" w:ascii="宋体" w:hAnsi="宋体"/>
          <w:sz w:val="28"/>
          <w:szCs w:val="28"/>
        </w:rPr>
        <w:t>公章</w:t>
      </w:r>
      <w:r>
        <w:rPr>
          <w:rFonts w:hint="eastAsia" w:ascii="宋体" w:hAnsi="宋体"/>
          <w:sz w:val="24"/>
          <w:szCs w:val="24"/>
        </w:rPr>
        <w:t>。</w:t>
      </w: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9">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1">
    <w:nsid w:val="60F2FFF6"/>
    <w:multiLevelType w:val="singleLevel"/>
    <w:tmpl w:val="60F2FFF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2">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3">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4">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3"/>
  </w:num>
  <w:num w:numId="4">
    <w:abstractNumId w:val="3"/>
  </w:num>
  <w:num w:numId="5">
    <w:abstractNumId w:val="11"/>
  </w:num>
  <w:num w:numId="6">
    <w:abstractNumId w:val="6"/>
  </w:num>
  <w:num w:numId="7">
    <w:abstractNumId w:val="9"/>
  </w:num>
  <w:num w:numId="8">
    <w:abstractNumId w:val="1"/>
  </w:num>
  <w:num w:numId="9">
    <w:abstractNumId w:val="8"/>
  </w:num>
  <w:num w:numId="10">
    <w:abstractNumId w:val="14"/>
  </w:num>
  <w:num w:numId="11">
    <w:abstractNumId w:val="12"/>
  </w:num>
  <w:num w:numId="12">
    <w:abstractNumId w:val="7"/>
  </w:num>
  <w:num w:numId="13">
    <w:abstractNumId w:val="10"/>
  </w:num>
  <w:num w:numId="14">
    <w:abstractNumId w:val="2"/>
  </w:num>
  <w:num w:numId="15">
    <w:abstractNumId w:val="0"/>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2a41445d-8cd3-4104-8917-3ebe54850e98"/>
  </w:docVars>
  <w:rsids>
    <w:rsidRoot w:val="003E3D3F"/>
    <w:rsid w:val="00015014"/>
    <w:rsid w:val="00033360"/>
    <w:rsid w:val="00041567"/>
    <w:rsid w:val="00044BCD"/>
    <w:rsid w:val="00050D8D"/>
    <w:rsid w:val="00052CF8"/>
    <w:rsid w:val="00092A65"/>
    <w:rsid w:val="000A243A"/>
    <w:rsid w:val="000C132A"/>
    <w:rsid w:val="000E0533"/>
    <w:rsid w:val="00112B27"/>
    <w:rsid w:val="001534BB"/>
    <w:rsid w:val="00180261"/>
    <w:rsid w:val="001B143F"/>
    <w:rsid w:val="001C4C0F"/>
    <w:rsid w:val="001E6CBB"/>
    <w:rsid w:val="001E7F48"/>
    <w:rsid w:val="001F0215"/>
    <w:rsid w:val="002036D8"/>
    <w:rsid w:val="002255C6"/>
    <w:rsid w:val="00230A4C"/>
    <w:rsid w:val="0024527F"/>
    <w:rsid w:val="00253082"/>
    <w:rsid w:val="00262D0E"/>
    <w:rsid w:val="00263B09"/>
    <w:rsid w:val="00283736"/>
    <w:rsid w:val="002B0321"/>
    <w:rsid w:val="002C3DDB"/>
    <w:rsid w:val="002D0DA1"/>
    <w:rsid w:val="002D5C62"/>
    <w:rsid w:val="002E4F77"/>
    <w:rsid w:val="002F7762"/>
    <w:rsid w:val="003056D6"/>
    <w:rsid w:val="00350970"/>
    <w:rsid w:val="0038677E"/>
    <w:rsid w:val="00392646"/>
    <w:rsid w:val="003A705C"/>
    <w:rsid w:val="003C1CD2"/>
    <w:rsid w:val="003E39D7"/>
    <w:rsid w:val="003E3D3F"/>
    <w:rsid w:val="003E410F"/>
    <w:rsid w:val="00403E53"/>
    <w:rsid w:val="00411D01"/>
    <w:rsid w:val="00412C78"/>
    <w:rsid w:val="00416BF4"/>
    <w:rsid w:val="004261E6"/>
    <w:rsid w:val="00427268"/>
    <w:rsid w:val="00430D29"/>
    <w:rsid w:val="00452ECA"/>
    <w:rsid w:val="00463794"/>
    <w:rsid w:val="00487A6C"/>
    <w:rsid w:val="004C0DEB"/>
    <w:rsid w:val="004C46A1"/>
    <w:rsid w:val="004E6E83"/>
    <w:rsid w:val="004F17DE"/>
    <w:rsid w:val="004F2391"/>
    <w:rsid w:val="00531313"/>
    <w:rsid w:val="00547BCC"/>
    <w:rsid w:val="005530F3"/>
    <w:rsid w:val="0056593C"/>
    <w:rsid w:val="005733C1"/>
    <w:rsid w:val="00592D65"/>
    <w:rsid w:val="00593E5F"/>
    <w:rsid w:val="005975E6"/>
    <w:rsid w:val="005B766B"/>
    <w:rsid w:val="005D3938"/>
    <w:rsid w:val="005E591D"/>
    <w:rsid w:val="00605023"/>
    <w:rsid w:val="00613635"/>
    <w:rsid w:val="00621A26"/>
    <w:rsid w:val="00631BDF"/>
    <w:rsid w:val="00631F7E"/>
    <w:rsid w:val="00632270"/>
    <w:rsid w:val="00680FAE"/>
    <w:rsid w:val="006A09AD"/>
    <w:rsid w:val="006D009B"/>
    <w:rsid w:val="00701797"/>
    <w:rsid w:val="00741740"/>
    <w:rsid w:val="00743B22"/>
    <w:rsid w:val="0075259F"/>
    <w:rsid w:val="00754BE8"/>
    <w:rsid w:val="00754E4D"/>
    <w:rsid w:val="00760B20"/>
    <w:rsid w:val="00774A5A"/>
    <w:rsid w:val="00775022"/>
    <w:rsid w:val="007A1322"/>
    <w:rsid w:val="007A7130"/>
    <w:rsid w:val="007C6434"/>
    <w:rsid w:val="00805F52"/>
    <w:rsid w:val="00807AAF"/>
    <w:rsid w:val="0081617D"/>
    <w:rsid w:val="008268FE"/>
    <w:rsid w:val="008552B2"/>
    <w:rsid w:val="00864DDC"/>
    <w:rsid w:val="00867CC7"/>
    <w:rsid w:val="00886013"/>
    <w:rsid w:val="00897F6E"/>
    <w:rsid w:val="008B0E38"/>
    <w:rsid w:val="008B155C"/>
    <w:rsid w:val="008C4558"/>
    <w:rsid w:val="008C4D54"/>
    <w:rsid w:val="008E102B"/>
    <w:rsid w:val="0090216F"/>
    <w:rsid w:val="00916A73"/>
    <w:rsid w:val="00917815"/>
    <w:rsid w:val="00933AA4"/>
    <w:rsid w:val="00946CDF"/>
    <w:rsid w:val="0096225E"/>
    <w:rsid w:val="00962321"/>
    <w:rsid w:val="00965D5D"/>
    <w:rsid w:val="009700A6"/>
    <w:rsid w:val="009700E3"/>
    <w:rsid w:val="00990D26"/>
    <w:rsid w:val="00995034"/>
    <w:rsid w:val="009A2B53"/>
    <w:rsid w:val="009A5BB5"/>
    <w:rsid w:val="009A60F1"/>
    <w:rsid w:val="009D71A8"/>
    <w:rsid w:val="009E27BA"/>
    <w:rsid w:val="009F1211"/>
    <w:rsid w:val="00A04DDE"/>
    <w:rsid w:val="00A15676"/>
    <w:rsid w:val="00A2261D"/>
    <w:rsid w:val="00A25DB2"/>
    <w:rsid w:val="00A371D0"/>
    <w:rsid w:val="00A3748E"/>
    <w:rsid w:val="00A43080"/>
    <w:rsid w:val="00A63A98"/>
    <w:rsid w:val="00A7136F"/>
    <w:rsid w:val="00A97E86"/>
    <w:rsid w:val="00AB118A"/>
    <w:rsid w:val="00AB41B4"/>
    <w:rsid w:val="00AE1E67"/>
    <w:rsid w:val="00AF78B4"/>
    <w:rsid w:val="00B00A9A"/>
    <w:rsid w:val="00B04C59"/>
    <w:rsid w:val="00B16FA4"/>
    <w:rsid w:val="00B47796"/>
    <w:rsid w:val="00B6533D"/>
    <w:rsid w:val="00B66832"/>
    <w:rsid w:val="00B837F8"/>
    <w:rsid w:val="00B91873"/>
    <w:rsid w:val="00B9651A"/>
    <w:rsid w:val="00BA16D3"/>
    <w:rsid w:val="00BB3ED4"/>
    <w:rsid w:val="00BB49AF"/>
    <w:rsid w:val="00BB4F50"/>
    <w:rsid w:val="00BB7B04"/>
    <w:rsid w:val="00BC2A52"/>
    <w:rsid w:val="00BD0EB0"/>
    <w:rsid w:val="00C1342D"/>
    <w:rsid w:val="00C24A5A"/>
    <w:rsid w:val="00C33EFB"/>
    <w:rsid w:val="00C71248"/>
    <w:rsid w:val="00C749F2"/>
    <w:rsid w:val="00CC1D06"/>
    <w:rsid w:val="00CC3C64"/>
    <w:rsid w:val="00CC4D43"/>
    <w:rsid w:val="00CC6A6E"/>
    <w:rsid w:val="00CD0194"/>
    <w:rsid w:val="00CE2BE3"/>
    <w:rsid w:val="00CE5513"/>
    <w:rsid w:val="00D31227"/>
    <w:rsid w:val="00D43597"/>
    <w:rsid w:val="00D45459"/>
    <w:rsid w:val="00D513A8"/>
    <w:rsid w:val="00D51EF7"/>
    <w:rsid w:val="00D52CE8"/>
    <w:rsid w:val="00D706E5"/>
    <w:rsid w:val="00D819C9"/>
    <w:rsid w:val="00D94737"/>
    <w:rsid w:val="00D958B4"/>
    <w:rsid w:val="00DA7CC5"/>
    <w:rsid w:val="00DB2DF2"/>
    <w:rsid w:val="00DC3302"/>
    <w:rsid w:val="00E06E66"/>
    <w:rsid w:val="00E51A6A"/>
    <w:rsid w:val="00E5372B"/>
    <w:rsid w:val="00E87188"/>
    <w:rsid w:val="00E957C7"/>
    <w:rsid w:val="00E97E26"/>
    <w:rsid w:val="00EB11B0"/>
    <w:rsid w:val="00EB45C9"/>
    <w:rsid w:val="00ED67D9"/>
    <w:rsid w:val="00ED6E3A"/>
    <w:rsid w:val="00EF5AEB"/>
    <w:rsid w:val="00EF6D5B"/>
    <w:rsid w:val="00F0210D"/>
    <w:rsid w:val="00F07AD4"/>
    <w:rsid w:val="00F164A0"/>
    <w:rsid w:val="00F51E70"/>
    <w:rsid w:val="00F57E07"/>
    <w:rsid w:val="00F80D00"/>
    <w:rsid w:val="00F81CB9"/>
    <w:rsid w:val="00F8635A"/>
    <w:rsid w:val="00F90AD2"/>
    <w:rsid w:val="00FA102D"/>
    <w:rsid w:val="00FA3890"/>
    <w:rsid w:val="00FC062D"/>
    <w:rsid w:val="00FC0FEC"/>
    <w:rsid w:val="00FC5546"/>
    <w:rsid w:val="00FE37B7"/>
    <w:rsid w:val="07CC768F"/>
    <w:rsid w:val="21A677B1"/>
    <w:rsid w:val="22190869"/>
    <w:rsid w:val="24800A30"/>
    <w:rsid w:val="330620B9"/>
    <w:rsid w:val="3429249E"/>
    <w:rsid w:val="6A357D45"/>
    <w:rsid w:val="717C5298"/>
    <w:rsid w:val="770D6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3">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5">
    <w:name w:val="annotation text"/>
    <w:basedOn w:val="1"/>
    <w:link w:val="23"/>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1"/>
    <w:qFormat/>
    <w:uiPriority w:val="0"/>
    <w:pPr>
      <w:spacing w:before="240" w:after="60"/>
      <w:jc w:val="center"/>
      <w:outlineLvl w:val="0"/>
    </w:pPr>
    <w:rPr>
      <w:rFonts w:ascii="Cambria" w:hAnsi="Cambria" w:cs="Times New Roman"/>
      <w:b/>
      <w:bCs/>
      <w:sz w:val="32"/>
      <w:szCs w:val="32"/>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2 Char"/>
    <w:basedOn w:val="13"/>
    <w:link w:val="2"/>
    <w:qFormat/>
    <w:uiPriority w:val="0"/>
    <w:rPr>
      <w:rFonts w:ascii="Arial" w:hAnsi="Arial" w:eastAsia="黑体" w:cs="Times New Roman"/>
      <w:b/>
      <w:spacing w:val="10"/>
      <w:kern w:val="0"/>
      <w:sz w:val="32"/>
      <w:szCs w:val="20"/>
    </w:rPr>
  </w:style>
  <w:style w:type="paragraph" w:customStyle="1" w:styleId="20">
    <w:name w:val="标题 2 居中"/>
    <w:basedOn w:val="2"/>
    <w:qFormat/>
    <w:uiPriority w:val="0"/>
    <w:pPr>
      <w:jc w:val="center"/>
    </w:pPr>
    <w:rPr>
      <w:rFonts w:ascii="宋体" w:hAnsi="宋体"/>
    </w:rPr>
  </w:style>
  <w:style w:type="character" w:customStyle="1" w:styleId="21">
    <w:name w:val="标题 Char"/>
    <w:link w:val="9"/>
    <w:qFormat/>
    <w:uiPriority w:val="0"/>
    <w:rPr>
      <w:rFonts w:ascii="Cambria" w:hAnsi="Cambria" w:cs="Times New Roman"/>
      <w:b/>
      <w:bCs/>
      <w:sz w:val="32"/>
      <w:szCs w:val="32"/>
    </w:rPr>
  </w:style>
  <w:style w:type="character" w:customStyle="1" w:styleId="22">
    <w:name w:val="标题 Char1"/>
    <w:basedOn w:val="13"/>
    <w:qFormat/>
    <w:uiPriority w:val="10"/>
    <w:rPr>
      <w:rFonts w:eastAsia="宋体" w:asciiTheme="majorHAnsi" w:hAnsiTheme="majorHAnsi" w:cstheme="majorBidi"/>
      <w:b/>
      <w:bCs/>
      <w:sz w:val="32"/>
      <w:szCs w:val="32"/>
    </w:rPr>
  </w:style>
  <w:style w:type="character" w:customStyle="1" w:styleId="23">
    <w:name w:val="批注文字 Char"/>
    <w:basedOn w:val="13"/>
    <w:link w:val="5"/>
    <w:semiHidden/>
    <w:qFormat/>
    <w:uiPriority w:val="99"/>
  </w:style>
  <w:style w:type="character" w:customStyle="1" w:styleId="24">
    <w:name w:val="批注主题 Char"/>
    <w:basedOn w:val="23"/>
    <w:link w:val="10"/>
    <w:semiHidden/>
    <w:qFormat/>
    <w:uiPriority w:val="99"/>
    <w:rPr>
      <w:b/>
      <w:bCs/>
    </w:rPr>
  </w:style>
  <w:style w:type="character" w:customStyle="1" w:styleId="25">
    <w:name w:val="批注框文本 Char"/>
    <w:basedOn w:val="13"/>
    <w:link w:val="6"/>
    <w:semiHidden/>
    <w:qFormat/>
    <w:uiPriority w:val="99"/>
    <w:rPr>
      <w:sz w:val="18"/>
      <w:szCs w:val="18"/>
    </w:rPr>
  </w:style>
  <w:style w:type="paragraph" w:customStyle="1" w:styleId="26">
    <w:name w:val="p0"/>
    <w:basedOn w:val="1"/>
    <w:qFormat/>
    <w:uiPriority w:val="0"/>
    <w:pPr>
      <w:widowControl/>
      <w:jc w:val="left"/>
    </w:pPr>
    <w:rPr>
      <w:rFonts w:ascii="宋体" w:hAnsi="宋体" w:eastAsia="宋体" w:cs="宋体"/>
      <w:kern w:val="0"/>
      <w:sz w:val="24"/>
      <w:szCs w:val="24"/>
    </w:rPr>
  </w:style>
  <w:style w:type="character" w:customStyle="1" w:styleId="27">
    <w:name w:val="标题 3 Char"/>
    <w:basedOn w:val="13"/>
    <w:link w:val="3"/>
    <w:qFormat/>
    <w:uiPriority w:val="0"/>
    <w:rPr>
      <w:rFonts w:ascii="Times New Roman" w:hAnsi="Times New Roman" w:eastAsia="宋体" w:cs="Times New Roman"/>
      <w:b/>
      <w:bCs/>
      <w:sz w:val="32"/>
      <w:szCs w:val="32"/>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6ED6-9826-4E29-8C90-F3944C202014}">
  <ds:schemaRefs/>
</ds:datastoreItem>
</file>

<file path=docProps/app.xml><?xml version="1.0" encoding="utf-8"?>
<Properties xmlns="http://schemas.openxmlformats.org/officeDocument/2006/extended-properties" xmlns:vt="http://schemas.openxmlformats.org/officeDocument/2006/docPropsVTypes">
  <Template>Normal</Template>
  <Pages>20</Pages>
  <Words>6133</Words>
  <Characters>6543</Characters>
  <Lines>51</Lines>
  <Paragraphs>14</Paragraphs>
  <TotalTime>2</TotalTime>
  <ScaleCrop>false</ScaleCrop>
  <LinksUpToDate>false</LinksUpToDate>
  <CharactersWithSpaces>6691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2022-02-16T08:14:00Z</dcterms:created>
  <dc:creator>陈焰</dc:creator>
  <cp:lastModifiedBy>Happy</cp:lastModifiedBy>
  <cp:lastPrinted>2022-02-16T07:04:00Z</cp:lastPrinted>
  <dcterms:modified xsi:type="dcterms:W3CDTF">2024-03-07T04:39:21Z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77FA792A404E4847A96D63F915B914D0</vt:lpwstr>
  </property>
</Properties>
</file>