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2"/>
        <w:spacing w:line="0" w:lineRule="atLeast"/>
        <w:outlineLvl w:val="0"/>
        <w:rPr>
          <w:rFonts w:hAnsi="宋体"/>
          <w:b/>
          <w:sz w:val="84"/>
        </w:rPr>
      </w:pPr>
    </w:p>
    <w:p>
      <w:pPr>
        <w:rPr>
          <w:rFonts w:ascii="宋体" w:hAnsi="宋体"/>
          <w:b/>
          <w:bCs/>
          <w:sz w:val="72"/>
        </w:rPr>
      </w:pPr>
    </w:p>
    <w:p>
      <w:pPr>
        <w:jc w:val="center"/>
        <w:rPr>
          <w:rFonts w:ascii="宋体" w:hAnsi="宋体"/>
          <w:b/>
          <w:bCs/>
          <w:sz w:val="84"/>
        </w:rPr>
      </w:pPr>
      <w:r>
        <w:rPr>
          <w:rFonts w:hint="eastAsia" w:ascii="宋体" w:hAnsi="宋体"/>
          <w:b/>
          <w:bCs/>
          <w:sz w:val="84"/>
        </w:rPr>
        <w:t>谈   判   文   件</w:t>
      </w:r>
    </w:p>
    <w:p>
      <w:pPr>
        <w:pStyle w:val="22"/>
        <w:spacing w:line="0" w:lineRule="atLeast"/>
        <w:rPr>
          <w:rFonts w:hAnsi="宋体"/>
          <w:b/>
          <w:sz w:val="44"/>
        </w:rPr>
      </w:pPr>
    </w:p>
    <w:p>
      <w:pPr>
        <w:pStyle w:val="22"/>
        <w:spacing w:line="0" w:lineRule="atLeast"/>
        <w:rPr>
          <w:rFonts w:hAnsi="宋体"/>
          <w:b/>
          <w:sz w:val="44"/>
        </w:rPr>
      </w:pPr>
    </w:p>
    <w:p>
      <w:pPr>
        <w:pStyle w:val="22"/>
        <w:spacing w:line="0" w:lineRule="atLeast"/>
        <w:rPr>
          <w:rFonts w:hAnsi="宋体"/>
          <w:b/>
          <w:bCs/>
          <w:sz w:val="32"/>
        </w:rPr>
      </w:pPr>
    </w:p>
    <w:p>
      <w:pPr>
        <w:pStyle w:val="22"/>
        <w:spacing w:line="0" w:lineRule="atLeast"/>
        <w:rPr>
          <w:rFonts w:hAnsi="宋体"/>
          <w:b/>
          <w:bCs/>
          <w:sz w:val="32"/>
        </w:rPr>
      </w:pPr>
    </w:p>
    <w:p>
      <w:pPr>
        <w:pStyle w:val="22"/>
        <w:spacing w:line="0" w:lineRule="atLeast"/>
        <w:rPr>
          <w:rFonts w:hAnsi="宋体"/>
          <w:b/>
          <w:bCs/>
          <w:sz w:val="32"/>
        </w:rPr>
      </w:pPr>
    </w:p>
    <w:p>
      <w:pPr>
        <w:pStyle w:val="22"/>
        <w:spacing w:line="0" w:lineRule="atLeast"/>
        <w:rPr>
          <w:rFonts w:hAnsi="宋体"/>
          <w:b/>
          <w:bCs/>
          <w:sz w:val="32"/>
        </w:rPr>
      </w:pPr>
    </w:p>
    <w:p>
      <w:pPr>
        <w:pStyle w:val="22"/>
        <w:spacing w:line="360" w:lineRule="auto"/>
        <w:jc w:val="center"/>
        <w:rPr>
          <w:rFonts w:hAnsi="宋体"/>
          <w:b/>
          <w:bCs/>
          <w:sz w:val="32"/>
          <w:u w:val="single"/>
        </w:rPr>
      </w:pPr>
      <w:bookmarkStart w:id="0" w:name="OLE_LINK3"/>
      <w:bookmarkStart w:id="1" w:name="OLE_LINK4"/>
      <w:r>
        <w:rPr>
          <w:rFonts w:hint="eastAsia" w:hAnsi="宋体"/>
          <w:b/>
          <w:bCs/>
          <w:sz w:val="32"/>
        </w:rPr>
        <w:t>项目编号</w:t>
      </w:r>
      <w:r>
        <w:rPr>
          <w:rFonts w:hint="eastAsia" w:hAnsi="宋体"/>
          <w:bCs/>
          <w:sz w:val="32"/>
        </w:rPr>
        <w:t>：</w:t>
      </w:r>
      <w:r>
        <w:rPr>
          <w:rFonts w:hint="eastAsia" w:hAnsi="宋体"/>
          <w:b/>
          <w:bCs/>
          <w:sz w:val="32"/>
          <w:u w:val="single"/>
        </w:rPr>
        <w:t>2021-HCJZ-SH906</w:t>
      </w:r>
    </w:p>
    <w:p>
      <w:pPr>
        <w:pStyle w:val="22"/>
        <w:spacing w:line="360" w:lineRule="auto"/>
        <w:jc w:val="center"/>
        <w:rPr>
          <w:rFonts w:hAnsi="宋体"/>
          <w:b/>
          <w:bCs/>
          <w:sz w:val="30"/>
          <w:szCs w:val="30"/>
          <w:u w:val="single"/>
        </w:rPr>
      </w:pPr>
      <w:r>
        <w:rPr>
          <w:rFonts w:hint="eastAsia" w:hAnsi="宋体"/>
          <w:b/>
          <w:bCs/>
          <w:sz w:val="30"/>
          <w:szCs w:val="30"/>
        </w:rPr>
        <w:t>项目名称</w:t>
      </w:r>
      <w:r>
        <w:rPr>
          <w:rFonts w:hint="eastAsia" w:hAnsi="宋体"/>
          <w:bCs/>
          <w:sz w:val="30"/>
          <w:szCs w:val="30"/>
        </w:rPr>
        <w:t>：</w:t>
      </w:r>
      <w:r>
        <w:rPr>
          <w:rFonts w:hint="eastAsia" w:hAnsi="宋体"/>
          <w:b/>
          <w:bCs/>
          <w:sz w:val="30"/>
          <w:szCs w:val="30"/>
          <w:u w:val="single"/>
        </w:rPr>
        <w:t>中沧公寓楼破损栏杆更换工程</w:t>
      </w:r>
    </w:p>
    <w:bookmarkEnd w:id="0"/>
    <w:bookmarkEnd w:id="1"/>
    <w:p>
      <w:pPr>
        <w:pStyle w:val="22"/>
        <w:spacing w:line="0" w:lineRule="atLeast"/>
        <w:rPr>
          <w:rFonts w:hAnsi="宋体"/>
          <w:b/>
          <w:sz w:val="30"/>
          <w:u w:val="single"/>
        </w:rPr>
      </w:pPr>
    </w:p>
    <w:p>
      <w:pPr>
        <w:pStyle w:val="22"/>
        <w:spacing w:line="0" w:lineRule="atLeast"/>
        <w:rPr>
          <w:rFonts w:hAnsi="宋体"/>
          <w:b/>
          <w:sz w:val="30"/>
          <w:u w:val="single"/>
        </w:rPr>
      </w:pPr>
    </w:p>
    <w:p>
      <w:pPr>
        <w:pStyle w:val="22"/>
        <w:spacing w:line="0" w:lineRule="atLeast"/>
        <w:rPr>
          <w:rFonts w:hAnsi="宋体"/>
          <w:b/>
          <w:sz w:val="28"/>
        </w:rPr>
      </w:pPr>
    </w:p>
    <w:p>
      <w:pPr>
        <w:pStyle w:val="22"/>
        <w:spacing w:line="0" w:lineRule="atLeast"/>
        <w:rPr>
          <w:rFonts w:hAnsi="宋体"/>
          <w:b/>
          <w:sz w:val="28"/>
        </w:rPr>
      </w:pPr>
    </w:p>
    <w:p>
      <w:pPr>
        <w:pStyle w:val="8"/>
        <w:spacing w:line="780" w:lineRule="exact"/>
        <w:ind w:firstLine="0"/>
        <w:rPr>
          <w:rFonts w:hint="default" w:hAnsi="宋体"/>
          <w:b/>
          <w:sz w:val="28"/>
        </w:rPr>
      </w:pPr>
    </w:p>
    <w:p>
      <w:pPr>
        <w:pStyle w:val="8"/>
        <w:spacing w:line="780" w:lineRule="exact"/>
        <w:ind w:firstLine="0"/>
        <w:rPr>
          <w:rFonts w:hint="default" w:hAnsi="宋体"/>
          <w:b/>
          <w:sz w:val="28"/>
        </w:rPr>
      </w:pPr>
    </w:p>
    <w:p>
      <w:pPr>
        <w:pStyle w:val="8"/>
        <w:spacing w:line="780" w:lineRule="exact"/>
        <w:ind w:firstLine="0"/>
        <w:rPr>
          <w:rFonts w:hint="default" w:hAnsi="宋体"/>
          <w:b/>
          <w:sz w:val="28"/>
        </w:rPr>
      </w:pPr>
    </w:p>
    <w:p>
      <w:pPr>
        <w:pStyle w:val="8"/>
        <w:ind w:firstLine="0"/>
        <w:jc w:val="center"/>
        <w:rPr>
          <w:rFonts w:hint="default" w:hAnsi="宋体"/>
          <w:b/>
          <w:sz w:val="28"/>
        </w:rPr>
      </w:pPr>
      <w:r>
        <w:rPr>
          <w:rFonts w:hAnsi="宋体"/>
          <w:b/>
          <w:spacing w:val="20"/>
          <w:sz w:val="32"/>
        </w:rPr>
        <w:t>采购人：</w:t>
      </w:r>
      <w:r>
        <w:rPr>
          <w:rFonts w:hAnsi="宋体"/>
          <w:b/>
          <w:spacing w:val="20"/>
          <w:sz w:val="32"/>
          <w:szCs w:val="32"/>
          <w:u w:val="single"/>
        </w:rPr>
        <w:t>厦门海沧发展集团有限公司</w:t>
      </w:r>
    </w:p>
    <w:p>
      <w:pPr>
        <w:pStyle w:val="22"/>
        <w:spacing w:line="360" w:lineRule="auto"/>
        <w:jc w:val="center"/>
        <w:rPr>
          <w:rFonts w:hAnsi="宋体"/>
          <w:b/>
          <w:spacing w:val="20"/>
          <w:sz w:val="32"/>
          <w:u w:val="single"/>
        </w:rPr>
      </w:pPr>
      <w:r>
        <w:rPr>
          <w:rFonts w:hint="eastAsia" w:hAnsi="宋体"/>
          <w:b/>
          <w:spacing w:val="20"/>
          <w:sz w:val="32"/>
        </w:rPr>
        <w:t>采购代理机构：</w:t>
      </w:r>
      <w:r>
        <w:rPr>
          <w:rFonts w:hint="eastAsia" w:hAnsi="宋体"/>
          <w:b/>
          <w:spacing w:val="20"/>
          <w:sz w:val="32"/>
          <w:u w:val="single"/>
        </w:rPr>
        <w:t>厦门市华沧采购招标有限公司</w:t>
      </w:r>
    </w:p>
    <w:p>
      <w:pPr>
        <w:pStyle w:val="8"/>
        <w:ind w:firstLine="0"/>
        <w:jc w:val="center"/>
        <w:rPr>
          <w:rFonts w:hint="default" w:hAnsi="宋体"/>
          <w:b/>
          <w:sz w:val="32"/>
        </w:rPr>
      </w:pPr>
      <w:r>
        <w:rPr>
          <w:rFonts w:hAnsi="宋体"/>
          <w:b/>
          <w:sz w:val="32"/>
        </w:rPr>
        <w:t>2021年</w:t>
      </w:r>
      <w:r>
        <w:rPr>
          <w:rFonts w:hint="eastAsia" w:hAnsi="宋体"/>
          <w:b/>
          <w:sz w:val="32"/>
          <w:lang w:val="en-US" w:eastAsia="zh-CN"/>
        </w:rPr>
        <w:t>10</w:t>
      </w:r>
      <w:r>
        <w:rPr>
          <w:rFonts w:hAnsi="宋体"/>
          <w:b/>
          <w:sz w:val="32"/>
        </w:rPr>
        <w:t>月</w:t>
      </w:r>
    </w:p>
    <w:p>
      <w:pPr>
        <w:pStyle w:val="22"/>
        <w:keepLines/>
        <w:pageBreakBefore/>
        <w:spacing w:line="380" w:lineRule="exact"/>
        <w:jc w:val="center"/>
        <w:rPr>
          <w:rFonts w:hAnsi="宋体"/>
          <w:bCs/>
          <w:szCs w:val="21"/>
        </w:rPr>
      </w:pPr>
      <w:r>
        <w:rPr>
          <w:rFonts w:hint="eastAsia" w:hAnsi="宋体"/>
          <w:bCs/>
          <w:szCs w:val="21"/>
        </w:rPr>
        <w:t>目   录</w:t>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bookmarkStart w:id="2" w:name="_Toc185762834"/>
      <w:r>
        <w:rPr>
          <w:rFonts w:asciiTheme="minorEastAsia" w:hAnsiTheme="minorEastAsia"/>
          <w:b/>
          <w:sz w:val="21"/>
          <w:szCs w:val="21"/>
        </w:rPr>
        <w:fldChar w:fldCharType="begin"/>
      </w:r>
      <w:r>
        <w:rPr>
          <w:rStyle w:val="44"/>
          <w:rFonts w:hint="eastAsia" w:asciiTheme="minorEastAsia" w:hAnsiTheme="minorEastAsia"/>
          <w:b/>
          <w:color w:val="auto"/>
          <w:sz w:val="21"/>
          <w:szCs w:val="21"/>
        </w:rPr>
        <w:instrText xml:space="preserve">TOC \o "1-2" \h \z \u</w:instrText>
      </w:r>
      <w:r>
        <w:rPr>
          <w:rFonts w:asciiTheme="minorEastAsia" w:hAnsiTheme="minorEastAsia"/>
          <w:b/>
          <w:sz w:val="21"/>
          <w:szCs w:val="21"/>
        </w:rPr>
        <w:fldChar w:fldCharType="separate"/>
      </w:r>
      <w:r>
        <w:fldChar w:fldCharType="begin"/>
      </w:r>
      <w:r>
        <w:instrText xml:space="preserve"> HYPERLINK \l "_Toc531349526" </w:instrText>
      </w:r>
      <w:r>
        <w:fldChar w:fldCharType="separate"/>
      </w:r>
      <w:r>
        <w:rPr>
          <w:rStyle w:val="44"/>
          <w:rFonts w:hint="eastAsia" w:asciiTheme="majorEastAsia" w:hAnsiTheme="majorEastAsia" w:eastAsiaTheme="majorEastAsia"/>
          <w:color w:val="auto"/>
          <w:sz w:val="21"/>
          <w:szCs w:val="21"/>
        </w:rPr>
        <w:t>第一章谈判邀请</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_Toc531349526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"_Toc531349527" </w:instrText>
      </w:r>
      <w:r>
        <w:fldChar w:fldCharType="separate"/>
      </w:r>
      <w:r>
        <w:rPr>
          <w:rStyle w:val="44"/>
          <w:rFonts w:hint="eastAsia" w:asciiTheme="majorEastAsia" w:hAnsiTheme="majorEastAsia" w:eastAsiaTheme="majorEastAsia"/>
          <w:color w:val="auto"/>
          <w:sz w:val="21"/>
          <w:szCs w:val="21"/>
        </w:rPr>
        <w:t>一、谈判邀请</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_Toc531349527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"_Toc531349528" </w:instrText>
      </w:r>
      <w:r>
        <w:fldChar w:fldCharType="separate"/>
      </w:r>
      <w:r>
        <w:rPr>
          <w:rStyle w:val="44"/>
          <w:rFonts w:hint="eastAsia" w:asciiTheme="majorEastAsia" w:hAnsiTheme="majorEastAsia" w:eastAsiaTheme="majorEastAsia"/>
          <w:color w:val="auto"/>
          <w:sz w:val="21"/>
          <w:szCs w:val="21"/>
        </w:rPr>
        <w:t>二、谈判项目一览表</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_Toc531349528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"_Toc531349529" </w:instrText>
      </w:r>
      <w:r>
        <w:fldChar w:fldCharType="separate"/>
      </w:r>
      <w:r>
        <w:rPr>
          <w:rStyle w:val="44"/>
          <w:rFonts w:hint="eastAsia" w:asciiTheme="majorEastAsia" w:hAnsiTheme="majorEastAsia" w:eastAsiaTheme="majorEastAsia"/>
          <w:color w:val="auto"/>
          <w:sz w:val="21"/>
          <w:szCs w:val="21"/>
        </w:rPr>
        <w:t>第二章谈判响应供应商须知</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_Toc531349529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5</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"_Toc531349530" </w:instrText>
      </w:r>
      <w:r>
        <w:fldChar w:fldCharType="separate"/>
      </w:r>
      <w:r>
        <w:rPr>
          <w:rStyle w:val="44"/>
          <w:rFonts w:hint="eastAsia" w:asciiTheme="majorEastAsia" w:hAnsiTheme="majorEastAsia" w:eastAsiaTheme="majorEastAsia"/>
          <w:color w:val="auto"/>
          <w:sz w:val="21"/>
          <w:szCs w:val="21"/>
        </w:rPr>
        <w:t>谈判响应供应商须知前附表</w:t>
      </w:r>
      <w:r>
        <w:rPr>
          <w:rStyle w:val="44"/>
          <w:rFonts w:asciiTheme="majorEastAsia" w:hAnsiTheme="majorEastAsia" w:eastAsiaTheme="majorEastAsia"/>
          <w:color w:val="auto"/>
          <w:sz w:val="21"/>
          <w:szCs w:val="21"/>
        </w:rPr>
        <w:t>1</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_Toc531349530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5</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"_Toc531349531" </w:instrText>
      </w:r>
      <w:r>
        <w:fldChar w:fldCharType="separate"/>
      </w:r>
      <w:r>
        <w:rPr>
          <w:rStyle w:val="44"/>
          <w:rFonts w:hint="eastAsia" w:asciiTheme="majorEastAsia" w:hAnsiTheme="majorEastAsia" w:eastAsiaTheme="majorEastAsia"/>
          <w:color w:val="auto"/>
          <w:sz w:val="21"/>
          <w:szCs w:val="21"/>
        </w:rPr>
        <w:t>谈判响应供应商须知前附表</w:t>
      </w:r>
      <w:r>
        <w:rPr>
          <w:rStyle w:val="44"/>
          <w:rFonts w:asciiTheme="majorEastAsia" w:hAnsiTheme="majorEastAsia" w:eastAsiaTheme="majorEastAsia"/>
          <w:color w:val="auto"/>
          <w:sz w:val="21"/>
          <w:szCs w:val="21"/>
        </w:rPr>
        <w:t>2</w:t>
      </w:r>
      <w:r>
        <w:rPr>
          <w:rStyle w:val="44"/>
          <w:rFonts w:hint="eastAsia" w:asciiTheme="majorEastAsia" w:hAnsiTheme="majorEastAsia" w:eastAsiaTheme="majorEastAsia"/>
          <w:color w:val="auto"/>
          <w:sz w:val="21"/>
          <w:szCs w:val="21"/>
        </w:rPr>
        <w:t>：资格性、符合性检查表</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_Toc531349531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8</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"_Toc531349532" </w:instrText>
      </w:r>
      <w:r>
        <w:fldChar w:fldCharType="separate"/>
      </w:r>
      <w:r>
        <w:rPr>
          <w:rStyle w:val="44"/>
          <w:rFonts w:hint="eastAsia" w:asciiTheme="majorEastAsia" w:hAnsiTheme="majorEastAsia" w:eastAsiaTheme="majorEastAsia"/>
          <w:color w:val="auto"/>
          <w:sz w:val="21"/>
          <w:szCs w:val="21"/>
        </w:rPr>
        <w:t>一、说明</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_Toc531349532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12</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"_Toc531349533" </w:instrText>
      </w:r>
      <w:r>
        <w:fldChar w:fldCharType="separate"/>
      </w:r>
      <w:r>
        <w:rPr>
          <w:rStyle w:val="44"/>
          <w:rFonts w:hint="eastAsia" w:asciiTheme="majorEastAsia" w:hAnsiTheme="majorEastAsia" w:eastAsiaTheme="majorEastAsia"/>
          <w:color w:val="auto"/>
          <w:sz w:val="21"/>
          <w:szCs w:val="21"/>
        </w:rPr>
        <w:t>二、谈判文件</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_Toc531349533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13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"_Toc531349534" </w:instrText>
      </w:r>
      <w:r>
        <w:fldChar w:fldCharType="separate"/>
      </w:r>
      <w:r>
        <w:rPr>
          <w:rStyle w:val="44"/>
          <w:rFonts w:hint="eastAsia" w:asciiTheme="majorEastAsia" w:hAnsiTheme="majorEastAsia" w:eastAsiaTheme="majorEastAsia"/>
          <w:color w:val="auto"/>
          <w:sz w:val="21"/>
          <w:szCs w:val="21"/>
        </w:rPr>
        <w:t>三、谈判响应文件的编写</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_Toc531349534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13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"_Toc531349535" </w:instrText>
      </w:r>
      <w:r>
        <w:fldChar w:fldCharType="separate"/>
      </w:r>
      <w:r>
        <w:rPr>
          <w:rStyle w:val="44"/>
          <w:rFonts w:hint="eastAsia" w:asciiTheme="majorEastAsia" w:hAnsiTheme="majorEastAsia" w:eastAsiaTheme="majorEastAsia"/>
          <w:color w:val="auto"/>
          <w:sz w:val="21"/>
          <w:szCs w:val="21"/>
        </w:rPr>
        <w:t>四、谈判响应文件的提交</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_Toc531349535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16</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"_Toc531349536" </w:instrText>
      </w:r>
      <w:r>
        <w:fldChar w:fldCharType="separate"/>
      </w:r>
      <w:r>
        <w:rPr>
          <w:rStyle w:val="44"/>
          <w:rFonts w:hint="eastAsia" w:asciiTheme="majorEastAsia" w:hAnsiTheme="majorEastAsia" w:eastAsiaTheme="majorEastAsia"/>
          <w:color w:val="auto"/>
          <w:sz w:val="21"/>
          <w:szCs w:val="21"/>
        </w:rPr>
        <w:t>五、谈判内容与谈判程序</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_Toc531349536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16</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"_Toc531349538" </w:instrText>
      </w:r>
      <w:r>
        <w:fldChar w:fldCharType="separate"/>
      </w:r>
      <w:r>
        <w:rPr>
          <w:rStyle w:val="44"/>
          <w:rFonts w:hint="eastAsia" w:asciiTheme="majorEastAsia" w:hAnsiTheme="majorEastAsia" w:eastAsiaTheme="majorEastAsia"/>
          <w:color w:val="auto"/>
          <w:sz w:val="21"/>
          <w:szCs w:val="21"/>
        </w:rPr>
        <w:t>六、评定标准</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_Toc531349538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19</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"_Toc531349539" </w:instrText>
      </w:r>
      <w:r>
        <w:fldChar w:fldCharType="separate"/>
      </w:r>
      <w:r>
        <w:rPr>
          <w:rStyle w:val="44"/>
          <w:rFonts w:hint="eastAsia" w:asciiTheme="majorEastAsia" w:hAnsiTheme="majorEastAsia" w:eastAsiaTheme="majorEastAsia"/>
          <w:color w:val="auto"/>
          <w:sz w:val="21"/>
          <w:szCs w:val="21"/>
        </w:rPr>
        <w:t>七、成交与签订合同</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_Toc531349539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19</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"_Toc531349540" </w:instrText>
      </w:r>
      <w:r>
        <w:fldChar w:fldCharType="separate"/>
      </w:r>
      <w:r>
        <w:rPr>
          <w:rStyle w:val="44"/>
          <w:rFonts w:hint="eastAsia" w:asciiTheme="majorEastAsia" w:hAnsiTheme="majorEastAsia" w:eastAsiaTheme="majorEastAsia"/>
          <w:color w:val="auto"/>
          <w:sz w:val="21"/>
          <w:szCs w:val="21"/>
        </w:rPr>
        <w:t>八、询问、质疑</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_Toc531349540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20</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"_Toc531349541" </w:instrText>
      </w:r>
      <w:r>
        <w:fldChar w:fldCharType="separate"/>
      </w:r>
      <w:r>
        <w:rPr>
          <w:rStyle w:val="44"/>
          <w:rFonts w:hint="eastAsia" w:asciiTheme="majorEastAsia" w:hAnsiTheme="majorEastAsia" w:eastAsiaTheme="majorEastAsia"/>
          <w:color w:val="auto"/>
          <w:sz w:val="21"/>
          <w:szCs w:val="21"/>
        </w:rPr>
        <w:t>九、其他事项</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_Toc531349541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21</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"_Toc531349542" </w:instrText>
      </w:r>
      <w:r>
        <w:fldChar w:fldCharType="separate"/>
      </w:r>
      <w:r>
        <w:rPr>
          <w:rStyle w:val="44"/>
          <w:rFonts w:hint="eastAsia" w:asciiTheme="majorEastAsia" w:hAnsiTheme="majorEastAsia" w:eastAsiaTheme="majorEastAsia"/>
          <w:color w:val="auto"/>
          <w:sz w:val="21"/>
          <w:szCs w:val="21"/>
        </w:rPr>
        <w:t>第三章谈判内容及要求</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_Toc531349542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23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"_Toc531349543" </w:instrText>
      </w:r>
      <w:r>
        <w:fldChar w:fldCharType="separate"/>
      </w:r>
      <w:r>
        <w:rPr>
          <w:rStyle w:val="44"/>
          <w:rFonts w:hint="eastAsia" w:asciiTheme="majorEastAsia" w:hAnsiTheme="majorEastAsia" w:eastAsiaTheme="majorEastAsia"/>
          <w:color w:val="auto"/>
          <w:sz w:val="21"/>
          <w:szCs w:val="21"/>
        </w:rPr>
        <w:t>一、项目概况</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_Toc531349543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23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"_Toc531349544" </w:instrText>
      </w:r>
      <w:r>
        <w:fldChar w:fldCharType="separate"/>
      </w:r>
      <w:r>
        <w:rPr>
          <w:rStyle w:val="44"/>
          <w:rFonts w:hint="eastAsia" w:asciiTheme="majorEastAsia" w:hAnsiTheme="majorEastAsia" w:eastAsiaTheme="majorEastAsia"/>
          <w:color w:val="auto"/>
          <w:sz w:val="21"/>
          <w:szCs w:val="21"/>
        </w:rPr>
        <w:t>二、主要技术参数要求</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_Toc531349544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23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"_Toc531349547" </w:instrText>
      </w:r>
      <w:r>
        <w:fldChar w:fldCharType="separate"/>
      </w:r>
      <w:r>
        <w:rPr>
          <w:rStyle w:val="44"/>
          <w:rFonts w:hint="eastAsia" w:asciiTheme="majorEastAsia" w:hAnsiTheme="majorEastAsia" w:eastAsiaTheme="majorEastAsia"/>
          <w:color w:val="auto"/>
          <w:sz w:val="21"/>
          <w:szCs w:val="21"/>
        </w:rPr>
        <w:t>三、谈判相关要求</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_Toc531349547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28</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"_Toc531349548" </w:instrText>
      </w:r>
      <w:r>
        <w:fldChar w:fldCharType="separate"/>
      </w:r>
      <w:r>
        <w:rPr>
          <w:rStyle w:val="44"/>
          <w:rFonts w:hint="eastAsia" w:asciiTheme="majorEastAsia" w:hAnsiTheme="majorEastAsia" w:eastAsiaTheme="majorEastAsia"/>
          <w:color w:val="auto"/>
          <w:sz w:val="21"/>
          <w:szCs w:val="21"/>
        </w:rPr>
        <w:t>四、报价及验收要求</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_Toc531349548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29</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"_Toc531349549" </w:instrText>
      </w:r>
      <w:r>
        <w:fldChar w:fldCharType="separate"/>
      </w:r>
      <w:r>
        <w:rPr>
          <w:rStyle w:val="44"/>
          <w:rFonts w:hint="eastAsia" w:asciiTheme="majorEastAsia" w:hAnsiTheme="majorEastAsia" w:eastAsiaTheme="majorEastAsia"/>
          <w:color w:val="auto"/>
          <w:sz w:val="21"/>
          <w:szCs w:val="21"/>
        </w:rPr>
        <w:t>五、售后服务要求</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_Toc531349549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30</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"_Toc531349550" </w:instrText>
      </w:r>
      <w:r>
        <w:fldChar w:fldCharType="separate"/>
      </w:r>
      <w:r>
        <w:rPr>
          <w:rStyle w:val="44"/>
          <w:rFonts w:hint="eastAsia" w:asciiTheme="majorEastAsia" w:hAnsiTheme="majorEastAsia" w:eastAsiaTheme="majorEastAsia"/>
          <w:color w:val="auto"/>
          <w:sz w:val="21"/>
          <w:szCs w:val="21"/>
        </w:rPr>
        <w:t>六、合同签订</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_Toc531349550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30</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"_Toc531349551" </w:instrText>
      </w:r>
      <w:r>
        <w:fldChar w:fldCharType="separate"/>
      </w:r>
      <w:r>
        <w:rPr>
          <w:rStyle w:val="44"/>
          <w:rFonts w:hint="eastAsia" w:asciiTheme="majorEastAsia" w:hAnsiTheme="majorEastAsia" w:eastAsiaTheme="majorEastAsia"/>
          <w:color w:val="auto"/>
          <w:sz w:val="21"/>
          <w:szCs w:val="21"/>
        </w:rPr>
        <w:t>七、付款方式</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_Toc531349551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30</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"_Toc531349552" </w:instrText>
      </w:r>
      <w:r>
        <w:fldChar w:fldCharType="separate"/>
      </w:r>
      <w:r>
        <w:rPr>
          <w:rStyle w:val="44"/>
          <w:rFonts w:hint="eastAsia" w:asciiTheme="majorEastAsia" w:hAnsiTheme="majorEastAsia" w:eastAsiaTheme="majorEastAsia"/>
          <w:color w:val="auto"/>
          <w:sz w:val="21"/>
          <w:szCs w:val="21"/>
        </w:rPr>
        <w:t>第四章采购合同（参考文本）</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_Toc531349552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31</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"_Toc531349553" </w:instrText>
      </w:r>
      <w:r>
        <w:fldChar w:fldCharType="separate"/>
      </w:r>
      <w:r>
        <w:rPr>
          <w:rStyle w:val="44"/>
          <w:rFonts w:hint="eastAsia" w:asciiTheme="majorEastAsia" w:hAnsiTheme="majorEastAsia" w:eastAsiaTheme="majorEastAsia"/>
          <w:color w:val="auto"/>
          <w:sz w:val="21"/>
          <w:szCs w:val="21"/>
        </w:rPr>
        <w:t>第五章谈判响应文件格式</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_Toc531349553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34</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"_Toc531349554" </w:instrText>
      </w:r>
      <w:r>
        <w:fldChar w:fldCharType="separate"/>
      </w:r>
      <w:r>
        <w:rPr>
          <w:rStyle w:val="44"/>
          <w:rFonts w:hint="eastAsia" w:asciiTheme="majorEastAsia" w:hAnsiTheme="majorEastAsia" w:eastAsiaTheme="majorEastAsia"/>
          <w:color w:val="auto"/>
          <w:sz w:val="21"/>
          <w:szCs w:val="21"/>
        </w:rPr>
        <w:t>谈判响应书</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_Toc531349554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37</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"_Toc531349555" </w:instrText>
      </w:r>
      <w:r>
        <w:fldChar w:fldCharType="separate"/>
      </w:r>
      <w:r>
        <w:rPr>
          <w:rStyle w:val="44"/>
          <w:rFonts w:hint="eastAsia" w:asciiTheme="majorEastAsia" w:hAnsiTheme="majorEastAsia" w:eastAsiaTheme="majorEastAsia"/>
          <w:color w:val="auto"/>
          <w:sz w:val="21"/>
          <w:szCs w:val="21"/>
        </w:rPr>
        <w:t>谈判报价一览表</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_Toc531349555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39</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"_Toc531349556" </w:instrText>
      </w:r>
      <w:r>
        <w:fldChar w:fldCharType="separate"/>
      </w:r>
      <w:r>
        <w:rPr>
          <w:rStyle w:val="44"/>
          <w:rFonts w:hint="eastAsia" w:asciiTheme="majorEastAsia" w:hAnsiTheme="majorEastAsia" w:eastAsiaTheme="majorEastAsia"/>
          <w:color w:val="auto"/>
          <w:sz w:val="21"/>
          <w:szCs w:val="21"/>
        </w:rPr>
        <w:t>谈判响应分项报价表</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_Toc531349556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40</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"_Toc531349557" </w:instrText>
      </w:r>
      <w:r>
        <w:fldChar w:fldCharType="separate"/>
      </w:r>
      <w:r>
        <w:rPr>
          <w:rStyle w:val="44"/>
          <w:rFonts w:hint="eastAsia" w:asciiTheme="majorEastAsia" w:hAnsiTheme="majorEastAsia" w:eastAsiaTheme="majorEastAsia"/>
          <w:color w:val="auto"/>
          <w:sz w:val="21"/>
          <w:szCs w:val="21"/>
        </w:rPr>
        <w:t>货物说明一览表</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_Toc531349557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41</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"_Toc531349558" </w:instrText>
      </w:r>
      <w:r>
        <w:fldChar w:fldCharType="separate"/>
      </w:r>
      <w:r>
        <w:rPr>
          <w:rStyle w:val="44"/>
          <w:rFonts w:hint="eastAsia" w:asciiTheme="majorEastAsia" w:hAnsiTheme="majorEastAsia" w:eastAsiaTheme="majorEastAsia"/>
          <w:color w:val="auto"/>
          <w:sz w:val="21"/>
          <w:szCs w:val="21"/>
        </w:rPr>
        <w:t>技术规格和商务偏离表</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_Toc531349558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42</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"_Toc531349559" </w:instrText>
      </w:r>
      <w:r>
        <w:fldChar w:fldCharType="separate"/>
      </w:r>
      <w:r>
        <w:rPr>
          <w:rStyle w:val="44"/>
          <w:rFonts w:hint="eastAsia" w:asciiTheme="majorEastAsia" w:hAnsiTheme="majorEastAsia" w:eastAsiaTheme="majorEastAsia"/>
          <w:color w:val="auto"/>
          <w:sz w:val="21"/>
          <w:szCs w:val="21"/>
        </w:rPr>
        <w:t>供货安装组织方案</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_Toc531349559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43</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"_Toc531349561" </w:instrText>
      </w:r>
      <w:r>
        <w:fldChar w:fldCharType="separate"/>
      </w:r>
      <w:r>
        <w:rPr>
          <w:rStyle w:val="44"/>
          <w:rFonts w:hint="eastAsia" w:asciiTheme="majorEastAsia" w:hAnsiTheme="majorEastAsia" w:eastAsiaTheme="majorEastAsia"/>
          <w:color w:val="auto"/>
          <w:sz w:val="21"/>
          <w:szCs w:val="21"/>
        </w:rPr>
        <w:t>售后服务承诺书</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_Toc531349561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44</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"_Toc531349565" </w:instrText>
      </w:r>
      <w:r>
        <w:fldChar w:fldCharType="separate"/>
      </w:r>
      <w:r>
        <w:rPr>
          <w:rStyle w:val="44"/>
          <w:rFonts w:hint="eastAsia" w:asciiTheme="majorEastAsia" w:hAnsiTheme="majorEastAsia" w:eastAsiaTheme="majorEastAsia"/>
          <w:color w:val="auto"/>
          <w:sz w:val="21"/>
          <w:szCs w:val="21"/>
        </w:rPr>
        <w:t>谈判响应供应商的资格证明文件</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_Toc531349565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45</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"_Toc531349566" </w:instrText>
      </w:r>
      <w:r>
        <w:fldChar w:fldCharType="separate"/>
      </w:r>
      <w:r>
        <w:rPr>
          <w:rStyle w:val="44"/>
          <w:rFonts w:hint="eastAsia" w:asciiTheme="majorEastAsia" w:hAnsiTheme="majorEastAsia" w:eastAsiaTheme="majorEastAsia"/>
          <w:color w:val="auto"/>
          <w:sz w:val="21"/>
          <w:szCs w:val="21"/>
        </w:rPr>
        <w:t>法定代表人授权书</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_Toc531349566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48</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"_Toc531349568" </w:instrText>
      </w:r>
      <w:r>
        <w:fldChar w:fldCharType="separate"/>
      </w:r>
      <w:r>
        <w:rPr>
          <w:rStyle w:val="44"/>
          <w:rFonts w:hint="eastAsia" w:asciiTheme="majorEastAsia" w:hAnsiTheme="majorEastAsia" w:eastAsiaTheme="majorEastAsia"/>
          <w:color w:val="auto"/>
          <w:sz w:val="21"/>
          <w:szCs w:val="21"/>
        </w:rPr>
        <w:t>法人营业执照</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_Toc531349568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49</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"_Toc531349569" </w:instrText>
      </w:r>
      <w:r>
        <w:fldChar w:fldCharType="separate"/>
      </w:r>
      <w:r>
        <w:rPr>
          <w:rStyle w:val="44"/>
          <w:rFonts w:hint="eastAsia" w:asciiTheme="majorEastAsia" w:hAnsiTheme="majorEastAsia" w:eastAsiaTheme="majorEastAsia"/>
          <w:color w:val="auto"/>
          <w:sz w:val="21"/>
          <w:szCs w:val="21"/>
        </w:rPr>
        <w:t>谈判响应供应商提交的其它资料</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_Toc531349569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50</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"_Toc531349571" </w:instrText>
      </w:r>
      <w:r>
        <w:fldChar w:fldCharType="separate"/>
      </w:r>
      <w:r>
        <w:rPr>
          <w:rStyle w:val="44"/>
          <w:rFonts w:hint="eastAsia" w:asciiTheme="majorEastAsia" w:hAnsiTheme="majorEastAsia" w:eastAsiaTheme="majorEastAsia"/>
          <w:color w:val="auto"/>
          <w:sz w:val="21"/>
          <w:szCs w:val="21"/>
        </w:rPr>
        <w:t>谈判成交服务费承诺书</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_Toc531349571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51</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3"/>
        <w:tabs>
          <w:tab w:val="right" w:leader="dot" w:pos="9170"/>
        </w:tabs>
        <w:spacing w:line="320" w:lineRule="exact"/>
        <w:ind w:left="278"/>
        <w:rPr>
          <w:rStyle w:val="44"/>
          <w:rFonts w:asciiTheme="majorEastAsia" w:hAnsiTheme="majorEastAsia" w:eastAsiaTheme="majorEastAsia"/>
          <w:color w:val="auto"/>
          <w:sz w:val="21"/>
          <w:szCs w:val="21"/>
        </w:rPr>
      </w:pPr>
      <w:r>
        <w:fldChar w:fldCharType="begin"/>
      </w:r>
      <w:r>
        <w:instrText xml:space="preserve"> HYPERLINK \l "_Toc531349572" </w:instrText>
      </w:r>
      <w:r>
        <w:fldChar w:fldCharType="separate"/>
      </w:r>
      <w:r>
        <w:rPr>
          <w:rStyle w:val="44"/>
          <w:rFonts w:hint="eastAsia" w:asciiTheme="majorEastAsia" w:hAnsiTheme="majorEastAsia" w:eastAsiaTheme="majorEastAsia"/>
          <w:color w:val="auto"/>
          <w:sz w:val="21"/>
          <w:szCs w:val="21"/>
        </w:rPr>
        <w:t>采购保证金退还申请书（参考格式）</w:t>
      </w:r>
      <w:r>
        <w:rPr>
          <w:rStyle w:val="44"/>
          <w:rFonts w:asciiTheme="majorEastAsia" w:hAnsiTheme="majorEastAsia" w:eastAsiaTheme="majorEastAsia"/>
          <w:color w:val="auto"/>
          <w:sz w:val="21"/>
          <w:szCs w:val="21"/>
        </w:rPr>
        <w:tab/>
      </w:r>
      <w:r>
        <w:rPr>
          <w:rStyle w:val="44"/>
          <w:rFonts w:asciiTheme="majorEastAsia" w:hAnsiTheme="majorEastAsia" w:eastAsiaTheme="majorEastAsia"/>
          <w:color w:val="auto"/>
          <w:sz w:val="21"/>
          <w:szCs w:val="21"/>
        </w:rPr>
        <w:fldChar w:fldCharType="begin"/>
      </w:r>
      <w:r>
        <w:rPr>
          <w:rStyle w:val="44"/>
          <w:rFonts w:asciiTheme="majorEastAsia" w:hAnsiTheme="majorEastAsia" w:eastAsiaTheme="majorEastAsia"/>
          <w:color w:val="auto"/>
          <w:sz w:val="21"/>
          <w:szCs w:val="21"/>
        </w:rPr>
        <w:instrText xml:space="preserve"> PAGEREF _Toc531349572 \h </w:instrText>
      </w:r>
      <w:r>
        <w:rPr>
          <w:rStyle w:val="44"/>
          <w:rFonts w:asciiTheme="majorEastAsia" w:hAnsiTheme="majorEastAsia" w:eastAsiaTheme="majorEastAsia"/>
          <w:color w:val="auto"/>
          <w:sz w:val="21"/>
          <w:szCs w:val="21"/>
        </w:rPr>
        <w:fldChar w:fldCharType="separate"/>
      </w:r>
      <w:r>
        <w:rPr>
          <w:rStyle w:val="44"/>
          <w:rFonts w:asciiTheme="majorEastAsia" w:hAnsiTheme="majorEastAsia" w:eastAsiaTheme="majorEastAsia"/>
          <w:color w:val="auto"/>
          <w:sz w:val="21"/>
          <w:szCs w:val="21"/>
        </w:rPr>
        <w:t>52</w:t>
      </w:r>
      <w:r>
        <w:rPr>
          <w:rStyle w:val="44"/>
          <w:rFonts w:asciiTheme="majorEastAsia" w:hAnsiTheme="majorEastAsia" w:eastAsiaTheme="majorEastAsia"/>
          <w:color w:val="auto"/>
          <w:sz w:val="21"/>
          <w:szCs w:val="21"/>
        </w:rPr>
        <w:fldChar w:fldCharType="end"/>
      </w:r>
      <w:r>
        <w:rPr>
          <w:rStyle w:val="44"/>
          <w:rFonts w:asciiTheme="majorEastAsia" w:hAnsiTheme="majorEastAsia" w:eastAsiaTheme="majorEastAsia"/>
          <w:color w:val="auto"/>
          <w:sz w:val="21"/>
          <w:szCs w:val="21"/>
        </w:rPr>
        <w:fldChar w:fldCharType="end"/>
      </w:r>
    </w:p>
    <w:p>
      <w:pPr>
        <w:pStyle w:val="3"/>
        <w:keepNext w:val="0"/>
        <w:pageBreakBefore/>
        <w:spacing w:before="0" w:after="0" w:line="460" w:lineRule="exact"/>
        <w:jc w:val="center"/>
        <w:rPr>
          <w:rFonts w:ascii="宋体" w:hAnsi="宋体" w:eastAsia="宋体"/>
          <w:sz w:val="28"/>
          <w:szCs w:val="28"/>
        </w:rPr>
      </w:pPr>
      <w:r>
        <w:rPr>
          <w:rFonts w:asciiTheme="minorEastAsia" w:hAnsiTheme="minorEastAsia" w:eastAsiaTheme="minorEastAsia"/>
          <w:b w:val="0"/>
          <w:sz w:val="21"/>
          <w:szCs w:val="21"/>
        </w:rPr>
        <w:fldChar w:fldCharType="end"/>
      </w:r>
      <w:bookmarkStart w:id="3" w:name="_Toc531349526"/>
      <w:bookmarkStart w:id="4" w:name="_Toc338926813"/>
      <w:r>
        <w:rPr>
          <w:rFonts w:hint="eastAsia" w:ascii="宋体" w:hAnsi="宋体" w:eastAsia="宋体"/>
          <w:sz w:val="28"/>
          <w:szCs w:val="28"/>
        </w:rPr>
        <w:t>第一章   谈判邀请</w:t>
      </w:r>
      <w:bookmarkEnd w:id="3"/>
    </w:p>
    <w:bookmarkEnd w:id="2"/>
    <w:bookmarkEnd w:id="4"/>
    <w:p>
      <w:pPr>
        <w:pStyle w:val="3"/>
        <w:spacing w:before="0" w:after="0" w:line="460" w:lineRule="exact"/>
        <w:jc w:val="center"/>
        <w:rPr>
          <w:rFonts w:ascii="宋体" w:hAnsi="宋体" w:eastAsia="宋体"/>
          <w:sz w:val="28"/>
          <w:szCs w:val="28"/>
        </w:rPr>
      </w:pPr>
      <w:bookmarkStart w:id="5" w:name="_Toc185762835"/>
      <w:bookmarkStart w:id="6" w:name="_Toc338926814"/>
      <w:bookmarkStart w:id="7" w:name="_Toc531349527"/>
      <w:r>
        <w:rPr>
          <w:rFonts w:hint="eastAsia" w:ascii="宋体" w:hAnsi="宋体" w:eastAsia="宋体"/>
          <w:sz w:val="28"/>
          <w:szCs w:val="28"/>
        </w:rPr>
        <w:t>一、谈判邀请</w:t>
      </w:r>
      <w:bookmarkEnd w:id="5"/>
      <w:bookmarkEnd w:id="6"/>
      <w:bookmarkEnd w:id="7"/>
    </w:p>
    <w:p>
      <w:pPr>
        <w:spacing w:line="460" w:lineRule="exact"/>
        <w:ind w:firstLine="480" w:firstLineChars="200"/>
        <w:rPr>
          <w:rFonts w:ascii="宋体" w:hAnsi="宋体"/>
          <w:sz w:val="24"/>
        </w:rPr>
      </w:pPr>
      <w:r>
        <w:rPr>
          <w:rFonts w:hint="eastAsia" w:ascii="宋体" w:hAnsi="宋体"/>
          <w:sz w:val="24"/>
        </w:rPr>
        <w:t>受</w:t>
      </w:r>
      <w:r>
        <w:rPr>
          <w:rFonts w:hint="eastAsia" w:ascii="宋体" w:hAnsi="宋体"/>
          <w:b/>
          <w:sz w:val="24"/>
          <w:u w:val="single"/>
        </w:rPr>
        <w:t>厦门海沧发展集团有限公司</w:t>
      </w:r>
      <w:r>
        <w:rPr>
          <w:rFonts w:hint="eastAsia" w:ascii="宋体" w:hAnsi="宋体"/>
          <w:sz w:val="24"/>
        </w:rPr>
        <w:t>委托，我司对下述“</w:t>
      </w:r>
      <w:r>
        <w:rPr>
          <w:rFonts w:hint="eastAsia" w:ascii="宋体" w:hAnsi="宋体"/>
          <w:b/>
          <w:sz w:val="24"/>
          <w:u w:val="single"/>
        </w:rPr>
        <w:t>中沧公寓楼破损栏杆更换工程</w:t>
      </w:r>
      <w:r>
        <w:rPr>
          <w:rFonts w:hint="eastAsia" w:ascii="宋体" w:hAnsi="宋体"/>
          <w:sz w:val="24"/>
        </w:rPr>
        <w:t>”采购项目以竞争性谈判方式进行采购，欢迎合格供应商参与谈判。</w:t>
      </w:r>
    </w:p>
    <w:p>
      <w:pPr>
        <w:numPr>
          <w:ilvl w:val="0"/>
          <w:numId w:val="4"/>
        </w:numPr>
        <w:spacing w:line="460" w:lineRule="exact"/>
        <w:rPr>
          <w:rFonts w:ascii="宋体" w:hAnsi="宋体"/>
          <w:sz w:val="24"/>
        </w:rPr>
      </w:pPr>
      <w:r>
        <w:rPr>
          <w:rFonts w:hint="eastAsia" w:ascii="宋体" w:hAnsi="宋体"/>
          <w:sz w:val="24"/>
        </w:rPr>
        <w:t>项目编号：</w:t>
      </w:r>
      <w:r>
        <w:rPr>
          <w:rFonts w:hint="eastAsia" w:ascii="宋体" w:hAnsi="宋体"/>
          <w:sz w:val="24"/>
          <w:u w:val="single"/>
        </w:rPr>
        <w:t>2021-HCJZ-SH906</w:t>
      </w:r>
    </w:p>
    <w:p>
      <w:pPr>
        <w:numPr>
          <w:ilvl w:val="0"/>
          <w:numId w:val="4"/>
        </w:numPr>
        <w:spacing w:line="460" w:lineRule="exact"/>
        <w:rPr>
          <w:rFonts w:ascii="宋体" w:hAnsi="宋体"/>
          <w:spacing w:val="-14"/>
          <w:sz w:val="24"/>
        </w:rPr>
      </w:pPr>
      <w:r>
        <w:rPr>
          <w:rFonts w:hint="eastAsia" w:ascii="宋体" w:hAnsi="宋体"/>
          <w:spacing w:val="-14"/>
          <w:sz w:val="24"/>
        </w:rPr>
        <w:t>谈判货物(服务)名称、数量及主要技术规格：见后</w:t>
      </w:r>
      <w:r>
        <w:rPr>
          <w:rFonts w:hint="eastAsia" w:ascii="宋体" w:hAnsi="宋体"/>
          <w:sz w:val="24"/>
        </w:rPr>
        <w:t>附：谈判项目一览表。</w:t>
      </w:r>
    </w:p>
    <w:p>
      <w:pPr>
        <w:numPr>
          <w:ilvl w:val="0"/>
          <w:numId w:val="4"/>
        </w:numPr>
        <w:spacing w:line="460" w:lineRule="exact"/>
        <w:rPr>
          <w:rFonts w:ascii="宋体" w:hAnsi="宋体"/>
          <w:sz w:val="24"/>
        </w:rPr>
      </w:pPr>
      <w:r>
        <w:rPr>
          <w:rFonts w:hint="eastAsia" w:ascii="宋体" w:hAnsi="宋体"/>
          <w:sz w:val="24"/>
        </w:rPr>
        <w:t>谈判文件购买时间：即刻起至2021年</w:t>
      </w:r>
      <w:r>
        <w:rPr>
          <w:rFonts w:hint="eastAsia" w:ascii="宋体" w:hAnsi="宋体"/>
          <w:sz w:val="24"/>
          <w:lang w:val="en-US" w:eastAsia="zh-CN"/>
        </w:rPr>
        <w:t>10</w:t>
      </w:r>
      <w:r>
        <w:rPr>
          <w:rFonts w:hint="eastAsia" w:ascii="宋体" w:hAnsi="宋体"/>
          <w:sz w:val="24"/>
        </w:rPr>
        <w:t>月</w:t>
      </w:r>
      <w:r>
        <w:rPr>
          <w:rFonts w:hint="eastAsia" w:ascii="宋体" w:hAnsi="宋体"/>
          <w:sz w:val="24"/>
          <w:lang w:val="en-US" w:eastAsia="zh-CN"/>
        </w:rPr>
        <w:t>15</w:t>
      </w:r>
      <w:r>
        <w:rPr>
          <w:rFonts w:hint="eastAsia" w:ascii="宋体" w:hAnsi="宋体"/>
          <w:sz w:val="24"/>
        </w:rPr>
        <w:t>日(节假日除外)</w:t>
      </w:r>
      <w:r>
        <w:rPr>
          <w:rFonts w:ascii="宋体" w:hAnsi="宋体"/>
          <w:sz w:val="24"/>
        </w:rPr>
        <w:t>上午[8:30:00-11:30:00]或下午[</w:t>
      </w:r>
      <w:r>
        <w:rPr>
          <w:rFonts w:hint="eastAsia" w:ascii="宋体" w:hAnsi="宋体"/>
          <w:sz w:val="24"/>
        </w:rPr>
        <w:t>2</w:t>
      </w:r>
      <w:r>
        <w:rPr>
          <w:rFonts w:ascii="宋体" w:hAnsi="宋体"/>
          <w:sz w:val="24"/>
        </w:rPr>
        <w:t>:</w:t>
      </w:r>
      <w:r>
        <w:rPr>
          <w:rFonts w:hint="eastAsia" w:ascii="宋体" w:hAnsi="宋体"/>
          <w:sz w:val="24"/>
        </w:rPr>
        <w:t>3</w:t>
      </w:r>
      <w:r>
        <w:rPr>
          <w:rFonts w:ascii="宋体" w:hAnsi="宋体"/>
          <w:sz w:val="24"/>
        </w:rPr>
        <w:t>0:00-5:</w:t>
      </w:r>
      <w:r>
        <w:rPr>
          <w:rFonts w:hint="eastAsia" w:ascii="宋体" w:hAnsi="宋体"/>
          <w:sz w:val="24"/>
          <w:lang w:val="en-US" w:eastAsia="zh-CN"/>
        </w:rPr>
        <w:t>0</w:t>
      </w:r>
      <w:r>
        <w:rPr>
          <w:rFonts w:ascii="宋体" w:hAnsi="宋体"/>
          <w:sz w:val="24"/>
        </w:rPr>
        <w:t>0:00]（北京时间）</w:t>
      </w:r>
      <w:r>
        <w:rPr>
          <w:rFonts w:hint="eastAsia" w:ascii="宋体" w:hAnsi="宋体"/>
          <w:sz w:val="24"/>
        </w:rPr>
        <w:t>。</w:t>
      </w:r>
    </w:p>
    <w:p>
      <w:pPr>
        <w:pStyle w:val="22"/>
        <w:numPr>
          <w:ilvl w:val="0"/>
          <w:numId w:val="4"/>
        </w:numPr>
        <w:spacing w:line="460" w:lineRule="exact"/>
        <w:jc w:val="left"/>
        <w:rPr>
          <w:rFonts w:hAnsi="宋体"/>
          <w:sz w:val="24"/>
        </w:rPr>
      </w:pPr>
      <w:r>
        <w:rPr>
          <w:rFonts w:hint="eastAsia" w:hAnsi="宋体"/>
          <w:sz w:val="24"/>
          <w:szCs w:val="24"/>
        </w:rPr>
        <w:t>谈判文件售价人民币</w:t>
      </w:r>
      <w:r>
        <w:rPr>
          <w:rFonts w:hint="eastAsia" w:hAnsi="宋体"/>
          <w:sz w:val="24"/>
          <w:szCs w:val="24"/>
          <w:u w:val="single"/>
          <w:lang w:val="en-US" w:eastAsia="zh-CN"/>
        </w:rPr>
        <w:t>100</w:t>
      </w:r>
      <w:r>
        <w:rPr>
          <w:rFonts w:hint="eastAsia" w:hAnsi="宋体"/>
          <w:sz w:val="24"/>
          <w:szCs w:val="24"/>
        </w:rPr>
        <w:t>元，售后不退，未购买谈判文件的谈判响应供应商其响应文件将被拒收。若邮购，需邮资到付，对谈判文件邮寄过程中可能发生的延误、缺漏或丢失，采购代理机构概不负责。</w:t>
      </w:r>
    </w:p>
    <w:p>
      <w:pPr>
        <w:numPr>
          <w:ilvl w:val="0"/>
          <w:numId w:val="4"/>
        </w:numPr>
        <w:spacing w:line="460" w:lineRule="exact"/>
        <w:rPr>
          <w:rFonts w:ascii="宋体" w:hAnsi="宋体"/>
          <w:sz w:val="24"/>
        </w:rPr>
      </w:pPr>
      <w:r>
        <w:rPr>
          <w:rFonts w:hint="eastAsia" w:ascii="宋体" w:hAnsi="宋体"/>
          <w:sz w:val="24"/>
        </w:rPr>
        <w:t>谈判截止时间：谈判响应文件应于</w:t>
      </w:r>
      <w:r>
        <w:rPr>
          <w:rFonts w:hint="eastAsia" w:ascii="宋体" w:hAnsi="宋体"/>
          <w:b/>
          <w:sz w:val="24"/>
          <w:u w:val="single"/>
        </w:rPr>
        <w:t>[2021年</w:t>
      </w:r>
      <w:r>
        <w:rPr>
          <w:rFonts w:hint="eastAsia" w:ascii="宋体" w:hAnsi="宋体"/>
          <w:b/>
          <w:sz w:val="24"/>
          <w:u w:val="single"/>
          <w:lang w:val="en-US" w:eastAsia="zh-CN"/>
        </w:rPr>
        <w:t>10</w:t>
      </w:r>
      <w:r>
        <w:rPr>
          <w:rFonts w:hint="eastAsia" w:ascii="宋体" w:hAnsi="宋体"/>
          <w:b/>
          <w:sz w:val="24"/>
          <w:u w:val="single"/>
        </w:rPr>
        <w:t>月</w:t>
      </w:r>
      <w:r>
        <w:rPr>
          <w:rFonts w:hint="eastAsia" w:ascii="宋体" w:hAnsi="宋体"/>
          <w:b/>
          <w:sz w:val="24"/>
          <w:u w:val="single"/>
          <w:lang w:val="en-US" w:eastAsia="zh-CN"/>
        </w:rPr>
        <w:t>18</w:t>
      </w:r>
      <w:r>
        <w:rPr>
          <w:rFonts w:hint="eastAsia" w:ascii="宋体" w:hAnsi="宋体"/>
          <w:b/>
          <w:sz w:val="24"/>
          <w:u w:val="single"/>
        </w:rPr>
        <w:t>日]上午[9:30:00]</w:t>
      </w:r>
      <w:r>
        <w:rPr>
          <w:rFonts w:ascii="宋体" w:hAnsi="宋体"/>
          <w:b/>
          <w:sz w:val="24"/>
        </w:rPr>
        <w:t>（北京时间）</w:t>
      </w:r>
      <w:r>
        <w:rPr>
          <w:rFonts w:hint="eastAsia" w:ascii="宋体" w:hAnsi="宋体"/>
          <w:sz w:val="24"/>
        </w:rPr>
        <w:t>之前提交到[</w:t>
      </w:r>
      <w:r>
        <w:rPr>
          <w:rFonts w:hint="eastAsia" w:ascii="宋体" w:hAnsi="宋体"/>
          <w:b/>
          <w:sz w:val="24"/>
        </w:rPr>
        <w:t>厦门市海沧区沧虹路95号工商银行大厦8楼厦门市华沧采购招标有限公司开标厅</w:t>
      </w:r>
      <w:r>
        <w:rPr>
          <w:rFonts w:hint="eastAsia" w:ascii="宋体" w:hAnsi="宋体"/>
          <w:sz w:val="24"/>
        </w:rPr>
        <w:t>]，逾期递交的或不符合规定的谈判响应文件将被拒绝。</w:t>
      </w:r>
    </w:p>
    <w:p>
      <w:pPr>
        <w:numPr>
          <w:ilvl w:val="0"/>
          <w:numId w:val="4"/>
        </w:numPr>
        <w:spacing w:line="460" w:lineRule="exact"/>
        <w:rPr>
          <w:rFonts w:ascii="宋体" w:hAnsi="宋体"/>
          <w:sz w:val="24"/>
        </w:rPr>
      </w:pPr>
      <w:r>
        <w:rPr>
          <w:rFonts w:hint="eastAsia" w:ascii="宋体" w:hAnsi="宋体"/>
          <w:sz w:val="24"/>
        </w:rPr>
        <w:t>谈判时间、地点:</w:t>
      </w:r>
      <w:r>
        <w:rPr>
          <w:rFonts w:hint="eastAsia" w:ascii="宋体" w:hAnsi="宋体"/>
          <w:b/>
          <w:sz w:val="24"/>
          <w:u w:val="single"/>
        </w:rPr>
        <w:t>[2021年</w:t>
      </w:r>
      <w:r>
        <w:rPr>
          <w:rFonts w:hint="eastAsia" w:ascii="宋体" w:hAnsi="宋体"/>
          <w:b/>
          <w:sz w:val="24"/>
          <w:u w:val="single"/>
          <w:lang w:val="en-US" w:eastAsia="zh-CN"/>
        </w:rPr>
        <w:t>10</w:t>
      </w:r>
      <w:r>
        <w:rPr>
          <w:rFonts w:hint="eastAsia" w:ascii="宋体" w:hAnsi="宋体"/>
          <w:b/>
          <w:sz w:val="24"/>
          <w:u w:val="single"/>
        </w:rPr>
        <w:t>月</w:t>
      </w:r>
      <w:r>
        <w:rPr>
          <w:rFonts w:hint="eastAsia" w:ascii="宋体" w:hAnsi="宋体"/>
          <w:b/>
          <w:sz w:val="24"/>
          <w:u w:val="single"/>
          <w:lang w:val="en-US" w:eastAsia="zh-CN"/>
        </w:rPr>
        <w:t>18</w:t>
      </w:r>
      <w:r>
        <w:rPr>
          <w:rFonts w:hint="eastAsia" w:ascii="宋体" w:hAnsi="宋体"/>
          <w:b/>
          <w:sz w:val="24"/>
          <w:u w:val="single"/>
        </w:rPr>
        <w:t>日]上午[9:30:00]</w:t>
      </w:r>
      <w:r>
        <w:rPr>
          <w:rFonts w:ascii="宋体" w:hAnsi="宋体"/>
          <w:b/>
          <w:sz w:val="24"/>
        </w:rPr>
        <w:t>（北京时间）</w:t>
      </w:r>
      <w:r>
        <w:rPr>
          <w:rFonts w:hint="eastAsia" w:ascii="宋体" w:hAnsi="宋体"/>
          <w:b/>
          <w:sz w:val="24"/>
        </w:rPr>
        <w:t>、厦门市海沧区沧虹路95号工商银行大厦8楼厦门市华沧采购招标有限公司评标室。</w:t>
      </w:r>
    </w:p>
    <w:p>
      <w:pPr>
        <w:numPr>
          <w:ilvl w:val="0"/>
          <w:numId w:val="4"/>
        </w:numPr>
        <w:spacing w:line="460" w:lineRule="exact"/>
        <w:rPr>
          <w:rFonts w:ascii="宋体" w:hAnsi="宋体"/>
          <w:sz w:val="24"/>
        </w:rPr>
      </w:pPr>
      <w:bookmarkStart w:id="8" w:name="_Toc185762836"/>
      <w:bookmarkStart w:id="9" w:name="_Toc338926815"/>
      <w:r>
        <w:rPr>
          <w:rFonts w:hint="eastAsia" w:asciiTheme="majorEastAsia" w:hAnsiTheme="majorEastAsia" w:eastAsiaTheme="majorEastAsia"/>
          <w:sz w:val="24"/>
        </w:rPr>
        <w:t>以上信息如有变更，</w:t>
      </w:r>
      <w:r>
        <w:rPr>
          <w:rFonts w:hint="eastAsia" w:asciiTheme="majorEastAsia" w:hAnsiTheme="majorEastAsia" w:eastAsiaTheme="majorEastAsia"/>
          <w:bCs/>
          <w:sz w:val="24"/>
        </w:rPr>
        <w:t>我司将通过</w:t>
      </w:r>
      <w:r>
        <w:rPr>
          <w:rFonts w:asciiTheme="majorEastAsia" w:hAnsiTheme="majorEastAsia" w:eastAsiaTheme="majorEastAsia"/>
          <w:bCs/>
          <w:sz w:val="24"/>
        </w:rPr>
        <w:t>中国招标投标公共服务平台（www.cebpubservice.com）、</w:t>
      </w:r>
      <w:r>
        <w:rPr>
          <w:rFonts w:hint="eastAsia" w:asciiTheme="majorEastAsia" w:hAnsiTheme="majorEastAsia" w:eastAsiaTheme="majorEastAsia"/>
          <w:bCs/>
          <w:sz w:val="24"/>
        </w:rPr>
        <w:t>厦门市海沧区人民政府网（www.haicang.gov.cn）、</w:t>
      </w:r>
      <w:r>
        <w:rPr>
          <w:rFonts w:asciiTheme="majorEastAsia" w:hAnsiTheme="majorEastAsia" w:eastAsiaTheme="majorEastAsia"/>
          <w:bCs/>
          <w:sz w:val="24"/>
        </w:rPr>
        <w:t>厦门市招拍挂交易网（资源市场化配置平台）（www.xmzpg.com）、厦门市华沧采购招标有限公司网站（www.xm-hc.com）等信息发布媒体通知</w:t>
      </w:r>
      <w:r>
        <w:rPr>
          <w:rFonts w:hint="eastAsia" w:ascii="宋体" w:hAnsi="宋体"/>
          <w:sz w:val="24"/>
        </w:rPr>
        <w:t>，请谈判供应商关注。</w:t>
      </w:r>
    </w:p>
    <w:p>
      <w:pPr>
        <w:spacing w:line="460" w:lineRule="exact"/>
        <w:ind w:firstLine="480" w:firstLineChars="200"/>
        <w:rPr>
          <w:rFonts w:ascii="宋体" w:hAnsi="宋体"/>
          <w:sz w:val="24"/>
          <w:u w:val="single"/>
        </w:rPr>
      </w:pPr>
      <w:r>
        <w:rPr>
          <w:rFonts w:hint="eastAsia" w:ascii="宋体" w:hAnsi="宋体"/>
          <w:sz w:val="24"/>
        </w:rPr>
        <w:t>采购代理机构：厦门市华沧采购招标有限公司            邮箱：xm-hc@163.com</w:t>
      </w:r>
    </w:p>
    <w:p>
      <w:pPr>
        <w:spacing w:line="460" w:lineRule="exact"/>
        <w:ind w:firstLine="480" w:firstLineChars="200"/>
        <w:rPr>
          <w:rFonts w:ascii="宋体" w:hAnsi="宋体"/>
          <w:sz w:val="24"/>
        </w:rPr>
      </w:pPr>
      <w:r>
        <w:rPr>
          <w:rFonts w:hint="eastAsia" w:ascii="宋体" w:hAnsi="宋体"/>
          <w:sz w:val="24"/>
        </w:rPr>
        <w:t>地    址：厦门市海沧区沧虹路95号工商银行大厦8楼  邮编：361000</w:t>
      </w:r>
    </w:p>
    <w:p>
      <w:pPr>
        <w:spacing w:line="460" w:lineRule="exact"/>
        <w:ind w:firstLine="1653" w:firstLineChars="689"/>
        <w:rPr>
          <w:rFonts w:ascii="宋体" w:hAnsi="宋体"/>
          <w:sz w:val="24"/>
        </w:rPr>
      </w:pPr>
      <w:r>
        <w:rPr>
          <w:rFonts w:hint="eastAsia" w:ascii="宋体" w:hAnsi="宋体"/>
          <w:sz w:val="24"/>
        </w:rPr>
        <w:t>厦门市思明区莲岳路221-1号公交大厦11楼</w:t>
      </w:r>
    </w:p>
    <w:p>
      <w:pPr>
        <w:spacing w:line="460" w:lineRule="exact"/>
        <w:ind w:firstLine="1656" w:firstLineChars="690"/>
        <w:rPr>
          <w:rFonts w:ascii="宋体" w:hAnsi="宋体"/>
          <w:sz w:val="24"/>
        </w:rPr>
      </w:pPr>
      <w:r>
        <w:rPr>
          <w:rFonts w:hint="eastAsia" w:ascii="宋体" w:hAnsi="宋体"/>
          <w:sz w:val="24"/>
        </w:rPr>
        <w:t>厦门市翔安区五权路2665号之5</w:t>
      </w:r>
    </w:p>
    <w:p>
      <w:pPr>
        <w:spacing w:line="460" w:lineRule="exact"/>
        <w:ind w:firstLine="420"/>
        <w:rPr>
          <w:rFonts w:ascii="宋体" w:hAnsi="宋体"/>
          <w:sz w:val="24"/>
        </w:rPr>
      </w:pPr>
      <w:r>
        <w:rPr>
          <w:rFonts w:hint="eastAsia" w:ascii="宋体" w:hAnsi="宋体"/>
          <w:sz w:val="24"/>
        </w:rPr>
        <w:t>项目联系人及联系方式：李先生  0592-6080599  6588966（传真）</w:t>
      </w:r>
    </w:p>
    <w:p>
      <w:pPr>
        <w:spacing w:line="460" w:lineRule="exact"/>
        <w:ind w:firstLine="480" w:firstLineChars="200"/>
        <w:rPr>
          <w:rFonts w:ascii="宋体" w:hAnsi="宋体"/>
          <w:sz w:val="24"/>
        </w:rPr>
      </w:pPr>
      <w:r>
        <w:rPr>
          <w:rFonts w:hint="eastAsia" w:ascii="宋体" w:hAnsi="宋体"/>
          <w:sz w:val="24"/>
        </w:rPr>
        <w:t>保证金经办人及联系方式：叶小姐  0592-5333806   5333807（传真）</w:t>
      </w:r>
    </w:p>
    <w:p>
      <w:pPr>
        <w:spacing w:line="460" w:lineRule="exact"/>
        <w:ind w:firstLine="960" w:firstLineChars="400"/>
        <w:rPr>
          <w:rFonts w:ascii="宋体" w:hAnsi="宋体"/>
          <w:sz w:val="24"/>
        </w:rPr>
      </w:pPr>
    </w:p>
    <w:p>
      <w:pPr>
        <w:pStyle w:val="3"/>
        <w:keepNext w:val="0"/>
        <w:pageBreakBefore/>
        <w:spacing w:before="0" w:after="0" w:line="360" w:lineRule="auto"/>
        <w:jc w:val="center"/>
        <w:rPr>
          <w:rFonts w:ascii="宋体" w:hAnsi="宋体" w:eastAsia="宋体"/>
        </w:rPr>
      </w:pPr>
      <w:bookmarkStart w:id="10" w:name="_Toc531349528"/>
      <w:r>
        <w:rPr>
          <w:rFonts w:hint="eastAsia" w:ascii="宋体" w:hAnsi="宋体" w:eastAsia="宋体"/>
        </w:rPr>
        <w:t>二、谈判项目一览表</w:t>
      </w:r>
      <w:bookmarkEnd w:id="8"/>
      <w:bookmarkEnd w:id="9"/>
      <w:bookmarkEnd w:id="10"/>
    </w:p>
    <w:tbl>
      <w:tblPr>
        <w:tblStyle w:val="39"/>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8"/>
        <w:gridCol w:w="3331"/>
        <w:gridCol w:w="1720"/>
        <w:gridCol w:w="2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2388" w:type="dxa"/>
            <w:vAlign w:val="center"/>
          </w:tcPr>
          <w:p>
            <w:pPr>
              <w:jc w:val="center"/>
              <w:rPr>
                <w:rFonts w:ascii="宋体" w:hAnsi="宋体"/>
                <w:b/>
                <w:sz w:val="24"/>
              </w:rPr>
            </w:pPr>
            <w:r>
              <w:rPr>
                <w:rFonts w:hint="eastAsia" w:ascii="宋体" w:hAnsi="宋体"/>
                <w:b/>
                <w:sz w:val="24"/>
              </w:rPr>
              <w:t>项目名称</w:t>
            </w:r>
          </w:p>
        </w:tc>
        <w:tc>
          <w:tcPr>
            <w:tcW w:w="3331" w:type="dxa"/>
            <w:vAlign w:val="center"/>
          </w:tcPr>
          <w:p>
            <w:pPr>
              <w:jc w:val="center"/>
              <w:rPr>
                <w:rFonts w:ascii="宋体" w:hAnsi="宋体"/>
                <w:b/>
                <w:sz w:val="24"/>
              </w:rPr>
            </w:pPr>
            <w:r>
              <w:rPr>
                <w:rFonts w:hint="eastAsia" w:ascii="宋体" w:hAnsi="宋体"/>
                <w:b/>
                <w:sz w:val="24"/>
              </w:rPr>
              <w:t>项目主要内容</w:t>
            </w:r>
          </w:p>
        </w:tc>
        <w:tc>
          <w:tcPr>
            <w:tcW w:w="1720" w:type="dxa"/>
            <w:vAlign w:val="center"/>
          </w:tcPr>
          <w:p>
            <w:pPr>
              <w:jc w:val="center"/>
              <w:rPr>
                <w:rFonts w:ascii="宋体" w:hAnsi="宋体"/>
                <w:b/>
                <w:sz w:val="24"/>
              </w:rPr>
            </w:pPr>
            <w:r>
              <w:rPr>
                <w:rFonts w:hint="eastAsia" w:ascii="宋体" w:hAnsi="宋体"/>
                <w:b/>
                <w:sz w:val="24"/>
              </w:rPr>
              <w:t>数量</w:t>
            </w:r>
          </w:p>
        </w:tc>
        <w:tc>
          <w:tcPr>
            <w:tcW w:w="2300" w:type="dxa"/>
            <w:vAlign w:val="center"/>
          </w:tcPr>
          <w:p>
            <w:pPr>
              <w:jc w:val="center"/>
              <w:rPr>
                <w:rFonts w:ascii="宋体" w:hAnsi="宋体"/>
                <w:b/>
                <w:sz w:val="24"/>
              </w:rPr>
            </w:pPr>
            <w:r>
              <w:rPr>
                <w:rFonts w:hint="eastAsia" w:ascii="宋体" w:hAnsi="宋体"/>
                <w:b/>
                <w:sz w:val="24"/>
                <w:lang w:val="en-US" w:eastAsia="zh-CN"/>
              </w:rPr>
              <w:t>综合</w:t>
            </w:r>
            <w:r>
              <w:rPr>
                <w:rFonts w:hint="eastAsia" w:ascii="宋体" w:hAnsi="宋体"/>
                <w:b/>
                <w:sz w:val="24"/>
              </w:rPr>
              <w:t>控制</w:t>
            </w:r>
            <w:r>
              <w:rPr>
                <w:rFonts w:hint="eastAsia" w:ascii="宋体" w:hAnsi="宋体"/>
                <w:b/>
                <w:sz w:val="24"/>
                <w:lang w:val="en-US" w:eastAsia="zh-CN"/>
              </w:rPr>
              <w:t>单</w:t>
            </w:r>
            <w:r>
              <w:rPr>
                <w:rFonts w:hint="eastAsia" w:ascii="宋体" w:hAnsi="宋体"/>
                <w:b/>
                <w:sz w:val="24"/>
              </w:rPr>
              <w:t>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jc w:val="center"/>
        </w:trPr>
        <w:tc>
          <w:tcPr>
            <w:tcW w:w="2388" w:type="dxa"/>
            <w:vAlign w:val="center"/>
          </w:tcPr>
          <w:p>
            <w:pPr>
              <w:jc w:val="center"/>
              <w:rPr>
                <w:rFonts w:ascii="宋体" w:hAnsi="宋体"/>
                <w:sz w:val="24"/>
              </w:rPr>
            </w:pPr>
            <w:r>
              <w:rPr>
                <w:rFonts w:hint="eastAsia" w:ascii="宋体" w:hAnsi="宋体"/>
                <w:sz w:val="24"/>
              </w:rPr>
              <w:t>中沧公寓楼破损栏杆更换工程</w:t>
            </w:r>
          </w:p>
        </w:tc>
        <w:tc>
          <w:tcPr>
            <w:tcW w:w="3331" w:type="dxa"/>
            <w:vAlign w:val="center"/>
          </w:tcPr>
          <w:p>
            <w:pPr>
              <w:jc w:val="center"/>
              <w:rPr>
                <w:rFonts w:ascii="宋体" w:hAnsi="宋体"/>
                <w:sz w:val="24"/>
              </w:rPr>
            </w:pPr>
            <w:r>
              <w:rPr>
                <w:rFonts w:ascii="宋体" w:hAnsi="宋体" w:eastAsia="宋体" w:cs="宋体"/>
                <w:sz w:val="24"/>
              </w:rPr>
              <w:t>具体详见</w:t>
            </w:r>
            <w:r>
              <w:rPr>
                <w:rFonts w:hint="eastAsia" w:ascii="宋体" w:hAnsi="宋体"/>
                <w:sz w:val="24"/>
              </w:rPr>
              <w:t>第三章“谈判内容及要求”。</w:t>
            </w:r>
          </w:p>
        </w:tc>
        <w:tc>
          <w:tcPr>
            <w:tcW w:w="1720" w:type="dxa"/>
            <w:vAlign w:val="center"/>
          </w:tcPr>
          <w:p>
            <w:pPr>
              <w:jc w:val="center"/>
              <w:rPr>
                <w:rFonts w:hint="eastAsia" w:ascii="宋体" w:hAnsi="宋体" w:eastAsiaTheme="minorEastAsia"/>
                <w:sz w:val="24"/>
                <w:lang w:val="en-US" w:eastAsia="zh-CN"/>
              </w:rPr>
            </w:pPr>
            <w:r>
              <w:rPr>
                <w:rFonts w:hint="eastAsia" w:ascii="宋体" w:hAnsi="宋体"/>
                <w:sz w:val="24"/>
              </w:rPr>
              <w:t>1896.67</w:t>
            </w:r>
            <w:r>
              <w:rPr>
                <w:rFonts w:hint="eastAsia" w:ascii="宋体" w:hAnsi="宋体"/>
                <w:sz w:val="24"/>
                <w:lang w:val="en-US" w:eastAsia="zh-CN"/>
              </w:rPr>
              <w:t>米</w:t>
            </w:r>
          </w:p>
        </w:tc>
        <w:tc>
          <w:tcPr>
            <w:tcW w:w="2300" w:type="dxa"/>
            <w:vAlign w:val="center"/>
          </w:tcPr>
          <w:p>
            <w:pPr>
              <w:jc w:val="center"/>
              <w:rPr>
                <w:rFonts w:ascii="宋体" w:hAnsi="宋体"/>
                <w:sz w:val="24"/>
              </w:rPr>
            </w:pPr>
            <w:r>
              <w:rPr>
                <w:rFonts w:hint="eastAsia" w:ascii="宋体" w:hAnsi="宋体"/>
                <w:sz w:val="24"/>
              </w:rPr>
              <w:t>338元/米</w:t>
            </w:r>
          </w:p>
        </w:tc>
      </w:tr>
    </w:tbl>
    <w:p>
      <w:pPr>
        <w:pStyle w:val="22"/>
        <w:tabs>
          <w:tab w:val="left" w:pos="8360"/>
        </w:tabs>
        <w:spacing w:line="360" w:lineRule="auto"/>
        <w:jc w:val="left"/>
        <w:rPr>
          <w:rFonts w:hAnsi="宋体"/>
          <w:b/>
          <w:sz w:val="24"/>
          <w:szCs w:val="24"/>
        </w:rPr>
      </w:pPr>
      <w:r>
        <w:rPr>
          <w:rFonts w:hint="eastAsia" w:hAnsi="宋体"/>
          <w:b/>
          <w:sz w:val="24"/>
          <w:szCs w:val="24"/>
        </w:rPr>
        <w:t>备注：</w:t>
      </w:r>
      <w:bookmarkStart w:id="11" w:name="_Toc185762837"/>
    </w:p>
    <w:p>
      <w:pPr>
        <w:pStyle w:val="22"/>
        <w:numPr>
          <w:ilvl w:val="0"/>
          <w:numId w:val="0"/>
        </w:numPr>
        <w:tabs>
          <w:tab w:val="left" w:pos="8360"/>
        </w:tabs>
        <w:spacing w:line="360" w:lineRule="auto"/>
        <w:ind w:firstLine="480" w:firstLineChars="200"/>
        <w:jc w:val="left"/>
        <w:rPr>
          <w:rFonts w:hint="eastAsia" w:hAnsi="宋体"/>
          <w:sz w:val="24"/>
          <w:szCs w:val="24"/>
        </w:rPr>
      </w:pPr>
      <w:r>
        <w:rPr>
          <w:rFonts w:hint="eastAsia" w:hAnsi="宋体"/>
          <w:sz w:val="24"/>
          <w:szCs w:val="24"/>
          <w:lang w:val="en-US" w:eastAsia="zh-CN"/>
        </w:rPr>
        <w:t>1、</w:t>
      </w:r>
      <w:r>
        <w:rPr>
          <w:rFonts w:hint="eastAsia" w:hAnsi="宋体"/>
          <w:sz w:val="24"/>
          <w:szCs w:val="24"/>
        </w:rPr>
        <w:t>本次采购为整体采购,谈判响应供应商必须对谈判项目一览表中的所有</w:t>
      </w:r>
      <w:r>
        <w:rPr>
          <w:rFonts w:hint="eastAsia" w:hAnsi="宋体"/>
          <w:sz w:val="24"/>
        </w:rPr>
        <w:t>货物及服务</w:t>
      </w:r>
      <w:r>
        <w:rPr>
          <w:rFonts w:hint="eastAsia" w:hAnsi="宋体"/>
          <w:sz w:val="24"/>
          <w:szCs w:val="24"/>
        </w:rPr>
        <w:t>进行完整谈判响应，谈判与成交以整体为单位。</w:t>
      </w:r>
    </w:p>
    <w:p>
      <w:pPr>
        <w:pStyle w:val="22"/>
        <w:numPr>
          <w:ilvl w:val="0"/>
          <w:numId w:val="0"/>
        </w:numPr>
        <w:tabs>
          <w:tab w:val="left" w:pos="8360"/>
        </w:tabs>
        <w:spacing w:line="360" w:lineRule="auto"/>
        <w:ind w:firstLine="480" w:firstLineChars="200"/>
        <w:jc w:val="left"/>
        <w:rPr>
          <w:rFonts w:hAnsi="宋体"/>
          <w:sz w:val="24"/>
          <w:szCs w:val="24"/>
        </w:rPr>
      </w:pPr>
      <w:r>
        <w:rPr>
          <w:rFonts w:hint="eastAsia" w:hAnsi="宋体"/>
          <w:sz w:val="24"/>
          <w:highlight w:val="none"/>
          <w:lang w:val="en-US" w:eastAsia="zh-CN"/>
        </w:rPr>
        <w:t>2、</w:t>
      </w:r>
      <w:r>
        <w:rPr>
          <w:rFonts w:hint="eastAsia" w:hAnsi="宋体"/>
          <w:sz w:val="24"/>
          <w:highlight w:val="none"/>
        </w:rPr>
        <w:t>第三章“谈判内容及要求”中的</w:t>
      </w:r>
      <w:r>
        <w:rPr>
          <w:rFonts w:hint="eastAsia" w:hAnsi="宋体"/>
          <w:sz w:val="24"/>
          <w:highlight w:val="none"/>
          <w:lang w:eastAsia="zh-CN"/>
        </w:rPr>
        <w:t>“</w:t>
      </w:r>
      <w:r>
        <w:rPr>
          <w:rFonts w:hint="eastAsia" w:hAnsi="宋体" w:eastAsia="宋体" w:cs="宋体"/>
          <w:b/>
          <w:bCs/>
          <w:color w:val="000000" w:themeColor="text1"/>
          <w:kern w:val="0"/>
          <w:sz w:val="24"/>
          <w:highlight w:val="none"/>
          <w14:textFill>
            <w14:solidFill>
              <w14:schemeClr w14:val="tx1"/>
            </w14:solidFill>
          </w14:textFill>
        </w:rPr>
        <w:t>栏杆修补</w:t>
      </w:r>
      <w:r>
        <w:rPr>
          <w:rFonts w:hAnsi="宋体"/>
          <w:sz w:val="24"/>
          <w:highlight w:val="none"/>
        </w:rPr>
        <w:t>”</w:t>
      </w:r>
      <w:r>
        <w:rPr>
          <w:rFonts w:hint="eastAsia" w:hAnsi="宋体"/>
          <w:sz w:val="24"/>
          <w:szCs w:val="24"/>
          <w:highlight w:val="none"/>
        </w:rPr>
        <w:t>约10处，请按一项维修事项综合考虑到综合单价内，不单独报价。</w:t>
      </w:r>
    </w:p>
    <w:p>
      <w:pPr>
        <w:pStyle w:val="22"/>
        <w:tabs>
          <w:tab w:val="left" w:pos="8360"/>
        </w:tabs>
        <w:spacing w:line="360" w:lineRule="auto"/>
        <w:ind w:firstLine="470" w:firstLineChars="196"/>
        <w:jc w:val="left"/>
        <w:rPr>
          <w:rFonts w:hAnsi="宋体"/>
          <w:b/>
          <w:sz w:val="24"/>
          <w:szCs w:val="24"/>
        </w:rPr>
      </w:pPr>
      <w:r>
        <w:rPr>
          <w:rFonts w:hint="eastAsia" w:hAnsi="宋体"/>
          <w:bCs/>
          <w:sz w:val="24"/>
          <w:szCs w:val="24"/>
          <w:lang w:val="en-US" w:eastAsia="zh-CN"/>
        </w:rPr>
        <w:t>3</w:t>
      </w:r>
      <w:r>
        <w:rPr>
          <w:rFonts w:hAnsi="宋体"/>
          <w:bCs/>
          <w:sz w:val="24"/>
          <w:szCs w:val="24"/>
        </w:rPr>
        <w:t>、</w:t>
      </w:r>
      <w:r>
        <w:rPr>
          <w:rFonts w:hint="eastAsia" w:hAnsi="宋体"/>
          <w:bCs/>
          <w:sz w:val="24"/>
          <w:szCs w:val="24"/>
        </w:rPr>
        <w:t>项目地点：厦门市海沧区范围内采购人指定地点。</w:t>
      </w:r>
    </w:p>
    <w:p>
      <w:pPr>
        <w:pStyle w:val="22"/>
        <w:tabs>
          <w:tab w:val="left" w:pos="8360"/>
        </w:tabs>
        <w:spacing w:line="360" w:lineRule="auto"/>
        <w:ind w:firstLine="472" w:firstLineChars="196"/>
        <w:jc w:val="left"/>
        <w:rPr>
          <w:rFonts w:hAnsi="宋体"/>
          <w:b/>
          <w:sz w:val="24"/>
          <w:szCs w:val="24"/>
        </w:rPr>
      </w:pPr>
      <w:r>
        <w:rPr>
          <w:rFonts w:hint="eastAsia" w:hAnsi="宋体"/>
          <w:b/>
          <w:sz w:val="24"/>
          <w:szCs w:val="24"/>
          <w:lang w:val="en-US" w:eastAsia="zh-CN"/>
        </w:rPr>
        <w:t>4</w:t>
      </w:r>
      <w:r>
        <w:rPr>
          <w:rFonts w:hint="eastAsia" w:hAnsi="宋体"/>
          <w:b/>
          <w:sz w:val="24"/>
          <w:szCs w:val="24"/>
        </w:rPr>
        <w:t>、工期：合同签订之</w:t>
      </w:r>
      <w:r>
        <w:rPr>
          <w:rFonts w:hint="eastAsia" w:hAnsi="宋体"/>
          <w:b/>
          <w:color w:val="auto"/>
          <w:sz w:val="24"/>
          <w:szCs w:val="24"/>
          <w:highlight w:val="none"/>
        </w:rPr>
        <w:t>日起</w:t>
      </w:r>
      <w:r>
        <w:rPr>
          <w:rFonts w:hint="eastAsia" w:hAnsi="宋体"/>
          <w:b/>
          <w:color w:val="auto"/>
          <w:sz w:val="24"/>
          <w:szCs w:val="24"/>
          <w:highlight w:val="none"/>
          <w:u w:val="single"/>
        </w:rPr>
        <w:t>60</w:t>
      </w:r>
      <w:r>
        <w:rPr>
          <w:rFonts w:hint="eastAsia" w:hAnsi="宋体"/>
          <w:b/>
          <w:color w:val="auto"/>
          <w:sz w:val="24"/>
          <w:szCs w:val="24"/>
          <w:highlight w:val="none"/>
        </w:rPr>
        <w:t>个日历日</w:t>
      </w:r>
      <w:r>
        <w:rPr>
          <w:rFonts w:hint="eastAsia" w:hAnsi="宋体"/>
          <w:b/>
          <w:sz w:val="24"/>
          <w:szCs w:val="24"/>
        </w:rPr>
        <w:t>内完成供货、改造、安装并提交采购人验收，谈判响应供应商应对此作出承诺。</w:t>
      </w:r>
    </w:p>
    <w:p>
      <w:pPr>
        <w:pStyle w:val="22"/>
        <w:tabs>
          <w:tab w:val="left" w:pos="8360"/>
        </w:tabs>
        <w:spacing w:line="360" w:lineRule="auto"/>
        <w:ind w:firstLine="472" w:firstLineChars="196"/>
        <w:jc w:val="left"/>
        <w:rPr>
          <w:rFonts w:hAnsi="宋体"/>
          <w:b/>
          <w:sz w:val="24"/>
          <w:szCs w:val="24"/>
        </w:rPr>
      </w:pPr>
      <w:r>
        <w:rPr>
          <w:rFonts w:hint="eastAsia" w:hAnsi="宋体"/>
          <w:b/>
          <w:sz w:val="24"/>
          <w:szCs w:val="24"/>
          <w:lang w:val="en-US" w:eastAsia="zh-CN"/>
        </w:rPr>
        <w:t>5</w:t>
      </w:r>
      <w:r>
        <w:rPr>
          <w:rFonts w:hint="eastAsia" w:hAnsi="宋体"/>
          <w:b/>
          <w:sz w:val="24"/>
          <w:szCs w:val="24"/>
        </w:rPr>
        <w:t>、谈判响应供应商首次及最终谈判报价均不得超过本项目的</w:t>
      </w:r>
      <w:r>
        <w:rPr>
          <w:rFonts w:hint="eastAsia" w:ascii="宋体" w:hAnsi="宋体"/>
          <w:b/>
          <w:sz w:val="24"/>
          <w:lang w:val="en-US" w:eastAsia="zh-CN"/>
        </w:rPr>
        <w:t>综合</w:t>
      </w:r>
      <w:r>
        <w:rPr>
          <w:rFonts w:hint="eastAsia" w:ascii="宋体" w:hAnsi="宋体"/>
          <w:b/>
          <w:sz w:val="24"/>
        </w:rPr>
        <w:t>控制</w:t>
      </w:r>
      <w:r>
        <w:rPr>
          <w:rFonts w:hint="eastAsia" w:ascii="宋体" w:hAnsi="宋体"/>
          <w:b/>
          <w:sz w:val="24"/>
          <w:lang w:val="en-US" w:eastAsia="zh-CN"/>
        </w:rPr>
        <w:t>单</w:t>
      </w:r>
      <w:r>
        <w:rPr>
          <w:rFonts w:hint="eastAsia" w:ascii="宋体" w:hAnsi="宋体"/>
          <w:b/>
          <w:sz w:val="24"/>
        </w:rPr>
        <w:t>价</w:t>
      </w:r>
      <w:r>
        <w:rPr>
          <w:rFonts w:hint="eastAsia" w:hAnsi="宋体"/>
          <w:b/>
          <w:sz w:val="24"/>
          <w:szCs w:val="24"/>
        </w:rPr>
        <w:t>，否则将被视为无效谈判响应。</w:t>
      </w:r>
    </w:p>
    <w:p>
      <w:pPr>
        <w:pStyle w:val="22"/>
        <w:tabs>
          <w:tab w:val="left" w:pos="8360"/>
        </w:tabs>
        <w:spacing w:line="360" w:lineRule="auto"/>
        <w:ind w:firstLine="472" w:firstLineChars="196"/>
        <w:jc w:val="left"/>
        <w:rPr>
          <w:rFonts w:hAnsi="宋体"/>
          <w:b/>
          <w:sz w:val="24"/>
          <w:szCs w:val="24"/>
        </w:rPr>
      </w:pPr>
    </w:p>
    <w:p>
      <w:pPr>
        <w:tabs>
          <w:tab w:val="left" w:pos="8360"/>
        </w:tabs>
        <w:spacing w:line="440" w:lineRule="exact"/>
        <w:jc w:val="left"/>
        <w:rPr>
          <w:rFonts w:ascii="宋体" w:hAnsi="宋体"/>
          <w:b/>
          <w:sz w:val="24"/>
        </w:rPr>
      </w:pPr>
    </w:p>
    <w:p>
      <w:pPr>
        <w:pStyle w:val="2"/>
        <w:keepNext w:val="0"/>
        <w:pageBreakBefore/>
        <w:kinsoku w:val="0"/>
        <w:overflowPunct w:val="0"/>
        <w:autoSpaceDE w:val="0"/>
        <w:autoSpaceDN w:val="0"/>
        <w:spacing w:before="0" w:after="0" w:line="400" w:lineRule="exact"/>
        <w:jc w:val="center"/>
        <w:rPr>
          <w:rFonts w:ascii="宋体" w:hAnsi="宋体"/>
          <w:bCs w:val="0"/>
          <w:kern w:val="2"/>
          <w:sz w:val="30"/>
          <w:szCs w:val="30"/>
        </w:rPr>
      </w:pPr>
      <w:bookmarkStart w:id="12" w:name="_Toc338926816"/>
      <w:bookmarkStart w:id="13" w:name="_Toc531349529"/>
      <w:r>
        <w:rPr>
          <w:rFonts w:hint="eastAsia" w:ascii="宋体" w:hAnsi="宋体"/>
          <w:bCs w:val="0"/>
          <w:kern w:val="2"/>
          <w:sz w:val="30"/>
          <w:szCs w:val="30"/>
        </w:rPr>
        <w:t>第二章   谈判响应供应商须知</w:t>
      </w:r>
      <w:bookmarkEnd w:id="11"/>
      <w:bookmarkEnd w:id="12"/>
      <w:bookmarkEnd w:id="13"/>
    </w:p>
    <w:p>
      <w:pPr>
        <w:pStyle w:val="3"/>
        <w:spacing w:before="0" w:after="0" w:line="360" w:lineRule="auto"/>
        <w:jc w:val="center"/>
        <w:rPr>
          <w:rFonts w:ascii="宋体" w:hAnsi="宋体" w:eastAsia="宋体"/>
          <w:sz w:val="28"/>
          <w:szCs w:val="28"/>
        </w:rPr>
      </w:pPr>
      <w:bookmarkStart w:id="14" w:name="_Toc332809163"/>
      <w:bookmarkStart w:id="15" w:name="_Toc531349530"/>
      <w:bookmarkStart w:id="16" w:name="_Toc338881461"/>
      <w:bookmarkStart w:id="17" w:name="_Toc331778545"/>
      <w:bookmarkStart w:id="18" w:name="_Toc314838385"/>
      <w:bookmarkStart w:id="19" w:name="_Toc338926817"/>
      <w:r>
        <w:rPr>
          <w:rFonts w:hint="eastAsia" w:ascii="宋体" w:hAnsi="宋体" w:eastAsia="宋体"/>
          <w:sz w:val="28"/>
          <w:szCs w:val="28"/>
        </w:rPr>
        <w:t>谈判响应供应商须知前附表1</w:t>
      </w:r>
      <w:bookmarkEnd w:id="14"/>
      <w:bookmarkEnd w:id="15"/>
      <w:bookmarkEnd w:id="16"/>
      <w:bookmarkEnd w:id="17"/>
      <w:bookmarkEnd w:id="18"/>
      <w:bookmarkEnd w:id="19"/>
    </w:p>
    <w:p>
      <w:pPr>
        <w:spacing w:line="360" w:lineRule="auto"/>
        <w:ind w:firstLine="525"/>
        <w:rPr>
          <w:rFonts w:ascii="宋体" w:hAnsi="宋体"/>
          <w:sz w:val="24"/>
        </w:rPr>
      </w:pPr>
      <w:r>
        <w:rPr>
          <w:rFonts w:hint="eastAsia" w:ascii="宋体" w:hAnsi="宋体"/>
          <w:sz w:val="24"/>
        </w:rPr>
        <w:t xml:space="preserve">本须知前附表的条款号是与《谈判响应供应商须知》中条款的项号相对应的。如果有矛盾的话，应以本须知前附表为准。 </w:t>
      </w:r>
    </w:p>
    <w:tbl>
      <w:tblPr>
        <w:tblStyle w:val="39"/>
        <w:tblW w:w="106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017"/>
        <w:gridCol w:w="9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项号</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条款号</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1.1</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bCs/>
                <w:sz w:val="24"/>
                <w:u w:val="single"/>
              </w:rPr>
            </w:pPr>
            <w:r>
              <w:rPr>
                <w:rFonts w:hint="eastAsia" w:ascii="宋体" w:hAnsi="宋体"/>
                <w:sz w:val="24"/>
              </w:rPr>
              <w:t>项目名称：</w:t>
            </w:r>
            <w:r>
              <w:rPr>
                <w:rFonts w:hint="eastAsia" w:ascii="宋体" w:hAnsi="宋体"/>
                <w:bCs/>
                <w:sz w:val="24"/>
                <w:u w:val="single"/>
              </w:rPr>
              <w:t>中沧公寓楼破损栏杆更换工程</w:t>
            </w:r>
          </w:p>
          <w:p>
            <w:pPr>
              <w:spacing w:line="430" w:lineRule="exact"/>
              <w:rPr>
                <w:rFonts w:ascii="宋体" w:hAnsi="宋体"/>
                <w:sz w:val="24"/>
                <w:u w:val="single"/>
              </w:rPr>
            </w:pPr>
            <w:r>
              <w:rPr>
                <w:rFonts w:hint="eastAsia" w:ascii="宋体" w:hAnsi="宋体"/>
                <w:sz w:val="24"/>
              </w:rPr>
              <w:t>采 购 人：</w:t>
            </w:r>
            <w:r>
              <w:rPr>
                <w:rFonts w:hint="eastAsia" w:ascii="宋体" w:hAnsi="宋体"/>
                <w:sz w:val="24"/>
                <w:u w:val="single"/>
              </w:rPr>
              <w:t>厦门海沧发展集团有限公司</w:t>
            </w:r>
          </w:p>
          <w:p>
            <w:pPr>
              <w:spacing w:line="430" w:lineRule="exact"/>
              <w:rPr>
                <w:rFonts w:ascii="宋体" w:hAnsi="宋体"/>
                <w:sz w:val="24"/>
              </w:rPr>
            </w:pPr>
            <w:r>
              <w:rPr>
                <w:rFonts w:hint="eastAsia" w:ascii="宋体" w:hAnsi="宋体"/>
                <w:sz w:val="24"/>
              </w:rPr>
              <w:t>项目内容：</w:t>
            </w:r>
            <w:r>
              <w:rPr>
                <w:rFonts w:hint="eastAsia" w:ascii="宋体" w:hAnsi="宋体"/>
                <w:sz w:val="24"/>
                <w:u w:val="single"/>
              </w:rPr>
              <w:t>详见谈判项目一览表</w:t>
            </w:r>
          </w:p>
          <w:p>
            <w:pPr>
              <w:spacing w:line="430" w:lineRule="exact"/>
              <w:rPr>
                <w:rFonts w:ascii="宋体" w:hAnsi="宋体"/>
                <w:sz w:val="24"/>
                <w:u w:val="single"/>
              </w:rPr>
            </w:pPr>
            <w:r>
              <w:rPr>
                <w:rFonts w:hint="eastAsia" w:ascii="宋体" w:hAnsi="宋体"/>
                <w:sz w:val="24"/>
              </w:rPr>
              <w:t>项目编号：</w:t>
            </w:r>
            <w:r>
              <w:rPr>
                <w:rFonts w:hint="eastAsia" w:ascii="宋体" w:hAnsi="宋体"/>
                <w:sz w:val="24"/>
                <w:u w:val="single"/>
              </w:rPr>
              <w:t>2021-HCJZ-SH906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2</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3.1</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tcPr>
          <w:p>
            <w:pPr>
              <w:spacing w:line="430" w:lineRule="exact"/>
              <w:rPr>
                <w:rFonts w:ascii="宋体" w:hAnsi="宋体"/>
                <w:sz w:val="24"/>
              </w:rPr>
            </w:pPr>
            <w:r>
              <w:rPr>
                <w:rFonts w:hint="eastAsia" w:ascii="宋体" w:hAnsi="宋体"/>
                <w:sz w:val="24"/>
              </w:rPr>
              <w:t>谈判响应供应商资格要求：</w:t>
            </w:r>
          </w:p>
          <w:p>
            <w:pPr>
              <w:spacing w:line="430" w:lineRule="exact"/>
              <w:rPr>
                <w:rFonts w:ascii="宋体" w:hAnsi="宋体"/>
                <w:sz w:val="24"/>
              </w:rPr>
            </w:pPr>
            <w:r>
              <w:rPr>
                <w:rFonts w:hint="eastAsia" w:ascii="宋体" w:hAnsi="宋体"/>
                <w:sz w:val="24"/>
              </w:rPr>
              <w:t>详见《谈判响应供应商须知前附表2》的“资格性要求”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3</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11.1</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sz w:val="24"/>
              </w:rPr>
            </w:pPr>
            <w:r>
              <w:rPr>
                <w:rFonts w:hint="eastAsia" w:ascii="宋体" w:hAnsi="宋体"/>
                <w:sz w:val="24"/>
              </w:rPr>
              <w:t>谈判有效期：谈判截止期结束后</w:t>
            </w:r>
            <w:r>
              <w:rPr>
                <w:rFonts w:hint="eastAsia" w:ascii="宋体" w:hAnsi="宋体"/>
                <w:sz w:val="24"/>
                <w:u w:val="single"/>
              </w:rPr>
              <w:t>90</w:t>
            </w:r>
            <w:r>
              <w:rPr>
                <w:rFonts w:hint="eastAsia" w:ascii="宋体" w:hAnsi="宋体"/>
                <w:sz w:val="24"/>
              </w:rPr>
              <w:t>个日历日。</w:t>
            </w:r>
          </w:p>
          <w:p>
            <w:pPr>
              <w:spacing w:line="430" w:lineRule="exact"/>
              <w:rPr>
                <w:rFonts w:ascii="宋体" w:hAnsi="宋体"/>
                <w:sz w:val="24"/>
              </w:rPr>
            </w:pPr>
            <w:r>
              <w:rPr>
                <w:rFonts w:hint="eastAsia" w:ascii="宋体" w:hAnsi="宋体"/>
                <w:sz w:val="24"/>
              </w:rPr>
              <w:t>有效期不足将导致其谈判响应文件被拒绝。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4</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rPr>
                <w:rFonts w:ascii="宋体" w:hAnsi="宋体"/>
                <w:sz w:val="24"/>
              </w:rPr>
            </w:pP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sz w:val="24"/>
              </w:rPr>
            </w:pPr>
            <w:r>
              <w:rPr>
                <w:rFonts w:hint="eastAsia" w:ascii="宋体" w:hAnsi="宋体"/>
                <w:sz w:val="24"/>
              </w:rPr>
              <w:t>谈判响应文件递交地址：</w:t>
            </w:r>
            <w:r>
              <w:rPr>
                <w:rFonts w:hint="eastAsia" w:ascii="宋体" w:hAnsi="宋体"/>
                <w:b/>
                <w:sz w:val="24"/>
              </w:rPr>
              <w:t>详见第一章“谈判邀请”</w:t>
            </w:r>
          </w:p>
          <w:p>
            <w:pPr>
              <w:spacing w:line="430" w:lineRule="exact"/>
              <w:rPr>
                <w:rFonts w:ascii="宋体" w:hAnsi="宋体"/>
                <w:sz w:val="24"/>
                <w:u w:val="single"/>
              </w:rPr>
            </w:pPr>
            <w:r>
              <w:rPr>
                <w:rFonts w:hint="eastAsia" w:ascii="宋体" w:hAnsi="宋体"/>
                <w:sz w:val="24"/>
              </w:rPr>
              <w:t>谈判响应文件接收人：</w:t>
            </w:r>
            <w:r>
              <w:rPr>
                <w:rFonts w:hint="eastAsia" w:ascii="宋体" w:hAnsi="宋体"/>
                <w:sz w:val="24"/>
                <w:u w:val="single"/>
              </w:rPr>
              <w:t>谢小姐</w:t>
            </w:r>
          </w:p>
          <w:p>
            <w:pPr>
              <w:spacing w:line="430" w:lineRule="exact"/>
              <w:rPr>
                <w:rFonts w:ascii="宋体" w:hAnsi="宋体"/>
                <w:sz w:val="24"/>
              </w:rPr>
            </w:pPr>
            <w:r>
              <w:rPr>
                <w:rFonts w:hint="eastAsia" w:ascii="宋体" w:hAnsi="宋体"/>
                <w:sz w:val="24"/>
              </w:rPr>
              <w:t>谈判响应文件递交截止时间：详见第一章“谈判邀请”</w:t>
            </w:r>
          </w:p>
          <w:p>
            <w:pPr>
              <w:spacing w:line="430" w:lineRule="exact"/>
              <w:rPr>
                <w:rFonts w:ascii="宋体" w:hAnsi="宋体"/>
                <w:sz w:val="24"/>
              </w:rPr>
            </w:pPr>
            <w:r>
              <w:rPr>
                <w:rFonts w:hint="eastAsia" w:ascii="宋体" w:hAnsi="宋体"/>
                <w:sz w:val="24"/>
              </w:rPr>
              <w:t>在谈判响应时间后递交的谈判响应文件，采购代理机构将不予接收。</w:t>
            </w:r>
          </w:p>
          <w:p>
            <w:pPr>
              <w:spacing w:line="430" w:lineRule="exact"/>
              <w:rPr>
                <w:rFonts w:ascii="宋体" w:hAnsi="宋体"/>
                <w:sz w:val="24"/>
              </w:rPr>
            </w:pPr>
            <w:r>
              <w:rPr>
                <w:rFonts w:hint="eastAsia" w:ascii="宋体" w:hAnsi="宋体"/>
                <w:sz w:val="24"/>
              </w:rPr>
              <w:t>本项目要求谈判响应供应商提供谈判响应文件正本一份，副本两份。</w:t>
            </w:r>
          </w:p>
          <w:p>
            <w:pPr>
              <w:spacing w:line="430" w:lineRule="exact"/>
              <w:rPr>
                <w:rFonts w:ascii="宋体" w:hAnsi="宋体"/>
                <w:sz w:val="24"/>
              </w:rPr>
            </w:pPr>
            <w:r>
              <w:rPr>
                <w:rFonts w:hint="eastAsia" w:ascii="宋体" w:hAnsi="宋体"/>
                <w:sz w:val="24"/>
              </w:rPr>
              <w:t>谈判响应供应商一旦递交谈判响应文件，即视为同意谈判响应供应商须知的所有内容。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54" w:type="dxa"/>
            <w:tcBorders>
              <w:top w:val="double" w:color="auto" w:sz="4" w:space="0"/>
              <w:left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5</w:t>
            </w:r>
          </w:p>
        </w:tc>
        <w:tc>
          <w:tcPr>
            <w:tcW w:w="1017" w:type="dxa"/>
            <w:tcBorders>
              <w:top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12</w:t>
            </w:r>
          </w:p>
        </w:tc>
        <w:tc>
          <w:tcPr>
            <w:tcW w:w="9022" w:type="dxa"/>
            <w:tcBorders>
              <w:top w:val="double" w:color="auto" w:sz="4" w:space="0"/>
              <w:right w:val="double" w:color="auto" w:sz="4" w:space="0"/>
            </w:tcBorders>
            <w:tcMar>
              <w:top w:w="85" w:type="dxa"/>
              <w:left w:w="85" w:type="dxa"/>
              <w:bottom w:w="85" w:type="dxa"/>
              <w:right w:w="85" w:type="dxa"/>
            </w:tcMar>
          </w:tcPr>
          <w:p>
            <w:pPr>
              <w:spacing w:line="430" w:lineRule="exact"/>
              <w:rPr>
                <w:rFonts w:ascii="宋体" w:hAnsi="宋体"/>
                <w:sz w:val="24"/>
                <w:u w:val="single"/>
              </w:rPr>
            </w:pPr>
            <w:r>
              <w:rPr>
                <w:rFonts w:hint="eastAsia" w:ascii="宋体" w:hAnsi="宋体"/>
                <w:sz w:val="24"/>
              </w:rPr>
              <w:t>谈判响应保证金：</w:t>
            </w:r>
            <w:r>
              <w:rPr>
                <w:rFonts w:hint="eastAsia" w:ascii="宋体" w:hAnsi="宋体"/>
                <w:b/>
                <w:sz w:val="24"/>
              </w:rPr>
              <w:t>人民币</w:t>
            </w:r>
            <w:r>
              <w:rPr>
                <w:rFonts w:hint="eastAsia" w:ascii="宋体" w:hAnsi="宋体"/>
                <w:b/>
                <w:sz w:val="24"/>
                <w:lang w:val="en-US" w:eastAsia="zh-CN"/>
              </w:rPr>
              <w:t>陆仟元整</w:t>
            </w:r>
            <w:r>
              <w:rPr>
                <w:rFonts w:hint="eastAsia" w:ascii="宋体" w:hAnsi="宋体"/>
                <w:b/>
                <w:sz w:val="24"/>
              </w:rPr>
              <w:t>（￥</w:t>
            </w:r>
            <w:r>
              <w:rPr>
                <w:rFonts w:hint="eastAsia" w:ascii="宋体" w:hAnsi="宋体"/>
                <w:b/>
                <w:sz w:val="24"/>
                <w:lang w:val="en-US" w:eastAsia="zh-CN"/>
              </w:rPr>
              <w:t>6</w:t>
            </w:r>
            <w:r>
              <w:rPr>
                <w:rFonts w:hint="eastAsia" w:ascii="宋体" w:hAnsi="宋体"/>
                <w:b/>
                <w:sz w:val="24"/>
              </w:rPr>
              <w:t>000元）</w:t>
            </w:r>
          </w:p>
          <w:p>
            <w:pPr>
              <w:spacing w:line="360" w:lineRule="auto"/>
              <w:rPr>
                <w:rFonts w:ascii="宋体" w:hAnsi="宋体"/>
                <w:sz w:val="24"/>
              </w:rPr>
            </w:pPr>
            <w:r>
              <w:rPr>
                <w:rFonts w:hint="eastAsia" w:ascii="宋体" w:hAnsi="宋体"/>
                <w:sz w:val="24"/>
              </w:rPr>
              <w:t>说明：</w:t>
            </w:r>
          </w:p>
          <w:p>
            <w:pPr>
              <w:spacing w:line="360" w:lineRule="auto"/>
              <w:ind w:firstLine="480" w:firstLineChars="200"/>
              <w:rPr>
                <w:rFonts w:ascii="宋体" w:hAnsi="宋体"/>
                <w:sz w:val="24"/>
              </w:rPr>
            </w:pPr>
            <w:r>
              <w:rPr>
                <w:rFonts w:hint="eastAsia" w:ascii="宋体" w:hAnsi="宋体"/>
                <w:sz w:val="24"/>
              </w:rPr>
              <w:t>1、谈判响应保证金从谈判文件发售之日起即可缴纳，未在谈判截止时间前足额缴纳谈判响应保证金的谈判响应文件视为无效谈判响应文件。</w:t>
            </w:r>
          </w:p>
          <w:p>
            <w:pPr>
              <w:spacing w:line="360" w:lineRule="auto"/>
              <w:ind w:firstLine="480" w:firstLineChars="200"/>
              <w:rPr>
                <w:rFonts w:ascii="宋体" w:hAnsi="宋体"/>
                <w:sz w:val="24"/>
              </w:rPr>
            </w:pPr>
            <w:r>
              <w:rPr>
                <w:rFonts w:hint="eastAsia" w:ascii="宋体" w:hAnsi="宋体"/>
                <w:sz w:val="24"/>
              </w:rPr>
              <w:t>2、保证金账户</w:t>
            </w:r>
          </w:p>
          <w:p>
            <w:pPr>
              <w:spacing w:line="360" w:lineRule="auto"/>
              <w:ind w:firstLine="480" w:firstLineChars="200"/>
              <w:rPr>
                <w:rFonts w:ascii="宋体" w:hAnsi="宋体"/>
                <w:sz w:val="24"/>
              </w:rPr>
            </w:pPr>
            <w:r>
              <w:rPr>
                <w:rFonts w:hint="eastAsia" w:ascii="宋体" w:hAnsi="宋体"/>
                <w:sz w:val="24"/>
              </w:rPr>
              <w:t>开户行：厦门银行前埔支行</w:t>
            </w:r>
          </w:p>
          <w:p>
            <w:pPr>
              <w:spacing w:line="360" w:lineRule="auto"/>
              <w:ind w:firstLine="480" w:firstLineChars="200"/>
              <w:rPr>
                <w:rFonts w:ascii="宋体" w:hAnsi="宋体"/>
                <w:sz w:val="24"/>
              </w:rPr>
            </w:pPr>
            <w:r>
              <w:rPr>
                <w:rFonts w:hint="eastAsia" w:ascii="宋体" w:hAnsi="宋体"/>
                <w:sz w:val="24"/>
              </w:rPr>
              <w:t>账号：87430120540000212</w:t>
            </w:r>
          </w:p>
          <w:p>
            <w:pPr>
              <w:spacing w:line="360" w:lineRule="auto"/>
              <w:ind w:firstLine="480" w:firstLineChars="200"/>
              <w:rPr>
                <w:rFonts w:ascii="宋体" w:hAnsi="宋体"/>
                <w:sz w:val="24"/>
              </w:rPr>
            </w:pPr>
            <w:r>
              <w:rPr>
                <w:rFonts w:hint="eastAsia" w:ascii="宋体" w:hAnsi="宋体"/>
                <w:sz w:val="24"/>
              </w:rPr>
              <w:t>收款单位：厦门市华沧采购招标有限公司</w:t>
            </w:r>
          </w:p>
          <w:p>
            <w:pPr>
              <w:spacing w:line="360" w:lineRule="auto"/>
              <w:ind w:firstLine="480" w:firstLineChars="200"/>
              <w:rPr>
                <w:rFonts w:ascii="宋体" w:hAnsi="宋体"/>
                <w:sz w:val="24"/>
              </w:rPr>
            </w:pPr>
            <w:r>
              <w:rPr>
                <w:rFonts w:hint="eastAsia" w:ascii="宋体" w:hAnsi="宋体"/>
                <w:sz w:val="24"/>
              </w:rPr>
              <w:t>3、供应商应从自身账户以转账、网上银行支付等非现金形式提交。为方便谈判响应保证金的收、退结算，请在银行汇款凭证上标注项目标号如：（项目名称、项目编号）谈判响应保证金，谈判响应保证金缴交凭证请随同响应文件同时送达，不得在谈判现场缴交现金，不得以现金解款的形式缴交或以个人名义代缴谈判响应保证金。</w:t>
            </w:r>
          </w:p>
          <w:p>
            <w:pPr>
              <w:spacing w:line="360" w:lineRule="auto"/>
              <w:ind w:firstLine="482" w:firstLineChars="200"/>
              <w:rPr>
                <w:rFonts w:ascii="宋体" w:hAnsi="宋体"/>
                <w:sz w:val="24"/>
              </w:rPr>
            </w:pPr>
            <w:r>
              <w:rPr>
                <w:rFonts w:hint="eastAsia" w:ascii="宋体" w:hAnsi="宋体"/>
                <w:b/>
                <w:sz w:val="24"/>
              </w:rPr>
              <w:t>4、谈判响应供应商应在谈判响应文件中提供“谈判保证金退还申请书”（格式详见本谈判文件第五章）,以便保证金的及时退还。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54" w:type="dxa"/>
            <w:tcBorders>
              <w:top w:val="double" w:color="auto" w:sz="4" w:space="0"/>
              <w:left w:val="double" w:color="auto" w:sz="4" w:space="0"/>
              <w:bottom w:val="sing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6</w:t>
            </w:r>
          </w:p>
        </w:tc>
        <w:tc>
          <w:tcPr>
            <w:tcW w:w="1017" w:type="dxa"/>
            <w:tcBorders>
              <w:top w:val="double" w:color="auto" w:sz="4" w:space="0"/>
              <w:bottom w:val="sing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19.1</w:t>
            </w:r>
          </w:p>
        </w:tc>
        <w:tc>
          <w:tcPr>
            <w:tcW w:w="9022" w:type="dxa"/>
            <w:tcBorders>
              <w:top w:val="double" w:color="auto" w:sz="4" w:space="0"/>
              <w:bottom w:val="single" w:color="auto" w:sz="4" w:space="0"/>
              <w:right w:val="double" w:color="auto" w:sz="4" w:space="0"/>
            </w:tcBorders>
            <w:tcMar>
              <w:top w:w="85" w:type="dxa"/>
              <w:left w:w="85" w:type="dxa"/>
              <w:bottom w:w="85" w:type="dxa"/>
              <w:right w:w="85" w:type="dxa"/>
            </w:tcMar>
          </w:tcPr>
          <w:p>
            <w:pPr>
              <w:tabs>
                <w:tab w:val="left" w:pos="-1080"/>
                <w:tab w:val="left" w:pos="180"/>
                <w:tab w:val="left" w:pos="1080"/>
              </w:tabs>
              <w:spacing w:line="430" w:lineRule="exact"/>
              <w:ind w:right="336" w:rightChars="120"/>
              <w:rPr>
                <w:rFonts w:ascii="宋体" w:hAnsi="宋体"/>
                <w:sz w:val="24"/>
              </w:rPr>
            </w:pPr>
            <w:r>
              <w:rPr>
                <w:rFonts w:hint="eastAsia" w:ascii="宋体" w:hAnsi="宋体"/>
                <w:sz w:val="24"/>
              </w:rPr>
              <w:t>评审方法及标准：</w:t>
            </w:r>
          </w:p>
          <w:p>
            <w:pPr>
              <w:tabs>
                <w:tab w:val="left" w:pos="-1080"/>
                <w:tab w:val="left" w:pos="180"/>
                <w:tab w:val="left" w:pos="1080"/>
              </w:tabs>
              <w:spacing w:line="430" w:lineRule="exact"/>
              <w:ind w:right="336" w:rightChars="120"/>
              <w:rPr>
                <w:rFonts w:ascii="宋体" w:hAnsi="宋体"/>
                <w:sz w:val="24"/>
              </w:rPr>
            </w:pPr>
            <w:r>
              <w:rPr>
                <w:rFonts w:hint="eastAsia" w:ascii="宋体" w:hAnsi="宋体"/>
                <w:sz w:val="24"/>
              </w:rPr>
              <w:t>（一）本次谈判采用经评审合格最低价成交法，对所有谈判响应供应商的谈判响应文件评审，都采用相同的程序和标准。首先，由谈判小组根据谈判文件要求(无效谈判响应界定)，审核各谈判响应文件是否合格、有效，凡不符合专业条件要求和未实质性响应谈判文件要求的谈判响应均不进入评审程序。</w:t>
            </w:r>
          </w:p>
          <w:p>
            <w:pPr>
              <w:tabs>
                <w:tab w:val="left" w:pos="0"/>
              </w:tabs>
              <w:spacing w:line="430" w:lineRule="exact"/>
              <w:ind w:right="84" w:rightChars="30"/>
              <w:rPr>
                <w:rFonts w:ascii="宋体" w:hAnsi="宋体"/>
                <w:sz w:val="24"/>
              </w:rPr>
            </w:pPr>
            <w:r>
              <w:rPr>
                <w:rFonts w:hint="eastAsia" w:ascii="宋体" w:hAnsi="宋体"/>
                <w:sz w:val="24"/>
              </w:rPr>
              <w:t>（二）通过以上审核，有三家或三家以上符合专业条件要求并对谈判文件作出实质性响应的谈判响应供应商，则依照以下评审办法进行评审：</w:t>
            </w:r>
          </w:p>
          <w:p>
            <w:pPr>
              <w:tabs>
                <w:tab w:val="left" w:pos="0"/>
              </w:tabs>
              <w:spacing w:line="430" w:lineRule="exact"/>
              <w:ind w:right="84" w:rightChars="30" w:firstLine="480" w:firstLineChars="200"/>
              <w:rPr>
                <w:rFonts w:ascii="宋体" w:hAnsi="宋体"/>
                <w:sz w:val="24"/>
              </w:rPr>
            </w:pPr>
            <w:r>
              <w:rPr>
                <w:rFonts w:hint="eastAsia" w:ascii="宋体" w:hAnsi="宋体"/>
                <w:sz w:val="24"/>
              </w:rPr>
              <w:t>谈判小组将在谈判响应文件能够满足谈判文件实质性要求的各谈判响应供应商中，根据谈判最终有效报价由低到高推荐候选成交供应商；最终报价相同的，按各谈判响应供应商的售后服务优劣进行推荐；否则，按照随机抽取的顺序确定排名。谈判小组根据以上排列顺序推荐成交候选供应商的成交候选顺序。</w:t>
            </w:r>
          </w:p>
          <w:p>
            <w:pPr>
              <w:spacing w:line="430" w:lineRule="exact"/>
              <w:rPr>
                <w:rFonts w:ascii="宋体" w:hAnsi="宋体"/>
                <w:sz w:val="24"/>
              </w:rPr>
            </w:pPr>
            <w:r>
              <w:rPr>
                <w:rFonts w:hint="eastAsia" w:ascii="宋体" w:hAnsi="宋体"/>
                <w:sz w:val="24"/>
              </w:rPr>
              <w:t>（三）确定成交供应商的方式</w:t>
            </w:r>
          </w:p>
          <w:p>
            <w:pPr>
              <w:spacing w:line="430" w:lineRule="exact"/>
              <w:ind w:firstLine="120" w:firstLineChars="50"/>
              <w:rPr>
                <w:rFonts w:ascii="宋体" w:hAnsi="宋体"/>
                <w:sz w:val="24"/>
              </w:rPr>
            </w:pPr>
            <w:r>
              <w:rPr>
                <w:rFonts w:ascii="楷体" w:hAnsi="楷体" w:eastAsia="楷体"/>
                <w:b/>
                <w:sz w:val="24"/>
              </w:rPr>
              <w:fldChar w:fldCharType="begin"/>
            </w:r>
            <w:r>
              <w:rPr>
                <w:rFonts w:hint="eastAsia" w:ascii="楷体" w:hAnsi="楷体" w:eastAsia="楷体"/>
                <w:b/>
                <w:sz w:val="24"/>
              </w:rPr>
              <w:instrText xml:space="preserve">eq \o\ac(□,√)</w:instrText>
            </w:r>
            <w:r>
              <w:rPr>
                <w:rFonts w:ascii="楷体" w:hAnsi="楷体" w:eastAsia="楷体"/>
                <w:b/>
                <w:sz w:val="24"/>
              </w:rPr>
              <w:fldChar w:fldCharType="end"/>
            </w:r>
            <w:r>
              <w:rPr>
                <w:rFonts w:hint="eastAsia" w:ascii="宋体" w:hAnsi="宋体"/>
                <w:sz w:val="24"/>
              </w:rPr>
              <w:t>采购人委托招标代理机构招标，在收到评标报告后五个工作日内，按照评标报告中推荐的成交候选供应商顺序确定成交供应商。</w:t>
            </w:r>
          </w:p>
          <w:p>
            <w:pPr>
              <w:spacing w:line="430" w:lineRule="exact"/>
              <w:ind w:right="160" w:rightChars="57"/>
              <w:rPr>
                <w:rFonts w:ascii="宋体" w:hAnsi="宋体"/>
                <w:b/>
                <w:sz w:val="24"/>
              </w:rPr>
            </w:pPr>
            <w:r>
              <w:rPr>
                <w:rFonts w:hint="eastAsia" w:ascii="宋体" w:hAnsi="宋体"/>
                <w:b/>
                <w:sz w:val="24"/>
              </w:rPr>
              <w:t>（四）特别说明：</w:t>
            </w:r>
          </w:p>
          <w:p>
            <w:pPr>
              <w:tabs>
                <w:tab w:val="left" w:pos="0"/>
              </w:tabs>
              <w:spacing w:line="430" w:lineRule="exact"/>
              <w:ind w:right="84" w:rightChars="30" w:firstLine="480" w:firstLineChars="200"/>
              <w:rPr>
                <w:rFonts w:ascii="宋体" w:hAnsi="宋体"/>
                <w:sz w:val="24"/>
              </w:rPr>
            </w:pPr>
            <w:r>
              <w:rPr>
                <w:rFonts w:ascii="宋体" w:hAnsi="宋体" w:cs="宋体"/>
                <w:kern w:val="0"/>
                <w:sz w:val="24"/>
              </w:rPr>
              <w:t>1</w:t>
            </w:r>
            <w:r>
              <w:rPr>
                <w:rFonts w:hint="eastAsia" w:ascii="宋体" w:hAnsi="宋体" w:cs="宋体"/>
                <w:kern w:val="0"/>
                <w:sz w:val="24"/>
              </w:rPr>
              <w:t>）</w:t>
            </w:r>
            <w:r>
              <w:rPr>
                <w:rFonts w:ascii="宋体" w:hAnsi="宋体"/>
                <w:sz w:val="24"/>
              </w:rPr>
              <w:t>谈判响应供应商不得干扰</w:t>
            </w:r>
            <w:r>
              <w:rPr>
                <w:rFonts w:hint="eastAsia" w:ascii="宋体" w:hAnsi="宋体"/>
                <w:sz w:val="24"/>
              </w:rPr>
              <w:t>采购代理机构</w:t>
            </w:r>
            <w:r>
              <w:rPr>
                <w:rFonts w:ascii="宋体" w:hAnsi="宋体"/>
                <w:sz w:val="24"/>
              </w:rPr>
              <w:t>组织谈判活动，否则将其作无效谈判响应处理。</w:t>
            </w:r>
            <w:r>
              <w:rPr>
                <w:rFonts w:ascii="宋体" w:hAnsi="宋体"/>
                <w:sz w:val="24"/>
              </w:rPr>
              <w:br w:type="textWrapping"/>
            </w:r>
            <w:r>
              <w:rPr>
                <w:rFonts w:hint="eastAsia" w:ascii="宋体" w:hAnsi="宋体"/>
                <w:sz w:val="24"/>
              </w:rPr>
              <w:t xml:space="preserve">    2）由于评审主要根据谈判响应文件提供的资料进行，谈判响应供应商应对其谈判响应文件、资料的真实可靠性负责，若因谈判响应供应商提供的谈判响应文件、资料存在弄虚作假情况，谈判小组有权取消其成交资格。</w:t>
            </w:r>
          </w:p>
          <w:p>
            <w:pPr>
              <w:tabs>
                <w:tab w:val="left" w:pos="0"/>
              </w:tabs>
              <w:spacing w:line="430" w:lineRule="exact"/>
              <w:ind w:right="84" w:rightChars="30" w:firstLine="480" w:firstLineChars="200"/>
              <w:rPr>
                <w:rFonts w:ascii="宋体" w:hAnsi="宋体"/>
                <w:sz w:val="24"/>
              </w:rPr>
            </w:pPr>
            <w:r>
              <w:rPr>
                <w:rFonts w:hint="eastAsia" w:ascii="宋体" w:hAnsi="宋体"/>
                <w:sz w:val="24"/>
              </w:rPr>
              <w:t>3）参加谈判的相关人员不得将有关谈判响应文件的审查、澄清、评估和比较以及会影响谈判工作的一切情况，透露给任何一位谈判响应供应商或与上述谈判工作无关的人员。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654" w:type="dxa"/>
            <w:tcBorders>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7</w:t>
            </w:r>
          </w:p>
        </w:tc>
        <w:tc>
          <w:tcPr>
            <w:tcW w:w="1017" w:type="dxa"/>
            <w:tcBorders>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p>
        </w:tc>
        <w:tc>
          <w:tcPr>
            <w:tcW w:w="9022" w:type="dxa"/>
            <w:tcBorders>
              <w:bottom w:val="double" w:color="auto" w:sz="4" w:space="0"/>
              <w:right w:val="double" w:color="auto" w:sz="4" w:space="0"/>
            </w:tcBorders>
            <w:tcMar>
              <w:top w:w="85" w:type="dxa"/>
              <w:left w:w="85" w:type="dxa"/>
              <w:bottom w:w="85" w:type="dxa"/>
              <w:right w:w="85" w:type="dxa"/>
            </w:tcMar>
          </w:tcPr>
          <w:p>
            <w:pPr>
              <w:spacing w:line="430" w:lineRule="exact"/>
              <w:ind w:firstLine="420"/>
              <w:rPr>
                <w:rFonts w:ascii="宋体" w:hAnsi="宋体"/>
                <w:sz w:val="24"/>
              </w:rPr>
            </w:pPr>
            <w:r>
              <w:rPr>
                <w:rFonts w:hint="eastAsia" w:ascii="宋体" w:hAnsi="宋体"/>
                <w:sz w:val="24"/>
              </w:rPr>
              <w:t>谈判成交服务费收费标准</w:t>
            </w:r>
            <w:r>
              <w:rPr>
                <w:rFonts w:hint="eastAsia" w:ascii="宋体" w:hAnsi="宋体"/>
                <w:sz w:val="24"/>
                <w:highlight w:val="none"/>
                <w:lang w:eastAsia="zh-CN"/>
              </w:rPr>
              <w:t>【</w:t>
            </w:r>
            <w:r>
              <w:rPr>
                <w:rFonts w:hint="eastAsia" w:ascii="宋体" w:hAnsi="宋体"/>
                <w:sz w:val="24"/>
                <w:highlight w:val="none"/>
              </w:rPr>
              <w:t>以成交</w:t>
            </w:r>
            <w:r>
              <w:rPr>
                <w:rFonts w:hint="eastAsia" w:ascii="宋体" w:hAnsi="宋体"/>
                <w:sz w:val="24"/>
                <w:highlight w:val="none"/>
                <w:lang w:val="en-US" w:eastAsia="zh-CN"/>
              </w:rPr>
              <w:t>单价乘以总工程量（1896.67m）的总</w:t>
            </w:r>
            <w:r>
              <w:rPr>
                <w:rFonts w:hint="eastAsia" w:ascii="宋体" w:hAnsi="宋体"/>
                <w:sz w:val="24"/>
                <w:highlight w:val="none"/>
              </w:rPr>
              <w:t>金额为基数</w:t>
            </w:r>
            <w:r>
              <w:rPr>
                <w:rFonts w:hint="eastAsia" w:ascii="宋体" w:hAnsi="宋体"/>
                <w:sz w:val="24"/>
                <w:highlight w:val="none"/>
                <w:lang w:eastAsia="zh-CN"/>
              </w:rPr>
              <w:t>】</w:t>
            </w:r>
            <w:r>
              <w:rPr>
                <w:rFonts w:hint="eastAsia" w:ascii="宋体" w:hAnsi="宋体"/>
                <w:sz w:val="24"/>
                <w:highlight w:val="none"/>
              </w:rPr>
              <w:t>具体为：基数≤100万元部</w:t>
            </w:r>
            <w:r>
              <w:rPr>
                <w:rFonts w:hint="eastAsia" w:ascii="宋体" w:hAnsi="宋体"/>
                <w:sz w:val="24"/>
              </w:rPr>
              <w:t>分，按0.</w:t>
            </w:r>
            <w:r>
              <w:rPr>
                <w:rFonts w:hint="eastAsia" w:ascii="宋体" w:hAnsi="宋体"/>
                <w:sz w:val="24"/>
                <w:lang w:val="en-US" w:eastAsia="zh-CN"/>
              </w:rPr>
              <w:t>8</w:t>
            </w:r>
            <w:r>
              <w:rPr>
                <w:rFonts w:hint="eastAsia" w:ascii="宋体" w:hAnsi="宋体"/>
                <w:sz w:val="24"/>
              </w:rPr>
              <w:t>%计取（服务费不足￥2500元，按￥2500元计取）。成交供应商在领取成交通知书时，应以转帐、汇款等付款方式向采购代理机构一次性付清成交服务费。</w:t>
            </w:r>
          </w:p>
          <w:p>
            <w:pPr>
              <w:spacing w:line="430" w:lineRule="exact"/>
              <w:rPr>
                <w:rFonts w:ascii="宋体" w:hAnsi="宋体"/>
                <w:b/>
                <w:sz w:val="24"/>
              </w:rPr>
            </w:pPr>
            <w:r>
              <w:rPr>
                <w:rFonts w:hint="eastAsia" w:ascii="宋体" w:hAnsi="宋体"/>
                <w:b/>
                <w:sz w:val="24"/>
              </w:rPr>
              <w:t>备注：1、成交供应商成交后不能履约的,其已交纳的谈判成交服务费不予退还。</w:t>
            </w:r>
          </w:p>
          <w:p>
            <w:pPr>
              <w:spacing w:line="430" w:lineRule="exact"/>
              <w:ind w:firstLine="723" w:firstLineChars="300"/>
              <w:rPr>
                <w:rFonts w:ascii="宋体" w:hAnsi="宋体"/>
                <w:b/>
                <w:sz w:val="24"/>
              </w:rPr>
            </w:pPr>
            <w:r>
              <w:rPr>
                <w:rFonts w:hint="eastAsia" w:ascii="宋体" w:hAnsi="宋体"/>
                <w:b/>
                <w:sz w:val="24"/>
              </w:rPr>
              <w:t>2、谈判成交服务费缴交账户：</w:t>
            </w:r>
          </w:p>
          <w:p>
            <w:pPr>
              <w:spacing w:line="430" w:lineRule="exact"/>
              <w:ind w:firstLine="720" w:firstLineChars="300"/>
              <w:rPr>
                <w:rFonts w:ascii="宋体" w:hAnsi="宋体"/>
                <w:bCs/>
                <w:sz w:val="24"/>
              </w:rPr>
            </w:pPr>
            <w:r>
              <w:rPr>
                <w:rFonts w:hint="eastAsia" w:ascii="宋体" w:hAnsi="宋体"/>
                <w:bCs/>
                <w:sz w:val="24"/>
              </w:rPr>
              <w:t>开户名：厦门市华沧采购招标有限公司</w:t>
            </w:r>
          </w:p>
          <w:p>
            <w:pPr>
              <w:spacing w:line="430" w:lineRule="exact"/>
              <w:ind w:firstLine="720" w:firstLineChars="300"/>
              <w:rPr>
                <w:rFonts w:ascii="宋体" w:hAnsi="宋体"/>
                <w:bCs/>
                <w:sz w:val="24"/>
              </w:rPr>
            </w:pPr>
            <w:r>
              <w:rPr>
                <w:rFonts w:hint="eastAsia" w:ascii="宋体" w:hAnsi="宋体"/>
                <w:bCs/>
                <w:sz w:val="24"/>
              </w:rPr>
              <w:t xml:space="preserve">开户行：厦门银行银隆支行   </w:t>
            </w:r>
          </w:p>
          <w:p>
            <w:pPr>
              <w:spacing w:line="430" w:lineRule="exact"/>
              <w:ind w:firstLine="720" w:firstLineChars="300"/>
              <w:rPr>
                <w:rFonts w:ascii="宋体" w:hAnsi="宋体"/>
                <w:sz w:val="24"/>
              </w:rPr>
            </w:pPr>
            <w:r>
              <w:rPr>
                <w:rFonts w:hint="eastAsia" w:ascii="宋体" w:hAnsi="宋体"/>
                <w:bCs/>
                <w:sz w:val="24"/>
              </w:rPr>
              <w:t>账  号：8751020109007675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8</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b/>
                <w:sz w:val="24"/>
              </w:rPr>
            </w:pPr>
            <w:r>
              <w:rPr>
                <w:rFonts w:hint="eastAsia" w:ascii="宋体" w:hAnsi="宋体"/>
                <w:b/>
                <w:sz w:val="24"/>
              </w:rPr>
              <w:t>重要提示：</w:t>
            </w:r>
          </w:p>
          <w:p>
            <w:pPr>
              <w:spacing w:line="360" w:lineRule="auto"/>
              <w:ind w:firstLine="31" w:firstLineChars="13"/>
              <w:rPr>
                <w:rFonts w:ascii="宋体" w:hAnsi="宋体"/>
                <w:sz w:val="24"/>
              </w:rPr>
            </w:pPr>
            <w:r>
              <w:rPr>
                <w:rFonts w:hint="eastAsia" w:ascii="宋体" w:hAnsi="宋体"/>
                <w:sz w:val="24"/>
              </w:rPr>
              <w:t xml:space="preserve">   1、提供的资格性证明材料若属于需年检的，应提供经年检合格的副本复印件，而不能提供不能判别是否经年检的正本复印件。</w:t>
            </w:r>
          </w:p>
          <w:p>
            <w:pPr>
              <w:spacing w:line="360" w:lineRule="auto"/>
              <w:ind w:firstLine="432" w:firstLineChars="180"/>
              <w:rPr>
                <w:rFonts w:ascii="宋体" w:hAnsi="宋体"/>
                <w:sz w:val="24"/>
              </w:rPr>
            </w:pPr>
            <w:r>
              <w:rPr>
                <w:rFonts w:hint="eastAsia" w:ascii="宋体" w:hAnsi="宋体"/>
                <w:sz w:val="24"/>
              </w:rPr>
              <w:t>2、交通拥堵，递交谈判响应文件请提前做好准备。在规定的谈判截止时间之后送达的谈判响应文件将被拒收，敬请谅解。</w:t>
            </w:r>
          </w:p>
          <w:p>
            <w:pPr>
              <w:spacing w:line="360" w:lineRule="auto"/>
              <w:ind w:firstLine="432" w:firstLineChars="180"/>
              <w:rPr>
                <w:rFonts w:ascii="宋体" w:hAnsi="宋体"/>
                <w:sz w:val="24"/>
              </w:rPr>
            </w:pPr>
            <w:r>
              <w:rPr>
                <w:rFonts w:hint="eastAsia" w:ascii="宋体" w:hAnsi="宋体"/>
                <w:sz w:val="24"/>
              </w:rPr>
              <w:t>3、考虑到银行上班时间较迟，谈判保证金应提前缴交并到帐，未按规定按时足额提交谈判保证金或谈判保证金未实际到帐的谈判响应文件将被视为无效谈判响应。</w:t>
            </w:r>
          </w:p>
          <w:p>
            <w:pPr>
              <w:spacing w:line="360" w:lineRule="auto"/>
              <w:ind w:firstLine="432" w:firstLineChars="180"/>
              <w:rPr>
                <w:rFonts w:ascii="宋体" w:hAnsi="宋体"/>
                <w:sz w:val="24"/>
              </w:rPr>
            </w:pPr>
            <w:r>
              <w:rPr>
                <w:rFonts w:hint="eastAsia" w:ascii="宋体" w:hAnsi="宋体"/>
                <w:sz w:val="24"/>
              </w:rPr>
              <w:t>4、谈判保证金手续办理完毕后，请再次核对账号、收款单位是否正确，并确保在谈判截止时间前到账。</w:t>
            </w:r>
          </w:p>
          <w:p>
            <w:pPr>
              <w:spacing w:line="360" w:lineRule="auto"/>
              <w:ind w:firstLine="432" w:firstLineChars="180"/>
              <w:rPr>
                <w:rFonts w:ascii="宋体" w:hAnsi="宋体"/>
                <w:sz w:val="24"/>
              </w:rPr>
            </w:pPr>
            <w:r>
              <w:rPr>
                <w:rFonts w:hint="eastAsia" w:ascii="宋体" w:hAnsi="宋体"/>
                <w:sz w:val="24"/>
              </w:rPr>
              <w:t>5、如</w:t>
            </w:r>
            <w:r>
              <w:rPr>
                <w:rFonts w:hint="eastAsia" w:ascii="宋体" w:hAnsi="宋体" w:cs="Arial"/>
                <w:sz w:val="24"/>
              </w:rPr>
              <w:t>谈判响应供应商</w:t>
            </w:r>
            <w:r>
              <w:rPr>
                <w:rFonts w:hint="eastAsia" w:ascii="宋体" w:hAnsi="宋体"/>
                <w:sz w:val="24"/>
              </w:rPr>
              <w:t>缴纳的费用需要开具增值税专用发票，请在转账当月30日前提供增值税一般纳税人的开票资料，如未提供，代理机构对上述费用将开具普通发票，特此说明。</w:t>
            </w:r>
          </w:p>
          <w:p>
            <w:pPr>
              <w:spacing w:line="360" w:lineRule="auto"/>
              <w:ind w:firstLine="432" w:firstLineChars="180"/>
              <w:rPr>
                <w:rFonts w:ascii="宋体" w:hAnsi="宋体" w:cs="Arial"/>
                <w:sz w:val="24"/>
              </w:rPr>
            </w:pPr>
            <w:r>
              <w:rPr>
                <w:rFonts w:hint="eastAsia" w:ascii="宋体" w:hAnsi="宋体" w:cs="Arial"/>
                <w:sz w:val="24"/>
              </w:rPr>
              <w:t>6、谈判响应供应商应将上述文件按顺序胶装成册（不得活页装订）、打印页码，并编列谈判响应文件目录、资料清单，由于装订不规范或编排顺序混乱而导致谈判响应文件被误读或漏读，该谈判响应可能被视为无效谈判响应或承担不利得评审结果。</w:t>
            </w:r>
          </w:p>
          <w:p>
            <w:pPr>
              <w:spacing w:line="360" w:lineRule="auto"/>
              <w:ind w:firstLine="432" w:firstLineChars="180"/>
              <w:rPr>
                <w:rFonts w:ascii="宋体" w:hAnsi="宋体"/>
                <w:sz w:val="24"/>
              </w:rPr>
            </w:pPr>
            <w:r>
              <w:rPr>
                <w:rFonts w:hint="eastAsia" w:ascii="宋体" w:hAnsi="宋体" w:cs="Arial"/>
                <w:sz w:val="24"/>
              </w:rPr>
              <w:t>7、谈判响应供应商应对所提供的谈判响应文件资料逐项加盖公章，若某项内容材料有2页以上的，应逐页加盖公章或加盖骑缝章。</w:t>
            </w:r>
          </w:p>
        </w:tc>
      </w:tr>
    </w:tbl>
    <w:p>
      <w:pPr>
        <w:pStyle w:val="3"/>
        <w:pageBreakBefore/>
        <w:spacing w:before="0" w:after="0" w:line="400" w:lineRule="exact"/>
        <w:jc w:val="center"/>
        <w:rPr>
          <w:rFonts w:ascii="宋体" w:hAnsi="宋体" w:eastAsia="宋体"/>
          <w:sz w:val="28"/>
          <w:szCs w:val="28"/>
        </w:rPr>
      </w:pPr>
      <w:bookmarkStart w:id="20" w:name="_Toc420679741"/>
      <w:bookmarkStart w:id="21" w:name="_Toc420487345"/>
      <w:bookmarkStart w:id="22" w:name="_Toc421546410"/>
      <w:bookmarkStart w:id="23" w:name="_Toc531349531"/>
      <w:bookmarkStart w:id="24" w:name="_Toc445741441"/>
      <w:bookmarkStart w:id="25" w:name="_Toc384113674"/>
      <w:bookmarkStart w:id="26" w:name="_Toc406050684"/>
      <w:bookmarkStart w:id="27" w:name="_Toc381368636"/>
      <w:bookmarkStart w:id="28" w:name="_Toc381371631"/>
      <w:bookmarkStart w:id="29" w:name="_Toc410144284"/>
      <w:bookmarkStart w:id="30" w:name="_Toc318292399"/>
      <w:bookmarkStart w:id="31" w:name="_Toc345597858"/>
      <w:r>
        <w:rPr>
          <w:rFonts w:hint="eastAsia" w:ascii="宋体" w:hAnsi="宋体" w:eastAsia="宋体"/>
          <w:sz w:val="28"/>
          <w:szCs w:val="28"/>
        </w:rPr>
        <w:t>谈判响应供应商须知前附表2：资格性、符合性检查表</w:t>
      </w:r>
      <w:bookmarkEnd w:id="20"/>
      <w:bookmarkEnd w:id="21"/>
      <w:bookmarkEnd w:id="22"/>
      <w:bookmarkEnd w:id="23"/>
      <w:bookmarkEnd w:id="24"/>
    </w:p>
    <w:p>
      <w:pPr>
        <w:spacing w:line="360" w:lineRule="auto"/>
        <w:ind w:firstLine="495"/>
        <w:rPr>
          <w:rFonts w:ascii="宋体" w:hAnsi="宋体"/>
          <w:sz w:val="24"/>
        </w:rPr>
      </w:pPr>
      <w:r>
        <w:rPr>
          <w:rFonts w:hint="eastAsia" w:ascii="宋体" w:hAnsi="宋体"/>
          <w:sz w:val="24"/>
        </w:rPr>
        <w:t>本须知前附表2集中列示了资格性、符合性检查的所有条款，其内容是谈判小组判断谈判响应供应商的谈判响应是否有效的重要依据。</w:t>
      </w:r>
    </w:p>
    <w:tbl>
      <w:tblPr>
        <w:tblStyle w:val="39"/>
        <w:tblW w:w="102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456"/>
        <w:gridCol w:w="1042"/>
        <w:gridCol w:w="8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26" w:type="dxa"/>
            <w:gridSpan w:val="4"/>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
                <w:sz w:val="24"/>
              </w:rPr>
            </w:pPr>
            <w:r>
              <w:rPr>
                <w:rFonts w:hint="eastAsia" w:ascii="宋体" w:hAnsi="宋体"/>
                <w:b/>
                <w:sz w:val="24"/>
              </w:rPr>
              <w:t>资格性要求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项号</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章</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条款号</w:t>
            </w:r>
          </w:p>
        </w:tc>
        <w:tc>
          <w:tcPr>
            <w:tcW w:w="80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3</w:t>
            </w: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合格的谈判响应供应商</w:t>
            </w:r>
          </w:p>
          <w:p>
            <w:pPr>
              <w:spacing w:line="360" w:lineRule="auto"/>
              <w:rPr>
                <w:rFonts w:ascii="宋体" w:hAnsi="宋体"/>
                <w:sz w:val="24"/>
              </w:rPr>
            </w:pPr>
            <w:r>
              <w:rPr>
                <w:rFonts w:hint="eastAsia" w:ascii="宋体" w:hAnsi="宋体"/>
                <w:sz w:val="24"/>
              </w:rPr>
              <w:t>　　具体内容详见第二章第一节第3条“合格的谈判响应供应商”。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资格标准：</w:t>
            </w:r>
          </w:p>
          <w:p>
            <w:pPr>
              <w:spacing w:line="360" w:lineRule="auto"/>
              <w:ind w:left="-112" w:leftChars="-40" w:firstLine="480" w:firstLineChars="200"/>
              <w:rPr>
                <w:rFonts w:ascii="宋体" w:hAnsi="宋体" w:cs="Arial"/>
                <w:bCs/>
                <w:sz w:val="24"/>
              </w:rPr>
            </w:pPr>
            <w:r>
              <w:rPr>
                <w:rFonts w:hint="eastAsia" w:ascii="宋体" w:hAnsi="宋体"/>
                <w:sz w:val="24"/>
              </w:rPr>
              <w:t>1、谈判响应供应商</w:t>
            </w:r>
            <w:r>
              <w:rPr>
                <w:rFonts w:hint="eastAsia" w:ascii="宋体" w:hAnsi="宋体" w:cs="Arial"/>
                <w:bCs/>
                <w:sz w:val="24"/>
              </w:rPr>
              <w:t>应在中华人民共和国合法注册，具有独立承担民事责任的能力，必须提供法人营业执照有效复印件。</w:t>
            </w:r>
          </w:p>
          <w:p>
            <w:pPr>
              <w:spacing w:line="360" w:lineRule="auto"/>
              <w:ind w:left="-112" w:leftChars="-40" w:firstLine="480" w:firstLineChars="200"/>
              <w:rPr>
                <w:rFonts w:ascii="宋体" w:hAnsi="宋体" w:cs="Arial"/>
                <w:sz w:val="24"/>
              </w:rPr>
            </w:pPr>
            <w:r>
              <w:rPr>
                <w:rFonts w:hint="eastAsia" w:ascii="宋体" w:hAnsi="宋体" w:cs="Arial"/>
                <w:sz w:val="24"/>
              </w:rPr>
              <w:t>2、</w:t>
            </w:r>
            <w:r>
              <w:rPr>
                <w:rFonts w:hint="eastAsia" w:ascii="宋体" w:hAnsi="宋体"/>
                <w:sz w:val="24"/>
              </w:rPr>
              <w:t>谈判响应供应商代表应提供身份证有效复印件（正反面均需复印），谈判响应供应商代表若不是企业法定代表人的应同时提供企业法定代表人的授权书原件</w:t>
            </w:r>
            <w:r>
              <w:rPr>
                <w:rFonts w:hint="eastAsia" w:ascii="宋体" w:hAnsi="宋体" w:cs="Arial"/>
                <w:sz w:val="24"/>
              </w:rPr>
              <w:t>。</w:t>
            </w:r>
          </w:p>
          <w:p>
            <w:pPr>
              <w:spacing w:line="360" w:lineRule="auto"/>
              <w:ind w:left="-112" w:leftChars="-40" w:firstLine="480" w:firstLineChars="200"/>
              <w:rPr>
                <w:rFonts w:ascii="宋体" w:hAnsi="宋体" w:cs="Arial"/>
                <w:sz w:val="24"/>
              </w:rPr>
            </w:pPr>
            <w:r>
              <w:rPr>
                <w:rFonts w:hint="eastAsia" w:ascii="宋体" w:hAnsi="宋体" w:cs="Arial"/>
                <w:sz w:val="24"/>
              </w:rPr>
              <w:t>3、</w:t>
            </w:r>
            <w:r>
              <w:rPr>
                <w:rFonts w:hint="eastAsia" w:ascii="宋体" w:hAnsi="宋体"/>
                <w:sz w:val="24"/>
              </w:rPr>
              <w:t>本项目拒绝联合体谈判响应，取消谈判文件中对联合体的所有规定。</w:t>
            </w:r>
          </w:p>
          <w:p>
            <w:pPr>
              <w:spacing w:line="360" w:lineRule="auto"/>
              <w:ind w:firstLine="482" w:firstLineChars="200"/>
              <w:rPr>
                <w:rFonts w:ascii="宋体" w:hAnsi="宋体" w:cs="Arial"/>
                <w:b/>
                <w:sz w:val="24"/>
              </w:rPr>
            </w:pPr>
            <w:r>
              <w:rPr>
                <w:rFonts w:hint="eastAsia" w:ascii="宋体" w:hAnsi="宋体" w:cs="Arial"/>
                <w:b/>
                <w:sz w:val="24"/>
              </w:rPr>
              <w:t>备注：谈判响应供应商代表参与谈判时应提供身份证原件以便核对身份，方可进入谈判程序。</w:t>
            </w:r>
          </w:p>
          <w:p>
            <w:pPr>
              <w:spacing w:line="360" w:lineRule="auto"/>
              <w:ind w:firstLine="482" w:firstLineChars="200"/>
              <w:rPr>
                <w:rFonts w:ascii="宋体" w:hAnsi="宋体" w:cs="Arial"/>
                <w:b/>
                <w:sz w:val="24"/>
              </w:rPr>
            </w:pPr>
            <w:r>
              <w:rPr>
                <w:rFonts w:hint="eastAsia" w:ascii="宋体" w:hAnsi="宋体" w:cs="Arial"/>
                <w:b/>
                <w:sz w:val="24"/>
              </w:rPr>
              <w:t>以上资格证明文件均须加盖谈判响应供应商公章。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Theme="minorEastAsia"/>
                <w:sz w:val="24"/>
                <w:lang w:val="en-US" w:eastAsia="zh-CN"/>
              </w:rPr>
            </w:pPr>
            <w:r>
              <w:rPr>
                <w:rFonts w:hint="eastAsia" w:ascii="宋体" w:hAnsi="宋体"/>
                <w:sz w:val="24"/>
                <w:lang w:val="en-US" w:eastAsia="zh-CN"/>
              </w:rPr>
              <w:t>3</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hint="eastAsia" w:ascii="宋体" w:hAnsi="宋体" w:cs="Arial"/>
                <w:b/>
                <w:bCs/>
                <w:sz w:val="24"/>
              </w:rPr>
            </w:pPr>
            <w:r>
              <w:rPr>
                <w:rFonts w:hint="eastAsia" w:ascii="宋体" w:hAnsi="宋体"/>
                <w:b/>
                <w:bCs/>
                <w:sz w:val="24"/>
              </w:rPr>
              <w:t>采购人根据采购项目的要求规定的特定条件：</w:t>
            </w:r>
          </w:p>
          <w:p>
            <w:pPr>
              <w:spacing w:line="360" w:lineRule="auto"/>
              <w:ind w:firstLine="480" w:firstLineChars="200"/>
              <w:rPr>
                <w:rFonts w:hint="eastAsia" w:ascii="宋体" w:hAnsi="宋体" w:cs="Arial"/>
                <w:b/>
                <w:sz w:val="24"/>
              </w:rPr>
            </w:pPr>
            <w:r>
              <w:rPr>
                <w:rFonts w:hint="eastAsia" w:ascii="宋体" w:hAnsi="宋体" w:cs="Arial"/>
                <w:sz w:val="24"/>
              </w:rPr>
              <w:t>谈判供应商必须具有建设行政主管部门颁发的建筑工程施工总承包叁级</w:t>
            </w:r>
            <w:r>
              <w:rPr>
                <w:rFonts w:hint="eastAsia" w:ascii="宋体" w:hAnsi="宋体" w:cs="Arial"/>
                <w:sz w:val="24"/>
                <w:lang w:val="en-US" w:eastAsia="zh-CN"/>
              </w:rPr>
              <w:t>或</w:t>
            </w:r>
            <w:bookmarkStart w:id="384" w:name="_GoBack"/>
            <w:bookmarkEnd w:id="384"/>
            <w:r>
              <w:rPr>
                <w:rFonts w:hint="eastAsia" w:ascii="宋体" w:hAnsi="宋体" w:cs="Arial"/>
                <w:sz w:val="24"/>
              </w:rPr>
              <w:t>以上资质</w:t>
            </w:r>
            <w:r>
              <w:rPr>
                <w:rFonts w:hint="eastAsia" w:ascii="宋体" w:hAnsi="宋体" w:cs="Arial"/>
                <w:sz w:val="24"/>
                <w:lang w:eastAsia="zh-CN"/>
              </w:rPr>
              <w:t>；</w:t>
            </w:r>
            <w:r>
              <w:rPr>
                <w:rFonts w:hint="eastAsia" w:ascii="宋体" w:hAnsi="宋体" w:cs="Arial"/>
                <w:sz w:val="24"/>
                <w:lang w:val="en-US" w:eastAsia="zh-CN"/>
              </w:rPr>
              <w:t>须</w:t>
            </w:r>
            <w:r>
              <w:rPr>
                <w:rFonts w:hint="eastAsia" w:ascii="宋体" w:hAnsi="宋体" w:cs="Arial"/>
                <w:sz w:val="24"/>
              </w:rPr>
              <w:t>在谈判响应文件中提供该资质证书有效复印件。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26" w:type="dxa"/>
            <w:gridSpan w:val="4"/>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
                <w:sz w:val="24"/>
              </w:rPr>
            </w:pPr>
            <w:r>
              <w:rPr>
                <w:rFonts w:hint="eastAsia" w:ascii="宋体" w:hAnsi="宋体"/>
                <w:b/>
                <w:sz w:val="24"/>
              </w:rPr>
              <w:t>符合性要求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项号</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章</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条款号</w:t>
            </w:r>
          </w:p>
        </w:tc>
        <w:tc>
          <w:tcPr>
            <w:tcW w:w="80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一</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ind w:firstLine="480" w:firstLineChars="200"/>
              <w:rPr>
                <w:rFonts w:ascii="宋体" w:hAnsi="宋体"/>
                <w:sz w:val="24"/>
              </w:rPr>
            </w:pPr>
            <w:r>
              <w:rPr>
                <w:rFonts w:hint="eastAsia" w:ascii="宋体" w:hAnsi="宋体"/>
                <w:sz w:val="24"/>
              </w:rPr>
              <w:t>谈判响应供应商的谈判响应文件未按规定的谈判响应截止时间之前提交的，其谈判响应将被拒绝。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pStyle w:val="69"/>
              <w:spacing w:line="360" w:lineRule="auto"/>
              <w:ind w:firstLine="480" w:firstLineChars="200"/>
              <w:jc w:val="both"/>
              <w:rPr>
                <w:rFonts w:hAnsi="宋体"/>
                <w:color w:val="auto"/>
                <w:kern w:val="2"/>
              </w:rPr>
            </w:pPr>
            <w:r>
              <w:rPr>
                <w:rFonts w:hint="eastAsia" w:hAnsi="宋体"/>
                <w:color w:val="auto"/>
                <w:kern w:val="2"/>
              </w:rPr>
              <w:t>谈判响应供应商存在下列情形之一的，将被认定为串通围标行为并作无效谈判响应处理：</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1</w:t>
            </w:r>
            <w:r>
              <w:rPr>
                <w:rFonts w:hint="eastAsia" w:hAnsi="宋体"/>
                <w:color w:val="auto"/>
                <w:kern w:val="2"/>
              </w:rPr>
              <w:t>）不同谈判响应供应商的谈判响应文件错、漏之处一致或雷同，且不能合理解释的；</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2</w:t>
            </w:r>
            <w:r>
              <w:rPr>
                <w:rFonts w:hint="eastAsia" w:hAnsi="宋体"/>
                <w:color w:val="auto"/>
                <w:kern w:val="2"/>
              </w:rPr>
              <w:t>）不同的谈判响应供应商的法定代表人、委托代理人等由同一个单位缴纳社会保险的；</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3</w:t>
            </w:r>
            <w:r>
              <w:rPr>
                <w:rFonts w:hint="eastAsia" w:hAnsi="宋体"/>
                <w:color w:val="auto"/>
                <w:kern w:val="2"/>
              </w:rPr>
              <w:t>）由同一人或分别由几个有利害关系的人携带两个以上（含两个）谈判响应供应商的企业资料参与资格审查、领取谈判资料，或代表两个以上（含两个）供应商参加项目答疑会、交纳或退还谈判响应保证金、谈判的；</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4</w:t>
            </w:r>
            <w:r>
              <w:rPr>
                <w:rFonts w:hint="eastAsia" w:hAnsi="宋体"/>
                <w:color w:val="auto"/>
                <w:kern w:val="2"/>
              </w:rPr>
              <w:t>）谈判响应供应商之间协商谈判报价等谈判响应文件的实质性内容；</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5</w:t>
            </w:r>
            <w:r>
              <w:rPr>
                <w:rFonts w:hint="eastAsia" w:hAnsi="宋体"/>
                <w:color w:val="auto"/>
                <w:kern w:val="2"/>
              </w:rPr>
              <w:t>）谈判响应供应商之间约定成交人；</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6</w:t>
            </w:r>
            <w:r>
              <w:rPr>
                <w:rFonts w:hint="eastAsia" w:hAnsi="宋体"/>
                <w:color w:val="auto"/>
                <w:kern w:val="2"/>
              </w:rPr>
              <w:t>）谈判响应供应商之间约定部分谈判响应供应商放弃谈判或者成交；</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7</w:t>
            </w:r>
            <w:r>
              <w:rPr>
                <w:rFonts w:hint="eastAsia" w:hAnsi="宋体"/>
                <w:color w:val="auto"/>
                <w:kern w:val="2"/>
              </w:rPr>
              <w:t>）属于同一集团、协会、商会等组织成员的谈判响应供应商按照该组织要求协同谈判；</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8</w:t>
            </w:r>
            <w:r>
              <w:rPr>
                <w:rFonts w:hint="eastAsia" w:hAnsi="宋体"/>
                <w:color w:val="auto"/>
                <w:kern w:val="2"/>
              </w:rPr>
              <w:t>）谈判响应供应商之间为谋取成交或者排斥特定谈判响应供应商而采取的其他联合行动；</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9</w:t>
            </w:r>
            <w:r>
              <w:rPr>
                <w:rFonts w:hint="eastAsia" w:hAnsi="宋体"/>
                <w:color w:val="auto"/>
                <w:kern w:val="2"/>
              </w:rPr>
              <w:t>）不同谈判响应供应商的谈判响应文件由同一单位或者个人编制；</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10</w:t>
            </w:r>
            <w:r>
              <w:rPr>
                <w:rFonts w:hint="eastAsia" w:hAnsi="宋体"/>
                <w:color w:val="auto"/>
                <w:kern w:val="2"/>
              </w:rPr>
              <w:t>）不同谈判响应供应商委托同一单位或者个人办理谈判事宜；</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11</w:t>
            </w:r>
            <w:r>
              <w:rPr>
                <w:rFonts w:hint="eastAsia" w:hAnsi="宋体"/>
                <w:color w:val="auto"/>
                <w:kern w:val="2"/>
              </w:rPr>
              <w:t>）不同谈判响应供应商的谈判响应文件载明的项目管理成员为同一人；</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12</w:t>
            </w:r>
            <w:r>
              <w:rPr>
                <w:rFonts w:hint="eastAsia" w:hAnsi="宋体"/>
                <w:color w:val="auto"/>
                <w:kern w:val="2"/>
              </w:rPr>
              <w:t>）不同谈判响应供应商的谈判响应文件异常一致或者谈判报价呈规律性差异；</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13</w:t>
            </w:r>
            <w:r>
              <w:rPr>
                <w:rFonts w:hint="eastAsia" w:hAnsi="宋体"/>
                <w:color w:val="auto"/>
                <w:kern w:val="2"/>
              </w:rPr>
              <w:t>）不同谈判响应供应商的谈判响应文件相互混装；</w:t>
            </w:r>
          </w:p>
          <w:p>
            <w:pPr>
              <w:pStyle w:val="69"/>
              <w:spacing w:line="360" w:lineRule="auto"/>
              <w:jc w:val="both"/>
              <w:rPr>
                <w:rFonts w:hAnsi="宋体"/>
                <w:color w:val="auto"/>
                <w:kern w:val="2"/>
              </w:rPr>
            </w:pPr>
            <w:r>
              <w:rPr>
                <w:rFonts w:hint="eastAsia" w:hAnsi="宋体"/>
                <w:color w:val="auto"/>
                <w:kern w:val="2"/>
              </w:rPr>
              <w:t>（</w:t>
            </w:r>
            <w:r>
              <w:rPr>
                <w:rFonts w:hAnsi="宋体"/>
                <w:color w:val="auto"/>
                <w:kern w:val="2"/>
              </w:rPr>
              <w:t>14</w:t>
            </w:r>
            <w:r>
              <w:rPr>
                <w:rFonts w:hint="eastAsia" w:hAnsi="宋体"/>
                <w:color w:val="auto"/>
                <w:kern w:val="2"/>
              </w:rPr>
              <w:t>）不同谈判响应供应商的谈判响应保证金从同一单位或者个人的账户转出；</w:t>
            </w:r>
          </w:p>
          <w:p>
            <w:pPr>
              <w:spacing w:line="360" w:lineRule="auto"/>
              <w:rPr>
                <w:rFonts w:ascii="宋体" w:hAnsi="宋体"/>
                <w:sz w:val="24"/>
              </w:rPr>
            </w:pPr>
            <w:r>
              <w:rPr>
                <w:rFonts w:hint="eastAsia" w:ascii="宋体" w:hAnsi="宋体"/>
                <w:sz w:val="24"/>
              </w:rPr>
              <w:t>（</w:t>
            </w:r>
            <w:r>
              <w:rPr>
                <w:rFonts w:ascii="宋体" w:hAnsi="宋体"/>
                <w:sz w:val="24"/>
              </w:rPr>
              <w:t>15</w:t>
            </w:r>
            <w:r>
              <w:rPr>
                <w:rFonts w:hint="eastAsia" w:ascii="宋体" w:hAnsi="宋体"/>
                <w:sz w:val="24"/>
              </w:rPr>
              <w:t>）有关法律、法规或规章规定的其他串通谈判。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3</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11.1</w:t>
            </w: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谈判有效期：谈判截止期结束后</w:t>
            </w:r>
            <w:r>
              <w:rPr>
                <w:rFonts w:hint="eastAsia" w:ascii="宋体" w:hAnsi="宋体"/>
                <w:sz w:val="24"/>
                <w:u w:val="single"/>
              </w:rPr>
              <w:t>90</w:t>
            </w:r>
            <w:r>
              <w:rPr>
                <w:rFonts w:hint="eastAsia" w:ascii="宋体" w:hAnsi="宋体"/>
                <w:sz w:val="24"/>
              </w:rPr>
              <w:t>个日历日。</w:t>
            </w:r>
          </w:p>
          <w:p>
            <w:pPr>
              <w:spacing w:line="360" w:lineRule="auto"/>
              <w:rPr>
                <w:rFonts w:ascii="宋体" w:hAnsi="宋体"/>
                <w:sz w:val="24"/>
              </w:rPr>
            </w:pPr>
            <w:r>
              <w:rPr>
                <w:rFonts w:hint="eastAsia" w:ascii="宋体" w:hAnsi="宋体"/>
                <w:sz w:val="24"/>
              </w:rPr>
              <w:t>有效期不足将导致其谈判响应文件被拒绝。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4</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12.5</w:t>
            </w: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ascii="宋体" w:hAnsi="宋体"/>
                <w:sz w:val="24"/>
              </w:rPr>
              <w:t>未按规定提交谈判保证金，</w:t>
            </w:r>
            <w:r>
              <w:rPr>
                <w:rFonts w:ascii="宋体" w:hAnsi="宋体" w:cs="Arial"/>
                <w:sz w:val="24"/>
              </w:rPr>
              <w:t>将被</w:t>
            </w:r>
            <w:r>
              <w:rPr>
                <w:rFonts w:hint="eastAsia" w:ascii="宋体" w:hAnsi="宋体" w:cs="Arial"/>
                <w:sz w:val="24"/>
              </w:rPr>
              <w:t>视为未响应谈判文件要求，取消其谈判资格</w:t>
            </w:r>
            <w:r>
              <w:rPr>
                <w:rFonts w:ascii="宋体" w:hAnsi="宋体" w:cs="Arial"/>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5</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（1）实质性影响合同的范围、质量和履行；</w:t>
            </w:r>
          </w:p>
          <w:p>
            <w:pPr>
              <w:spacing w:line="360" w:lineRule="auto"/>
              <w:rPr>
                <w:rFonts w:ascii="宋体" w:hAnsi="宋体"/>
                <w:sz w:val="24"/>
              </w:rPr>
            </w:pPr>
            <w:r>
              <w:rPr>
                <w:rFonts w:hint="eastAsia" w:ascii="宋体" w:hAnsi="宋体"/>
                <w:sz w:val="24"/>
              </w:rPr>
              <w:t>（2）实质性违背谈判文件，限制了采购人的权利和成交商合同项下的义务；</w:t>
            </w:r>
          </w:p>
          <w:p>
            <w:pPr>
              <w:spacing w:line="360" w:lineRule="auto"/>
              <w:rPr>
                <w:rFonts w:ascii="宋体" w:hAnsi="宋体"/>
                <w:sz w:val="24"/>
              </w:rPr>
            </w:pPr>
            <w:r>
              <w:rPr>
                <w:rFonts w:hint="eastAsia" w:ascii="宋体" w:hAnsi="宋体"/>
                <w:sz w:val="24"/>
              </w:rPr>
              <w:t>（3）不公正地影响了其他作出实质性响应的谈判响应供应商的竞争地位。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6</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ind w:firstLine="480" w:firstLineChars="200"/>
              <w:rPr>
                <w:rFonts w:ascii="宋体" w:hAnsi="宋体"/>
                <w:sz w:val="24"/>
              </w:rPr>
            </w:pPr>
            <w:r>
              <w:rPr>
                <w:rFonts w:hint="eastAsia" w:ascii="宋体" w:hAnsi="宋体"/>
                <w:sz w:val="24"/>
              </w:rPr>
              <w:t>凡有下列情况之一者，响应文件也将被视为未实质性响应谈判文件要求：</w:t>
            </w:r>
          </w:p>
          <w:p>
            <w:pPr>
              <w:spacing w:line="360" w:lineRule="auto"/>
              <w:rPr>
                <w:rFonts w:ascii="宋体" w:hAnsi="宋体"/>
                <w:sz w:val="24"/>
              </w:rPr>
            </w:pPr>
            <w:r>
              <w:rPr>
                <w:rFonts w:hint="eastAsia" w:ascii="宋体" w:hAnsi="宋体"/>
                <w:sz w:val="24"/>
              </w:rPr>
              <w:t>（1）谈判响应文件未按照本须知的规定进行密封、标记的；</w:t>
            </w:r>
          </w:p>
          <w:p>
            <w:pPr>
              <w:spacing w:line="360" w:lineRule="auto"/>
              <w:rPr>
                <w:rFonts w:ascii="宋体" w:hAnsi="宋体"/>
                <w:sz w:val="24"/>
              </w:rPr>
            </w:pPr>
            <w:r>
              <w:rPr>
                <w:rFonts w:hint="eastAsia" w:ascii="宋体" w:hAnsi="宋体"/>
                <w:sz w:val="24"/>
              </w:rPr>
              <w:t>（2）谈判响应文件未按规定加盖谈判响应供应商公章的；</w:t>
            </w:r>
          </w:p>
          <w:p>
            <w:pPr>
              <w:spacing w:line="360" w:lineRule="auto"/>
              <w:rPr>
                <w:rFonts w:ascii="宋体" w:hAnsi="宋体"/>
                <w:sz w:val="24"/>
              </w:rPr>
            </w:pPr>
            <w:r>
              <w:rPr>
                <w:rFonts w:hint="eastAsia" w:ascii="宋体" w:hAnsi="宋体"/>
                <w:sz w:val="24"/>
              </w:rPr>
              <w:t>（3）谈判响应文件未按规定由谈判响应供应商的法定代表人或其授权代表签字；</w:t>
            </w:r>
          </w:p>
          <w:p>
            <w:pPr>
              <w:spacing w:line="360" w:lineRule="auto"/>
              <w:rPr>
                <w:rFonts w:ascii="宋体" w:hAnsi="宋体"/>
                <w:sz w:val="24"/>
              </w:rPr>
            </w:pPr>
            <w:r>
              <w:rPr>
                <w:rFonts w:hint="eastAsia" w:ascii="宋体" w:hAnsi="宋体"/>
                <w:sz w:val="24"/>
              </w:rPr>
              <w:t>（4） 非法定代表人的签字人未在谈判响应文件中提供经法定代表人签字并加盖谈判响应供应商公章的有效授权委托书的；</w:t>
            </w:r>
          </w:p>
          <w:p>
            <w:pPr>
              <w:spacing w:line="360" w:lineRule="auto"/>
              <w:rPr>
                <w:rFonts w:ascii="宋体" w:hAnsi="宋体"/>
                <w:sz w:val="24"/>
              </w:rPr>
            </w:pPr>
            <w:r>
              <w:rPr>
                <w:rFonts w:hint="eastAsia" w:ascii="宋体" w:hAnsi="宋体"/>
                <w:sz w:val="24"/>
              </w:rPr>
              <w:t>（5）谈判报价一览表未加盖谈判响应供应商公章，报价一览表的项目名称、项目编号等重要信息错误的；</w:t>
            </w:r>
          </w:p>
          <w:p>
            <w:pPr>
              <w:spacing w:line="360" w:lineRule="auto"/>
              <w:rPr>
                <w:rFonts w:ascii="宋体" w:hAnsi="宋体"/>
                <w:sz w:val="24"/>
              </w:rPr>
            </w:pPr>
            <w:r>
              <w:rPr>
                <w:rFonts w:hint="eastAsia" w:ascii="宋体" w:hAnsi="宋体"/>
                <w:sz w:val="24"/>
              </w:rPr>
              <w:t>（6） 未按照要求提交谈判响应保证金、或谈判响应保证金的金额不足、或谈判响应保证金形式不符合谈判文件要求、或保证金不能确保进账的；</w:t>
            </w:r>
          </w:p>
          <w:p>
            <w:pPr>
              <w:spacing w:line="360" w:lineRule="auto"/>
              <w:rPr>
                <w:rFonts w:ascii="宋体" w:hAnsi="宋体"/>
                <w:sz w:val="24"/>
              </w:rPr>
            </w:pPr>
            <w:r>
              <w:rPr>
                <w:rFonts w:hint="eastAsia" w:ascii="宋体" w:hAnsi="宋体"/>
                <w:sz w:val="24"/>
              </w:rPr>
              <w:t>（7）谈判响应供应商的谈判有效期不满足谈判文件要求的；</w:t>
            </w:r>
          </w:p>
          <w:p>
            <w:pPr>
              <w:spacing w:line="360" w:lineRule="auto"/>
              <w:rPr>
                <w:rFonts w:ascii="宋体" w:hAnsi="宋体"/>
                <w:sz w:val="24"/>
              </w:rPr>
            </w:pPr>
            <w:r>
              <w:rPr>
                <w:rFonts w:hint="eastAsia" w:ascii="宋体" w:hAnsi="宋体"/>
                <w:sz w:val="24"/>
              </w:rPr>
              <w:t>（8）谈判响应内容与谈判内容及要求有重大偏离或保留的，或谈判响应文件不符合谈判文件中规定的其它实质性条款(如不满足交付期、售后服务、付款方式及条件等)；</w:t>
            </w:r>
          </w:p>
          <w:p>
            <w:pPr>
              <w:spacing w:line="360" w:lineRule="auto"/>
              <w:rPr>
                <w:rFonts w:ascii="宋体" w:hAnsi="宋体"/>
                <w:sz w:val="24"/>
              </w:rPr>
            </w:pPr>
            <w:r>
              <w:rPr>
                <w:rFonts w:hint="eastAsia" w:ascii="宋体" w:hAnsi="宋体"/>
                <w:sz w:val="24"/>
              </w:rPr>
              <w:t>（9）两个或两个以上谈判响应供应商的谈判响应文件在其个性部分明显出现雷同的；</w:t>
            </w:r>
          </w:p>
          <w:p>
            <w:pPr>
              <w:spacing w:line="360" w:lineRule="auto"/>
              <w:rPr>
                <w:rFonts w:ascii="宋体" w:hAnsi="宋体"/>
                <w:sz w:val="24"/>
              </w:rPr>
            </w:pPr>
            <w:r>
              <w:rPr>
                <w:rFonts w:hint="eastAsia" w:ascii="宋体" w:hAnsi="宋体"/>
                <w:sz w:val="24"/>
              </w:rPr>
              <w:t>（10）谈判响应供应商提交的是可选择的报价；</w:t>
            </w:r>
          </w:p>
          <w:p>
            <w:pPr>
              <w:spacing w:line="360" w:lineRule="auto"/>
              <w:rPr>
                <w:rFonts w:ascii="宋体" w:hAnsi="宋体"/>
                <w:sz w:val="24"/>
              </w:rPr>
            </w:pPr>
            <w:r>
              <w:rPr>
                <w:rFonts w:hint="eastAsia" w:ascii="宋体" w:hAnsi="宋体"/>
                <w:sz w:val="24"/>
              </w:rPr>
              <w:t>（11）谈判响应供应商未按规定对谈判响应进行分项报价；</w:t>
            </w:r>
          </w:p>
          <w:p>
            <w:pPr>
              <w:spacing w:line="360" w:lineRule="auto"/>
              <w:rPr>
                <w:rFonts w:ascii="宋体" w:hAnsi="宋体"/>
                <w:sz w:val="24"/>
              </w:rPr>
            </w:pPr>
            <w:r>
              <w:rPr>
                <w:rFonts w:hint="eastAsia" w:ascii="宋体" w:hAnsi="宋体"/>
                <w:sz w:val="24"/>
              </w:rPr>
              <w:t>（12）谈判响应供应商提交的最终谈判报价超过采购控制价；</w:t>
            </w:r>
          </w:p>
          <w:p>
            <w:pPr>
              <w:spacing w:line="360" w:lineRule="auto"/>
              <w:rPr>
                <w:rFonts w:ascii="宋体" w:hAnsi="宋体"/>
                <w:sz w:val="24"/>
              </w:rPr>
            </w:pPr>
            <w:r>
              <w:rPr>
                <w:rFonts w:hint="eastAsia" w:ascii="宋体" w:hAnsi="宋体"/>
                <w:sz w:val="24"/>
              </w:rPr>
              <w:t>（13）谈判响应文件中提供虚假或失实资料的；</w:t>
            </w:r>
          </w:p>
          <w:p>
            <w:pPr>
              <w:spacing w:line="360" w:lineRule="auto"/>
              <w:rPr>
                <w:rFonts w:ascii="宋体" w:hAnsi="宋体"/>
                <w:sz w:val="24"/>
              </w:rPr>
            </w:pPr>
            <w:r>
              <w:rPr>
                <w:rFonts w:hint="eastAsia" w:ascii="宋体" w:hAnsi="宋体"/>
                <w:sz w:val="24"/>
              </w:rPr>
              <w:t>（14）谈判文件规定的其他情形；</w:t>
            </w:r>
          </w:p>
          <w:p>
            <w:pPr>
              <w:pStyle w:val="69"/>
              <w:spacing w:line="360" w:lineRule="auto"/>
              <w:jc w:val="both"/>
              <w:rPr>
                <w:rFonts w:hAnsi="宋体"/>
                <w:color w:val="auto"/>
              </w:rPr>
            </w:pPr>
            <w:r>
              <w:rPr>
                <w:rFonts w:hint="eastAsia" w:hAnsi="宋体"/>
                <w:color w:val="auto"/>
                <w:kern w:val="2"/>
              </w:rPr>
              <w:t>（</w:t>
            </w:r>
            <w:r>
              <w:rPr>
                <w:rFonts w:hAnsi="宋体"/>
                <w:color w:val="auto"/>
                <w:kern w:val="2"/>
              </w:rPr>
              <w:t>1</w:t>
            </w:r>
            <w:r>
              <w:rPr>
                <w:rFonts w:hint="eastAsia" w:hAnsi="宋体"/>
                <w:color w:val="auto"/>
                <w:kern w:val="2"/>
              </w:rPr>
              <w:t>5）</w:t>
            </w:r>
            <w:r>
              <w:rPr>
                <w:rFonts w:hint="eastAsia" w:hAnsi="宋体"/>
                <w:color w:val="auto"/>
              </w:rPr>
              <w:t>谈判响应文件不满足谈判文件中带★条款要求的。</w:t>
            </w:r>
          </w:p>
          <w:p>
            <w:pPr>
              <w:spacing w:line="360" w:lineRule="auto"/>
              <w:rPr>
                <w:rFonts w:ascii="宋体" w:hAnsi="宋体" w:cs="宋体"/>
                <w:kern w:val="0"/>
                <w:sz w:val="24"/>
              </w:rPr>
            </w:pPr>
            <w:r>
              <w:rPr>
                <w:rFonts w:hint="eastAsia" w:ascii="宋体" w:hAnsi="宋体" w:cs="宋体"/>
                <w:kern w:val="0"/>
                <w:sz w:val="24"/>
              </w:rPr>
              <w:t xml:space="preserve">    谈判小组决定谈判响应供应商的响应性只根据响应文件本身的内容，而不寻求其他的外部证据。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7</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谈判响应文件至少必须包括下列部分，否则其谈判响应将按照无效谈判响应处理：(1) 谈判响应书；(2) 报价一览表；(3)谈判响应分项报价表；（4）货物说明一览表；（5）谈判成交服务费承诺书；（6）响应谈判文件实质性条款要求的相关资料。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8</w:t>
            </w:r>
          </w:p>
        </w:tc>
        <w:tc>
          <w:tcPr>
            <w:tcW w:w="456"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谈判供应商及谈判响应产品必须满足中华人民共和国相关法律法规及行业的强制性要求，否则该谈判响应供应商的谈判响应将按照无效谈判响应处理。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9</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 w:val="24"/>
                <w:szCs w:val="18"/>
              </w:rPr>
            </w:pPr>
            <w:r>
              <w:rPr>
                <w:rFonts w:hint="eastAsia" w:ascii="宋体" w:hAnsi="宋体"/>
                <w:sz w:val="24"/>
              </w:rPr>
              <w:t>谈判响应供应商不得干扰采购代理机构组织谈判活动，否则将其作无效谈判响应处理。</w:t>
            </w:r>
          </w:p>
        </w:tc>
      </w:tr>
      <w:bookmarkEnd w:id="25"/>
      <w:bookmarkEnd w:id="26"/>
      <w:bookmarkEnd w:id="27"/>
    </w:tbl>
    <w:p>
      <w:pPr>
        <w:pStyle w:val="3"/>
        <w:keepNext w:val="0"/>
        <w:pageBreakBefore/>
        <w:spacing w:before="0" w:after="0" w:line="400" w:lineRule="exact"/>
        <w:jc w:val="center"/>
        <w:rPr>
          <w:rFonts w:ascii="宋体" w:hAnsi="宋体" w:eastAsia="宋体"/>
          <w:sz w:val="28"/>
          <w:szCs w:val="28"/>
        </w:rPr>
      </w:pPr>
      <w:bookmarkStart w:id="32" w:name="_Toc531349532"/>
      <w:r>
        <w:rPr>
          <w:rFonts w:hint="eastAsia" w:ascii="宋体" w:hAnsi="宋体" w:eastAsia="宋体"/>
          <w:sz w:val="28"/>
          <w:szCs w:val="28"/>
        </w:rPr>
        <w:t>一、说 明</w:t>
      </w:r>
      <w:bookmarkEnd w:id="28"/>
      <w:bookmarkEnd w:id="29"/>
      <w:bookmarkEnd w:id="30"/>
      <w:bookmarkEnd w:id="31"/>
      <w:bookmarkEnd w:id="32"/>
    </w:p>
    <w:p>
      <w:pPr>
        <w:spacing w:line="400" w:lineRule="exact"/>
        <w:rPr>
          <w:rFonts w:ascii="宋体" w:hAnsi="宋体"/>
          <w:sz w:val="24"/>
        </w:rPr>
      </w:pPr>
      <w:r>
        <w:rPr>
          <w:rFonts w:hint="eastAsia" w:ascii="宋体" w:hAnsi="宋体"/>
          <w:sz w:val="24"/>
        </w:rPr>
        <w:t>1. 适用范围</w:t>
      </w:r>
    </w:p>
    <w:p>
      <w:pPr>
        <w:spacing w:line="400" w:lineRule="exact"/>
        <w:ind w:firstLine="480"/>
        <w:rPr>
          <w:rFonts w:ascii="宋体" w:hAnsi="宋体"/>
          <w:sz w:val="24"/>
        </w:rPr>
      </w:pPr>
      <w:r>
        <w:rPr>
          <w:rFonts w:hint="eastAsia" w:ascii="宋体" w:hAnsi="宋体"/>
          <w:sz w:val="24"/>
        </w:rPr>
        <w:t>1.1 本谈判文件仅适用于谈判邀请中所叙述项目的货物及服务采购。</w:t>
      </w:r>
    </w:p>
    <w:p>
      <w:pPr>
        <w:spacing w:line="400" w:lineRule="exact"/>
        <w:rPr>
          <w:rFonts w:ascii="宋体" w:hAnsi="宋体"/>
          <w:sz w:val="24"/>
        </w:rPr>
      </w:pPr>
      <w:r>
        <w:rPr>
          <w:rFonts w:hint="eastAsia" w:ascii="宋体" w:hAnsi="宋体"/>
          <w:sz w:val="24"/>
        </w:rPr>
        <w:t>2. 定义</w:t>
      </w:r>
    </w:p>
    <w:p>
      <w:pPr>
        <w:spacing w:line="400" w:lineRule="exact"/>
        <w:ind w:firstLine="480"/>
        <w:rPr>
          <w:rFonts w:ascii="宋体" w:hAnsi="宋体"/>
          <w:sz w:val="24"/>
        </w:rPr>
      </w:pPr>
      <w:r>
        <w:rPr>
          <w:rFonts w:hint="eastAsia" w:ascii="宋体" w:hAnsi="宋体"/>
          <w:sz w:val="24"/>
        </w:rPr>
        <w:t>2.1 “采购人”系指本次采购项目的业主方。</w:t>
      </w:r>
    </w:p>
    <w:p>
      <w:pPr>
        <w:spacing w:line="400" w:lineRule="exact"/>
        <w:ind w:firstLine="480"/>
        <w:rPr>
          <w:rFonts w:ascii="宋体" w:hAnsi="宋体"/>
          <w:sz w:val="24"/>
        </w:rPr>
      </w:pPr>
      <w:r>
        <w:rPr>
          <w:rFonts w:hint="eastAsia" w:ascii="宋体" w:hAnsi="宋体"/>
          <w:sz w:val="24"/>
        </w:rPr>
        <w:t>2.2 “谈判采购单位”系指组织本次谈判活动的采购人或采购代理机构。</w:t>
      </w:r>
    </w:p>
    <w:p>
      <w:pPr>
        <w:spacing w:line="400" w:lineRule="exact"/>
        <w:ind w:firstLine="480"/>
        <w:rPr>
          <w:rFonts w:ascii="宋体" w:hAnsi="宋体"/>
          <w:sz w:val="24"/>
        </w:rPr>
      </w:pPr>
      <w:r>
        <w:rPr>
          <w:rFonts w:hint="eastAsia" w:ascii="宋体" w:hAnsi="宋体"/>
          <w:sz w:val="24"/>
        </w:rPr>
        <w:t>2.3 “采购代理机构”系指组织本次谈判采购项目的厦门市华沧采购招标有限公司。</w:t>
      </w:r>
    </w:p>
    <w:p>
      <w:pPr>
        <w:spacing w:line="400" w:lineRule="exact"/>
        <w:ind w:firstLine="480"/>
        <w:rPr>
          <w:rFonts w:ascii="宋体" w:hAnsi="宋体"/>
          <w:sz w:val="24"/>
        </w:rPr>
      </w:pPr>
      <w:r>
        <w:rPr>
          <w:rFonts w:hint="eastAsia" w:ascii="宋体" w:hAnsi="宋体"/>
          <w:sz w:val="24"/>
        </w:rPr>
        <w:t>2.4 “谈判供应商”系指购买了本谈判文件，且已经提交或者准备提交本次谈判文件的制造商或供货商。</w:t>
      </w:r>
    </w:p>
    <w:p>
      <w:pPr>
        <w:spacing w:line="400" w:lineRule="exact"/>
        <w:ind w:firstLine="480" w:firstLineChars="200"/>
        <w:rPr>
          <w:rFonts w:ascii="宋体" w:hAnsi="宋体"/>
          <w:sz w:val="24"/>
        </w:rPr>
      </w:pPr>
      <w:r>
        <w:rPr>
          <w:rFonts w:hint="eastAsia" w:ascii="宋体" w:hAnsi="宋体"/>
          <w:sz w:val="24"/>
        </w:rPr>
        <w:t>2.5 “货物”系指各种形态和种类的物品，包括原材料、燃料、设备、产品等。</w:t>
      </w:r>
    </w:p>
    <w:p>
      <w:pPr>
        <w:spacing w:line="400" w:lineRule="exact"/>
        <w:ind w:firstLine="480"/>
        <w:rPr>
          <w:rFonts w:ascii="宋体" w:hAnsi="宋体"/>
          <w:sz w:val="24"/>
        </w:rPr>
      </w:pPr>
      <w:r>
        <w:rPr>
          <w:rFonts w:hint="eastAsia" w:ascii="宋体" w:hAnsi="宋体"/>
          <w:sz w:val="24"/>
        </w:rPr>
        <w:t>2.6 “服务”系指安装、调试、技术协助、校准、培训以及其他类似的义务。</w:t>
      </w:r>
    </w:p>
    <w:p>
      <w:pPr>
        <w:spacing w:line="400" w:lineRule="exact"/>
        <w:rPr>
          <w:rFonts w:ascii="宋体" w:hAnsi="宋体"/>
          <w:sz w:val="24"/>
        </w:rPr>
      </w:pPr>
      <w:r>
        <w:rPr>
          <w:rFonts w:hint="eastAsia" w:ascii="宋体" w:hAnsi="宋体"/>
          <w:sz w:val="24"/>
        </w:rPr>
        <w:t>3. 合格的谈判供应商</w:t>
      </w:r>
    </w:p>
    <w:p>
      <w:pPr>
        <w:spacing w:line="400" w:lineRule="exact"/>
        <w:ind w:firstLine="480"/>
        <w:rPr>
          <w:rFonts w:ascii="宋体" w:hAnsi="宋体"/>
          <w:sz w:val="24"/>
        </w:rPr>
      </w:pPr>
      <w:r>
        <w:rPr>
          <w:rFonts w:hint="eastAsia" w:ascii="宋体" w:hAnsi="宋体"/>
          <w:sz w:val="24"/>
        </w:rPr>
        <w:t>3.1 凡有能力提供本谈判文件所述货物及服务的，符合本谈判文件规定资格要求的境内供货商或制造商均可能成为合格的谈判供应商。</w:t>
      </w:r>
    </w:p>
    <w:p>
      <w:pPr>
        <w:spacing w:line="400" w:lineRule="exact"/>
        <w:ind w:firstLine="480"/>
        <w:rPr>
          <w:rFonts w:ascii="宋体" w:hAnsi="宋体"/>
          <w:sz w:val="24"/>
        </w:rPr>
      </w:pPr>
      <w:r>
        <w:rPr>
          <w:rFonts w:hint="eastAsia" w:ascii="宋体" w:hAnsi="宋体"/>
          <w:sz w:val="24"/>
        </w:rPr>
        <w:t>3.2 谈判供应商应遵守中国的有关法律、法规和规章的规定。</w:t>
      </w:r>
    </w:p>
    <w:p>
      <w:pPr>
        <w:spacing w:line="400" w:lineRule="exact"/>
        <w:ind w:firstLine="480"/>
        <w:rPr>
          <w:rFonts w:ascii="宋体" w:hAnsi="宋体"/>
          <w:sz w:val="24"/>
        </w:rPr>
      </w:pPr>
      <w:r>
        <w:rPr>
          <w:rFonts w:hint="eastAsia" w:ascii="宋体" w:hAnsi="宋体"/>
          <w:sz w:val="24"/>
        </w:rPr>
        <w:t>3.3 一个谈判供应商只能提交一个谈判文件。如果谈判供应商之间存在下列互为关联关系的情形之一的，不得同时参加本项目谈判：</w:t>
      </w:r>
    </w:p>
    <w:p>
      <w:pPr>
        <w:spacing w:line="400" w:lineRule="exact"/>
        <w:ind w:firstLine="480" w:firstLineChars="200"/>
        <w:rPr>
          <w:rFonts w:ascii="宋体" w:hAnsi="宋体"/>
          <w:sz w:val="24"/>
        </w:rPr>
      </w:pPr>
      <w:r>
        <w:rPr>
          <w:rFonts w:hint="eastAsia" w:ascii="宋体" w:hAnsi="宋体"/>
          <w:sz w:val="24"/>
        </w:rPr>
        <w:t>（1） 法定代表人为同一人的两个及两个以上法人；（单位负责人（董事长或总经理）为同一人的不同单位，不得参加同一合同包的投标）</w:t>
      </w:r>
    </w:p>
    <w:p>
      <w:pPr>
        <w:spacing w:line="400" w:lineRule="exact"/>
        <w:ind w:firstLine="480" w:firstLineChars="200"/>
        <w:rPr>
          <w:rFonts w:ascii="宋体" w:hAnsi="宋体"/>
          <w:sz w:val="24"/>
        </w:rPr>
      </w:pPr>
      <w:r>
        <w:rPr>
          <w:rFonts w:hint="eastAsia" w:ascii="宋体" w:hAnsi="宋体"/>
          <w:sz w:val="24"/>
        </w:rPr>
        <w:t>（2） 母公司及其直接或间接持股50％及以上的被投资公司；</w:t>
      </w:r>
    </w:p>
    <w:p>
      <w:pPr>
        <w:spacing w:line="400" w:lineRule="exact"/>
        <w:ind w:firstLine="480" w:firstLineChars="200"/>
        <w:rPr>
          <w:rFonts w:ascii="宋体" w:hAnsi="宋体"/>
          <w:sz w:val="24"/>
        </w:rPr>
      </w:pPr>
      <w:r>
        <w:rPr>
          <w:rFonts w:hint="eastAsia" w:ascii="宋体" w:hAnsi="宋体"/>
          <w:sz w:val="24"/>
        </w:rPr>
        <w:t>（3） 均为同一家母公司直接或间接持股50％及以上的被投资公司。</w:t>
      </w:r>
    </w:p>
    <w:p>
      <w:pPr>
        <w:spacing w:line="400" w:lineRule="exact"/>
        <w:ind w:firstLine="480"/>
        <w:rPr>
          <w:rFonts w:ascii="宋体" w:hAnsi="宋体"/>
          <w:sz w:val="24"/>
        </w:rPr>
      </w:pPr>
      <w:r>
        <w:rPr>
          <w:rFonts w:hint="eastAsia" w:ascii="宋体" w:hAnsi="宋体"/>
          <w:sz w:val="24"/>
        </w:rPr>
        <w:t>3.4 谈判供应商不得与本次谈判项下设计、编制技术规格和其它文件的公司或提供咨询服务的公司包括其附属机构有任何关联。</w:t>
      </w:r>
    </w:p>
    <w:p>
      <w:pPr>
        <w:spacing w:line="400" w:lineRule="exact"/>
        <w:ind w:firstLine="480"/>
        <w:rPr>
          <w:rFonts w:ascii="宋体" w:hAnsi="宋体"/>
          <w:sz w:val="24"/>
        </w:rPr>
      </w:pPr>
      <w:r>
        <w:rPr>
          <w:rFonts w:hint="eastAsia" w:ascii="宋体" w:hAnsi="宋体"/>
          <w:sz w:val="24"/>
        </w:rPr>
        <w:t>3.5 两个或者两个以上谈判供应商可以组成一个谈判联合体，以一个谈判供应商的身份谈判。</w:t>
      </w:r>
    </w:p>
    <w:p>
      <w:pPr>
        <w:spacing w:line="400" w:lineRule="exact"/>
        <w:ind w:firstLine="480"/>
        <w:rPr>
          <w:rFonts w:ascii="宋体" w:hAnsi="宋体"/>
          <w:sz w:val="24"/>
        </w:rPr>
      </w:pPr>
      <w:r>
        <w:rPr>
          <w:rFonts w:hint="eastAsia" w:ascii="宋体" w:hAnsi="宋体"/>
          <w:sz w:val="24"/>
        </w:rPr>
        <w:t>以联合体形式参加谈判的，联合体各方均应当符合本谈判文件规定的条件。采购人根据采购项目的特殊要求规定谈判响应供应商特定条件的，联合体各方中至少应当有一方符合采购人规定的全部特定条件，如联合体各方中没有一方符合全部特定条件的，该联合体谈判响应无效。</w:t>
      </w:r>
    </w:p>
    <w:p>
      <w:pPr>
        <w:spacing w:line="400" w:lineRule="exact"/>
        <w:ind w:firstLine="480"/>
        <w:rPr>
          <w:rFonts w:ascii="宋体" w:hAnsi="宋体"/>
          <w:sz w:val="24"/>
        </w:rPr>
      </w:pPr>
      <w:r>
        <w:rPr>
          <w:rFonts w:hint="eastAsia" w:ascii="宋体" w:hAnsi="宋体"/>
          <w:sz w:val="24"/>
        </w:rPr>
        <w:t>联合体各方之间必须签订共同谈判协议，明确约定联合体各方承担的工作和相应的责任，并将共同谈判协议连同谈判文件一并提交采购代理机构，否则视为无效谈判响应。联合体各方签订共同谈判协议后，不得再以自己名义单独在同一项目中谈判，也不得组成新的联合体参加同一项目谈判。</w:t>
      </w:r>
    </w:p>
    <w:p>
      <w:pPr>
        <w:spacing w:line="400" w:lineRule="exact"/>
        <w:ind w:firstLine="480"/>
        <w:rPr>
          <w:rFonts w:ascii="宋体" w:hAnsi="宋体"/>
          <w:sz w:val="24"/>
        </w:rPr>
      </w:pPr>
      <w:r>
        <w:rPr>
          <w:rFonts w:hint="eastAsia" w:ascii="宋体" w:hAnsi="宋体"/>
          <w:sz w:val="24"/>
        </w:rPr>
        <w:t>3.6 谈判代理人在同一个项目中只能接受一个谈判供应商的委托参加谈判。</w:t>
      </w:r>
    </w:p>
    <w:p>
      <w:pPr>
        <w:spacing w:line="400" w:lineRule="exact"/>
        <w:rPr>
          <w:rFonts w:ascii="宋体" w:hAnsi="宋体"/>
          <w:sz w:val="24"/>
        </w:rPr>
      </w:pPr>
      <w:r>
        <w:rPr>
          <w:rFonts w:hint="eastAsia" w:ascii="宋体" w:hAnsi="宋体"/>
          <w:sz w:val="24"/>
        </w:rPr>
        <w:t>4. 谈判费用</w:t>
      </w:r>
    </w:p>
    <w:p>
      <w:pPr>
        <w:spacing w:line="400" w:lineRule="exact"/>
        <w:ind w:firstLine="480" w:firstLineChars="200"/>
        <w:rPr>
          <w:rFonts w:ascii="宋体" w:hAnsi="宋体"/>
          <w:sz w:val="24"/>
        </w:rPr>
      </w:pPr>
      <w:r>
        <w:rPr>
          <w:rFonts w:hint="eastAsia" w:ascii="宋体" w:hAnsi="宋体"/>
          <w:sz w:val="24"/>
        </w:rPr>
        <w:t>4.1 谈判供应商自行承担其参加谈判所涉及的一切费用。</w:t>
      </w:r>
    </w:p>
    <w:p>
      <w:pPr>
        <w:pStyle w:val="3"/>
        <w:spacing w:before="0" w:after="0" w:line="400" w:lineRule="exact"/>
        <w:jc w:val="center"/>
        <w:rPr>
          <w:rFonts w:ascii="宋体" w:hAnsi="宋体" w:eastAsia="宋体"/>
          <w:sz w:val="28"/>
          <w:szCs w:val="28"/>
        </w:rPr>
      </w:pPr>
      <w:bookmarkStart w:id="33" w:name="_Toc381371632"/>
      <w:bookmarkStart w:id="34" w:name="_Toc410144285"/>
      <w:bookmarkStart w:id="35" w:name="_Toc318292400"/>
      <w:bookmarkStart w:id="36" w:name="_Toc531349533"/>
      <w:bookmarkStart w:id="37" w:name="_Toc345597859"/>
      <w:r>
        <w:rPr>
          <w:rFonts w:hint="eastAsia" w:ascii="宋体" w:hAnsi="宋体" w:eastAsia="宋体"/>
          <w:sz w:val="28"/>
          <w:szCs w:val="28"/>
        </w:rPr>
        <w:t>二、谈判文件</w:t>
      </w:r>
      <w:bookmarkEnd w:id="33"/>
      <w:bookmarkEnd w:id="34"/>
      <w:bookmarkEnd w:id="35"/>
      <w:bookmarkEnd w:id="36"/>
      <w:bookmarkEnd w:id="37"/>
    </w:p>
    <w:p>
      <w:pPr>
        <w:spacing w:line="400" w:lineRule="exact"/>
        <w:rPr>
          <w:rFonts w:ascii="宋体" w:hAnsi="宋体"/>
          <w:sz w:val="24"/>
        </w:rPr>
      </w:pPr>
      <w:r>
        <w:rPr>
          <w:rFonts w:hint="eastAsia" w:ascii="宋体" w:hAnsi="宋体"/>
          <w:sz w:val="24"/>
        </w:rPr>
        <w:t>5. 谈判文件的组成</w:t>
      </w:r>
    </w:p>
    <w:p>
      <w:pPr>
        <w:pStyle w:val="8"/>
        <w:snapToGrid w:val="0"/>
        <w:spacing w:line="400" w:lineRule="exact"/>
        <w:ind w:firstLine="0"/>
        <w:rPr>
          <w:rFonts w:hint="default" w:hAnsi="宋体"/>
          <w:szCs w:val="24"/>
        </w:rPr>
      </w:pPr>
      <w:r>
        <w:rPr>
          <w:rFonts w:hAnsi="宋体"/>
          <w:szCs w:val="24"/>
        </w:rPr>
        <w:t>5.1谈判文件用以阐明所需货物及服务谈判程序和合同主要条款。谈判文件由下述部分组成：</w:t>
      </w:r>
    </w:p>
    <w:p>
      <w:pPr>
        <w:pStyle w:val="8"/>
        <w:snapToGrid w:val="0"/>
        <w:spacing w:line="400" w:lineRule="exact"/>
        <w:ind w:firstLine="480" w:firstLineChars="200"/>
        <w:rPr>
          <w:rFonts w:hint="default" w:hAnsi="宋体"/>
          <w:szCs w:val="24"/>
        </w:rPr>
      </w:pPr>
      <w:r>
        <w:rPr>
          <w:rFonts w:hAnsi="宋体"/>
          <w:szCs w:val="24"/>
        </w:rPr>
        <w:t>⑴ 谈判邀请</w:t>
      </w:r>
    </w:p>
    <w:p>
      <w:pPr>
        <w:pStyle w:val="8"/>
        <w:snapToGrid w:val="0"/>
        <w:spacing w:line="400" w:lineRule="exact"/>
        <w:ind w:firstLine="480" w:firstLineChars="200"/>
        <w:rPr>
          <w:rFonts w:hint="default" w:hAnsi="宋体"/>
          <w:szCs w:val="24"/>
        </w:rPr>
      </w:pPr>
      <w:r>
        <w:rPr>
          <w:rFonts w:hAnsi="宋体"/>
          <w:szCs w:val="24"/>
        </w:rPr>
        <w:t xml:space="preserve">⑵ </w:t>
      </w:r>
      <w:r>
        <w:rPr>
          <w:rFonts w:hAnsi="宋体" w:cs="Arial"/>
          <w:szCs w:val="24"/>
        </w:rPr>
        <w:t>谈判供应商</w:t>
      </w:r>
      <w:r>
        <w:rPr>
          <w:rFonts w:hAnsi="宋体"/>
          <w:szCs w:val="24"/>
        </w:rPr>
        <w:t xml:space="preserve">须知 </w:t>
      </w:r>
    </w:p>
    <w:p>
      <w:pPr>
        <w:pStyle w:val="8"/>
        <w:snapToGrid w:val="0"/>
        <w:spacing w:line="400" w:lineRule="exact"/>
        <w:ind w:firstLine="480" w:firstLineChars="200"/>
        <w:rPr>
          <w:rFonts w:hint="default" w:hAnsi="宋体"/>
          <w:szCs w:val="24"/>
        </w:rPr>
      </w:pPr>
      <w:r>
        <w:rPr>
          <w:rFonts w:hAnsi="宋体"/>
          <w:szCs w:val="24"/>
        </w:rPr>
        <w:t>⑶ 谈判内容及要求</w:t>
      </w:r>
    </w:p>
    <w:p>
      <w:pPr>
        <w:pStyle w:val="8"/>
        <w:snapToGrid w:val="0"/>
        <w:spacing w:line="400" w:lineRule="exact"/>
        <w:ind w:firstLine="480" w:firstLineChars="200"/>
        <w:rPr>
          <w:rFonts w:hint="default" w:hAnsi="宋体"/>
          <w:szCs w:val="24"/>
        </w:rPr>
      </w:pPr>
      <w:r>
        <w:rPr>
          <w:rFonts w:hAnsi="宋体"/>
          <w:szCs w:val="24"/>
        </w:rPr>
        <w:t xml:space="preserve">⑷ </w:t>
      </w:r>
      <w:r>
        <w:rPr>
          <w:rFonts w:hAnsi="宋体"/>
          <w:bCs/>
          <w:szCs w:val="24"/>
        </w:rPr>
        <w:t>合同主要条款</w:t>
      </w:r>
    </w:p>
    <w:p>
      <w:pPr>
        <w:pStyle w:val="8"/>
        <w:snapToGrid w:val="0"/>
        <w:spacing w:line="400" w:lineRule="exact"/>
        <w:ind w:firstLine="480" w:firstLineChars="200"/>
        <w:rPr>
          <w:rFonts w:hint="default" w:hAnsi="宋体"/>
          <w:szCs w:val="24"/>
        </w:rPr>
      </w:pPr>
      <w:r>
        <w:rPr>
          <w:rFonts w:hAnsi="宋体"/>
          <w:szCs w:val="24"/>
        </w:rPr>
        <w:t>⑸ 谈判响应文件格式</w:t>
      </w:r>
    </w:p>
    <w:p>
      <w:pPr>
        <w:spacing w:line="400" w:lineRule="exact"/>
        <w:rPr>
          <w:rFonts w:ascii="宋体" w:hAnsi="宋体"/>
          <w:sz w:val="24"/>
        </w:rPr>
      </w:pPr>
      <w:bookmarkStart w:id="38" w:name="_Toc415567497"/>
      <w:bookmarkStart w:id="39" w:name="_Toc430422413"/>
      <w:bookmarkStart w:id="40" w:name="_Toc430492126"/>
      <w:bookmarkStart w:id="41" w:name="_Toc430489119"/>
      <w:bookmarkStart w:id="42" w:name="_Toc430488851"/>
      <w:bookmarkStart w:id="43" w:name="_Toc430488644"/>
      <w:bookmarkStart w:id="44" w:name="_Toc430490612"/>
      <w:r>
        <w:rPr>
          <w:rFonts w:hint="eastAsia" w:ascii="宋体" w:hAnsi="宋体"/>
          <w:sz w:val="24"/>
        </w:rPr>
        <w:t>6.</w:t>
      </w:r>
      <w:bookmarkEnd w:id="38"/>
      <w:bookmarkEnd w:id="39"/>
      <w:bookmarkEnd w:id="40"/>
      <w:bookmarkEnd w:id="41"/>
      <w:bookmarkEnd w:id="42"/>
      <w:bookmarkEnd w:id="43"/>
      <w:bookmarkEnd w:id="44"/>
      <w:r>
        <w:rPr>
          <w:rFonts w:hint="eastAsia" w:ascii="宋体" w:hAnsi="宋体"/>
          <w:sz w:val="24"/>
        </w:rPr>
        <w:t xml:space="preserve"> 谈判文件的澄清</w:t>
      </w:r>
    </w:p>
    <w:p>
      <w:pPr>
        <w:pStyle w:val="8"/>
        <w:snapToGrid w:val="0"/>
        <w:spacing w:line="400" w:lineRule="exact"/>
        <w:rPr>
          <w:rFonts w:hint="default" w:hAnsi="宋体"/>
          <w:bCs/>
          <w:szCs w:val="24"/>
        </w:rPr>
      </w:pPr>
      <w:r>
        <w:rPr>
          <w:rFonts w:hAnsi="宋体"/>
          <w:szCs w:val="24"/>
        </w:rPr>
        <w:t>6.1 谈判供应商对谈判文件如有疑点，可要求澄清。要求澄清应按谈判邀请中载明的地址以书面形式（包括信函、电报或传真，下同）通知采购代理机构。采购代理机构将视情况在谈判截止时间前将书面答复发给所有谈判供应商，并在采购信息发布的媒体上发布更正公告。该澄清内容为谈判文件的组成部分。</w:t>
      </w:r>
    </w:p>
    <w:p>
      <w:pPr>
        <w:spacing w:line="400" w:lineRule="exact"/>
        <w:rPr>
          <w:rFonts w:ascii="宋体" w:hAnsi="宋体"/>
          <w:bCs/>
          <w:sz w:val="24"/>
        </w:rPr>
      </w:pPr>
      <w:bookmarkStart w:id="45" w:name="_Toc430422414"/>
      <w:bookmarkStart w:id="46" w:name="_Toc430490613"/>
      <w:bookmarkStart w:id="47" w:name="_Toc415567498"/>
      <w:bookmarkStart w:id="48" w:name="_Toc430492127"/>
      <w:bookmarkStart w:id="49" w:name="_Toc430488645"/>
      <w:bookmarkStart w:id="50" w:name="_Toc430488852"/>
      <w:bookmarkStart w:id="51" w:name="_Toc430489120"/>
      <w:r>
        <w:rPr>
          <w:rFonts w:hint="eastAsia" w:ascii="宋体" w:hAnsi="宋体"/>
          <w:bCs/>
          <w:sz w:val="24"/>
        </w:rPr>
        <w:t>7. 谈判文件的修改</w:t>
      </w:r>
      <w:bookmarkEnd w:id="45"/>
      <w:bookmarkEnd w:id="46"/>
      <w:bookmarkEnd w:id="47"/>
      <w:bookmarkEnd w:id="48"/>
      <w:bookmarkEnd w:id="49"/>
      <w:bookmarkEnd w:id="50"/>
      <w:bookmarkEnd w:id="51"/>
    </w:p>
    <w:p>
      <w:pPr>
        <w:spacing w:line="400" w:lineRule="exact"/>
        <w:ind w:firstLine="480" w:firstLineChars="200"/>
        <w:rPr>
          <w:rFonts w:ascii="宋体" w:hAnsi="宋体"/>
          <w:bCs/>
          <w:kern w:val="0"/>
          <w:sz w:val="24"/>
        </w:rPr>
      </w:pPr>
      <w:r>
        <w:rPr>
          <w:rFonts w:hint="eastAsia" w:ascii="宋体" w:hAnsi="宋体"/>
          <w:bCs/>
          <w:kern w:val="0"/>
          <w:sz w:val="24"/>
        </w:rPr>
        <w:t>7.1至谈判截止日期前，采购代理机构可主动或依谈判供应商要求澄清的问题而修改谈判文件，应在原信息发布的媒体上发布更正公告，并以书面形式通知所有谈判供应商，谈判供应商在收到该通知后应立即以电报或传真的形式予以确认。该修改内容为谈判文件的组成部分，对谈判供应商具有约束力。但本谈判文件第7.2条规定的推迟谈判截止时间和谈判时间情形不受本条约束。</w:t>
      </w:r>
    </w:p>
    <w:p>
      <w:pPr>
        <w:spacing w:line="400" w:lineRule="exact"/>
        <w:ind w:firstLine="480" w:firstLineChars="200"/>
        <w:rPr>
          <w:rFonts w:ascii="宋体" w:hAnsi="宋体"/>
          <w:sz w:val="21"/>
          <w:szCs w:val="21"/>
        </w:rPr>
      </w:pPr>
      <w:r>
        <w:rPr>
          <w:rFonts w:hint="eastAsia" w:ascii="宋体" w:hAnsi="宋体"/>
          <w:bCs/>
          <w:kern w:val="0"/>
          <w:sz w:val="24"/>
        </w:rPr>
        <w:t>7.2 为使谈判供应商在准备谈判响应文件时有合理的时间考虑谈判文件的修改，采购代理机构可酌情推迟谈判截止时间和谈判时间，变更时间以书面形式通知所有谈判供应商，并在采购信息发布的媒体上发布更正公告。该修改内容为谈判文件的组成部分。在此情况下，采购代理机构和谈判供应商受谈判截止期制约的所有权利和义务均应延长至新的截止日期</w:t>
      </w:r>
      <w:r>
        <w:rPr>
          <w:rFonts w:hint="eastAsia" w:ascii="宋体" w:hAnsi="宋体"/>
          <w:sz w:val="24"/>
        </w:rPr>
        <w:t xml:space="preserve">。 </w:t>
      </w:r>
    </w:p>
    <w:p>
      <w:pPr>
        <w:pStyle w:val="3"/>
        <w:spacing w:before="0" w:after="0" w:line="400" w:lineRule="exact"/>
        <w:jc w:val="center"/>
        <w:rPr>
          <w:rFonts w:ascii="宋体" w:hAnsi="宋体" w:eastAsia="宋体"/>
          <w:sz w:val="28"/>
          <w:szCs w:val="28"/>
        </w:rPr>
      </w:pPr>
      <w:bookmarkStart w:id="52" w:name="_Toc381371633"/>
      <w:bookmarkStart w:id="53" w:name="_Toc345597860"/>
      <w:bookmarkStart w:id="54" w:name="_Toc531349534"/>
      <w:bookmarkStart w:id="55" w:name="_Toc318292401"/>
      <w:bookmarkStart w:id="56" w:name="_Toc410144286"/>
      <w:r>
        <w:rPr>
          <w:rFonts w:hint="eastAsia" w:ascii="宋体" w:hAnsi="宋体" w:eastAsia="宋体"/>
          <w:sz w:val="28"/>
          <w:szCs w:val="28"/>
        </w:rPr>
        <w:t>三、谈判响应文件的编写</w:t>
      </w:r>
      <w:bookmarkEnd w:id="52"/>
      <w:bookmarkEnd w:id="53"/>
      <w:bookmarkEnd w:id="54"/>
      <w:bookmarkEnd w:id="55"/>
      <w:bookmarkEnd w:id="56"/>
    </w:p>
    <w:p>
      <w:pPr>
        <w:spacing w:line="400" w:lineRule="exact"/>
        <w:rPr>
          <w:rFonts w:ascii="宋体" w:hAnsi="宋体"/>
          <w:sz w:val="24"/>
        </w:rPr>
      </w:pPr>
      <w:r>
        <w:rPr>
          <w:rFonts w:hint="eastAsia" w:ascii="宋体" w:hAnsi="宋体"/>
          <w:sz w:val="24"/>
        </w:rPr>
        <w:t>8. 要求</w:t>
      </w:r>
    </w:p>
    <w:p>
      <w:pPr>
        <w:spacing w:line="400" w:lineRule="exact"/>
        <w:rPr>
          <w:rFonts w:ascii="宋体" w:hAnsi="宋体"/>
          <w:sz w:val="24"/>
        </w:rPr>
      </w:pPr>
      <w:r>
        <w:rPr>
          <w:rFonts w:hint="eastAsia" w:ascii="宋体" w:hAnsi="宋体"/>
          <w:sz w:val="24"/>
        </w:rPr>
        <w:t xml:space="preserve">    8.1</w:t>
      </w:r>
      <w:r>
        <w:rPr>
          <w:rFonts w:hint="eastAsia" w:ascii="宋体" w:hAnsi="宋体" w:cs="Arial"/>
          <w:sz w:val="24"/>
        </w:rPr>
        <w:t>谈判供应商</w:t>
      </w:r>
      <w:r>
        <w:rPr>
          <w:rFonts w:hint="eastAsia" w:ascii="宋体" w:hAnsi="宋体"/>
          <w:sz w:val="24"/>
        </w:rPr>
        <w:t>应仔细阅读谈判文件的所有内容，按照谈判文件的要求提交谈判响应文件。谈判响应文件应对谈判文件的要求作出实质性响应，并保证所提供的全部资料的真实性，否则其谈判响应将被拒绝。</w:t>
      </w:r>
    </w:p>
    <w:p>
      <w:pPr>
        <w:tabs>
          <w:tab w:val="left" w:pos="900"/>
        </w:tabs>
        <w:spacing w:line="400" w:lineRule="exact"/>
        <w:ind w:firstLine="480" w:firstLineChars="200"/>
        <w:rPr>
          <w:rFonts w:ascii="宋体" w:hAnsi="宋体"/>
          <w:sz w:val="24"/>
        </w:rPr>
      </w:pPr>
      <w:r>
        <w:rPr>
          <w:rFonts w:hint="eastAsia" w:ascii="宋体" w:hAnsi="宋体"/>
          <w:sz w:val="24"/>
        </w:rPr>
        <w:t>8.2 除非有另外的规定，</w:t>
      </w:r>
      <w:r>
        <w:rPr>
          <w:rFonts w:hint="eastAsia" w:ascii="宋体" w:hAnsi="宋体" w:cs="Arial"/>
          <w:sz w:val="24"/>
        </w:rPr>
        <w:t>谈判供应商</w:t>
      </w:r>
      <w:r>
        <w:rPr>
          <w:rFonts w:hint="eastAsia" w:ascii="宋体" w:hAnsi="宋体"/>
          <w:sz w:val="24"/>
        </w:rPr>
        <w:t>可对谈判货物一览表所列的全部合同包或部分合同包进行谈判响应。采购代理机构不接受有任何可选择性的报价，每一种货物只能有一个报价。</w:t>
      </w:r>
    </w:p>
    <w:p>
      <w:pPr>
        <w:spacing w:line="400" w:lineRule="exact"/>
        <w:rPr>
          <w:rFonts w:ascii="宋体" w:hAnsi="宋体"/>
          <w:sz w:val="24"/>
        </w:rPr>
      </w:pPr>
      <w:r>
        <w:rPr>
          <w:rFonts w:hint="eastAsia" w:ascii="宋体" w:hAnsi="宋体"/>
          <w:sz w:val="24"/>
        </w:rPr>
        <w:t>9. 谈判响应文件语言</w:t>
      </w:r>
    </w:p>
    <w:p>
      <w:pPr>
        <w:spacing w:line="400" w:lineRule="exact"/>
        <w:ind w:firstLine="480" w:firstLineChars="200"/>
        <w:rPr>
          <w:rFonts w:ascii="宋体" w:hAnsi="宋体"/>
          <w:sz w:val="24"/>
        </w:rPr>
      </w:pPr>
      <w:r>
        <w:rPr>
          <w:rFonts w:hint="eastAsia" w:ascii="宋体" w:hAnsi="宋体"/>
          <w:sz w:val="24"/>
        </w:rPr>
        <w:t>9.1谈判响应文件应用中文书写。谈判响应文件中所附或所引用的原件不是中文时，应附中文译本。各种计量单位及符号应采用国际上统一使用的公制计量单位和符号。</w:t>
      </w:r>
    </w:p>
    <w:p>
      <w:pPr>
        <w:spacing w:line="400" w:lineRule="exact"/>
        <w:rPr>
          <w:rFonts w:ascii="宋体" w:hAnsi="宋体"/>
          <w:sz w:val="24"/>
        </w:rPr>
      </w:pPr>
      <w:r>
        <w:rPr>
          <w:rFonts w:hint="eastAsia" w:ascii="宋体" w:hAnsi="宋体"/>
          <w:sz w:val="24"/>
        </w:rPr>
        <w:t>10. 谈判响应文件的组成</w:t>
      </w:r>
    </w:p>
    <w:p>
      <w:pPr>
        <w:spacing w:line="400" w:lineRule="exact"/>
        <w:rPr>
          <w:rFonts w:ascii="宋体" w:hAnsi="宋体"/>
          <w:sz w:val="24"/>
        </w:rPr>
      </w:pPr>
      <w:r>
        <w:rPr>
          <w:rFonts w:hint="eastAsia" w:ascii="宋体" w:hAnsi="宋体"/>
          <w:sz w:val="24"/>
        </w:rPr>
        <w:t xml:space="preserve">    10.1谈判响应文件应包括下列部分（以下文件均须加盖谈判响应供应商公章）：</w:t>
      </w:r>
    </w:p>
    <w:p>
      <w:pPr>
        <w:spacing w:line="400" w:lineRule="exact"/>
        <w:ind w:firstLine="480" w:firstLineChars="200"/>
        <w:rPr>
          <w:rFonts w:ascii="宋体" w:hAnsi="宋体"/>
          <w:sz w:val="24"/>
        </w:rPr>
      </w:pPr>
      <w:r>
        <w:rPr>
          <w:rFonts w:hint="eastAsia" w:ascii="宋体" w:hAnsi="宋体"/>
          <w:sz w:val="24"/>
        </w:rPr>
        <w:t>(1) 谈判响应书</w:t>
      </w:r>
    </w:p>
    <w:p>
      <w:pPr>
        <w:spacing w:line="400" w:lineRule="exact"/>
        <w:ind w:firstLine="480" w:firstLineChars="200"/>
        <w:rPr>
          <w:rFonts w:ascii="宋体" w:hAnsi="宋体"/>
          <w:sz w:val="24"/>
        </w:rPr>
      </w:pPr>
      <w:r>
        <w:rPr>
          <w:rFonts w:hint="eastAsia" w:ascii="宋体" w:hAnsi="宋体"/>
          <w:sz w:val="24"/>
        </w:rPr>
        <w:t>(2) 谈判报价一览表</w:t>
      </w:r>
    </w:p>
    <w:p>
      <w:pPr>
        <w:spacing w:line="400" w:lineRule="exact"/>
        <w:ind w:firstLine="480" w:firstLineChars="200"/>
        <w:rPr>
          <w:rFonts w:ascii="宋体" w:hAnsi="宋体"/>
          <w:sz w:val="24"/>
        </w:rPr>
      </w:pPr>
      <w:r>
        <w:rPr>
          <w:rFonts w:hint="eastAsia" w:ascii="宋体" w:hAnsi="宋体"/>
          <w:sz w:val="24"/>
        </w:rPr>
        <w:t>(3) 谈判响应分项报价表</w:t>
      </w:r>
    </w:p>
    <w:p>
      <w:pPr>
        <w:spacing w:line="400" w:lineRule="exact"/>
        <w:ind w:firstLine="480" w:firstLineChars="200"/>
        <w:rPr>
          <w:rFonts w:ascii="宋体" w:hAnsi="宋体"/>
          <w:sz w:val="24"/>
        </w:rPr>
      </w:pPr>
      <w:r>
        <w:rPr>
          <w:rFonts w:hint="eastAsia" w:ascii="宋体" w:hAnsi="宋体"/>
          <w:sz w:val="24"/>
        </w:rPr>
        <w:t>(4) 货物说明一览表</w:t>
      </w:r>
    </w:p>
    <w:p>
      <w:pPr>
        <w:tabs>
          <w:tab w:val="left" w:pos="3744"/>
        </w:tabs>
        <w:spacing w:line="400" w:lineRule="exact"/>
        <w:ind w:firstLine="360" w:firstLineChars="150"/>
        <w:rPr>
          <w:rFonts w:ascii="宋体" w:hAnsi="宋体"/>
          <w:sz w:val="24"/>
        </w:rPr>
      </w:pPr>
      <w:r>
        <w:rPr>
          <w:rFonts w:hint="eastAsia" w:ascii="宋体" w:hAnsi="宋体"/>
          <w:sz w:val="24"/>
        </w:rPr>
        <w:t xml:space="preserve"> (5) 技术规格和商务偏离表</w:t>
      </w:r>
    </w:p>
    <w:p>
      <w:pPr>
        <w:tabs>
          <w:tab w:val="left" w:pos="3744"/>
        </w:tabs>
        <w:spacing w:line="400" w:lineRule="exact"/>
        <w:ind w:firstLine="360" w:firstLineChars="150"/>
        <w:rPr>
          <w:rFonts w:ascii="宋体" w:hAnsi="宋体"/>
          <w:sz w:val="24"/>
        </w:rPr>
      </w:pPr>
      <w:r>
        <w:rPr>
          <w:rFonts w:hint="eastAsia" w:ascii="宋体" w:hAnsi="宋体"/>
          <w:sz w:val="24"/>
        </w:rPr>
        <w:t xml:space="preserve"> (6) 供货安装组织方案</w:t>
      </w:r>
    </w:p>
    <w:p>
      <w:pPr>
        <w:tabs>
          <w:tab w:val="left" w:pos="3744"/>
        </w:tabs>
        <w:spacing w:line="400" w:lineRule="exact"/>
        <w:ind w:firstLine="360" w:firstLineChars="150"/>
        <w:rPr>
          <w:rFonts w:ascii="宋体" w:hAnsi="宋体"/>
          <w:sz w:val="24"/>
        </w:rPr>
      </w:pPr>
      <w:r>
        <w:rPr>
          <w:rFonts w:hint="eastAsia" w:ascii="宋体" w:hAnsi="宋体"/>
          <w:sz w:val="24"/>
        </w:rPr>
        <w:t xml:space="preserve"> (7) 售后服务承诺</w:t>
      </w:r>
    </w:p>
    <w:p>
      <w:pPr>
        <w:tabs>
          <w:tab w:val="left" w:pos="3744"/>
        </w:tabs>
        <w:spacing w:line="400" w:lineRule="exact"/>
        <w:ind w:firstLine="360" w:firstLineChars="150"/>
        <w:rPr>
          <w:rFonts w:ascii="宋体" w:hAnsi="宋体"/>
          <w:sz w:val="24"/>
        </w:rPr>
      </w:pPr>
      <w:r>
        <w:rPr>
          <w:rFonts w:hint="eastAsia" w:ascii="宋体" w:hAnsi="宋体"/>
          <w:sz w:val="24"/>
        </w:rPr>
        <w:t xml:space="preserve"> (8) 谈判响应供应商资格证明文件</w:t>
      </w:r>
    </w:p>
    <w:p>
      <w:pPr>
        <w:tabs>
          <w:tab w:val="left" w:pos="3744"/>
        </w:tabs>
        <w:spacing w:line="400" w:lineRule="exact"/>
        <w:ind w:firstLine="360" w:firstLineChars="150"/>
        <w:rPr>
          <w:rFonts w:ascii="宋体" w:hAnsi="宋体"/>
          <w:sz w:val="24"/>
        </w:rPr>
      </w:pPr>
      <w:r>
        <w:rPr>
          <w:rFonts w:hint="eastAsia" w:ascii="宋体" w:hAnsi="宋体"/>
          <w:sz w:val="24"/>
        </w:rPr>
        <w:t xml:space="preserve"> (9) 谈判响应供应商提交的其他资料</w:t>
      </w:r>
    </w:p>
    <w:p>
      <w:pPr>
        <w:tabs>
          <w:tab w:val="left" w:pos="3744"/>
        </w:tabs>
        <w:spacing w:line="400" w:lineRule="exact"/>
        <w:ind w:firstLine="360" w:firstLineChars="150"/>
        <w:rPr>
          <w:rFonts w:ascii="宋体" w:hAnsi="宋体"/>
          <w:sz w:val="24"/>
        </w:rPr>
      </w:pPr>
      <w:r>
        <w:rPr>
          <w:rFonts w:hint="eastAsia" w:ascii="宋体" w:hAnsi="宋体"/>
          <w:sz w:val="24"/>
        </w:rPr>
        <w:t>(10) 谈判成交服务费承诺书</w:t>
      </w:r>
    </w:p>
    <w:p>
      <w:pPr>
        <w:tabs>
          <w:tab w:val="left" w:pos="3744"/>
        </w:tabs>
        <w:spacing w:line="400" w:lineRule="exact"/>
        <w:ind w:firstLine="360" w:firstLineChars="150"/>
        <w:rPr>
          <w:rFonts w:ascii="宋体" w:hAnsi="宋体"/>
          <w:sz w:val="24"/>
        </w:rPr>
      </w:pPr>
      <w:bookmarkStart w:id="57" w:name="_Toc449635624"/>
      <w:bookmarkStart w:id="58" w:name="_Toc466045698"/>
      <w:bookmarkStart w:id="59" w:name="_Toc509407987"/>
      <w:bookmarkStart w:id="60" w:name="_Toc462647049"/>
      <w:bookmarkStart w:id="61" w:name="_Toc466297292"/>
      <w:bookmarkStart w:id="62" w:name="_Toc445991597"/>
      <w:bookmarkStart w:id="63" w:name="_Toc502839685"/>
      <w:bookmarkStart w:id="64" w:name="_Toc449373766"/>
      <w:bookmarkStart w:id="65" w:name="_Toc492492868"/>
      <w:bookmarkStart w:id="66" w:name="_Toc457383216"/>
      <w:bookmarkStart w:id="67" w:name="_Toc445901123"/>
      <w:bookmarkStart w:id="68" w:name="_Toc449635673"/>
      <w:bookmarkStart w:id="69" w:name="_Toc467591964"/>
      <w:bookmarkStart w:id="70" w:name="_Toc445748255"/>
      <w:r>
        <w:rPr>
          <w:rFonts w:ascii="宋体" w:hAnsi="宋体"/>
          <w:sz w:val="24"/>
        </w:rPr>
        <w:t>(1</w:t>
      </w:r>
      <w:r>
        <w:rPr>
          <w:rFonts w:hint="eastAsia" w:ascii="宋体" w:hAnsi="宋体"/>
          <w:sz w:val="24"/>
        </w:rPr>
        <w:t>1</w:t>
      </w:r>
      <w:r>
        <w:rPr>
          <w:rFonts w:ascii="宋体" w:hAnsi="宋体"/>
          <w:sz w:val="24"/>
        </w:rPr>
        <w:t>) 谈判响应保证金缴交凭证</w:t>
      </w:r>
      <w:bookmarkEnd w:id="57"/>
      <w:bookmarkEnd w:id="58"/>
      <w:bookmarkEnd w:id="59"/>
      <w:bookmarkEnd w:id="60"/>
      <w:bookmarkEnd w:id="61"/>
      <w:bookmarkEnd w:id="62"/>
      <w:bookmarkEnd w:id="63"/>
      <w:bookmarkEnd w:id="64"/>
      <w:bookmarkEnd w:id="65"/>
      <w:bookmarkEnd w:id="66"/>
      <w:bookmarkEnd w:id="67"/>
      <w:bookmarkEnd w:id="68"/>
      <w:bookmarkEnd w:id="69"/>
      <w:bookmarkEnd w:id="70"/>
    </w:p>
    <w:p>
      <w:pPr>
        <w:tabs>
          <w:tab w:val="left" w:pos="3744"/>
        </w:tabs>
        <w:spacing w:line="400" w:lineRule="exact"/>
        <w:ind w:firstLine="360" w:firstLineChars="150"/>
        <w:rPr>
          <w:rFonts w:ascii="宋体" w:hAnsi="宋体"/>
          <w:sz w:val="24"/>
        </w:rPr>
      </w:pPr>
      <w:bookmarkStart w:id="71" w:name="_Toc502839686"/>
      <w:bookmarkStart w:id="72" w:name="_Toc466297293"/>
      <w:bookmarkStart w:id="73" w:name="_Toc492492869"/>
      <w:bookmarkStart w:id="74" w:name="_Toc467591965"/>
      <w:bookmarkStart w:id="75" w:name="_Toc462647050"/>
      <w:bookmarkStart w:id="76" w:name="_Toc457383217"/>
      <w:bookmarkStart w:id="77" w:name="_Toc509407988"/>
      <w:bookmarkStart w:id="78" w:name="_Toc466045699"/>
      <w:r>
        <w:rPr>
          <w:rFonts w:ascii="宋体" w:hAnsi="宋体"/>
          <w:sz w:val="24"/>
        </w:rPr>
        <w:t>(1</w:t>
      </w:r>
      <w:r>
        <w:rPr>
          <w:rFonts w:hint="eastAsia" w:ascii="宋体" w:hAnsi="宋体"/>
          <w:sz w:val="24"/>
        </w:rPr>
        <w:t>2</w:t>
      </w:r>
      <w:r>
        <w:rPr>
          <w:rFonts w:ascii="宋体" w:hAnsi="宋体"/>
          <w:sz w:val="24"/>
        </w:rPr>
        <w:t>) 保证金退还申请书</w:t>
      </w:r>
      <w:bookmarkEnd w:id="71"/>
      <w:bookmarkEnd w:id="72"/>
      <w:bookmarkEnd w:id="73"/>
      <w:bookmarkEnd w:id="74"/>
      <w:bookmarkEnd w:id="75"/>
      <w:bookmarkEnd w:id="76"/>
      <w:bookmarkEnd w:id="77"/>
      <w:bookmarkEnd w:id="78"/>
    </w:p>
    <w:p>
      <w:pPr>
        <w:spacing w:line="400" w:lineRule="exact"/>
        <w:rPr>
          <w:rFonts w:ascii="宋体" w:hAnsi="宋体"/>
          <w:sz w:val="24"/>
        </w:rPr>
      </w:pPr>
      <w:r>
        <w:rPr>
          <w:rFonts w:hint="eastAsia" w:ascii="宋体" w:hAnsi="宋体"/>
          <w:sz w:val="24"/>
        </w:rPr>
        <w:t>11. 谈判响应有效期</w:t>
      </w:r>
    </w:p>
    <w:p>
      <w:pPr>
        <w:spacing w:line="400" w:lineRule="exact"/>
        <w:rPr>
          <w:rFonts w:ascii="宋体" w:hAnsi="宋体"/>
          <w:sz w:val="24"/>
        </w:rPr>
      </w:pPr>
      <w:r>
        <w:rPr>
          <w:rFonts w:hint="eastAsia" w:ascii="宋体" w:hAnsi="宋体"/>
          <w:sz w:val="24"/>
        </w:rPr>
        <w:t xml:space="preserve">    11.1谈判响应文件从</w:t>
      </w:r>
      <w:r>
        <w:rPr>
          <w:rFonts w:hint="eastAsia" w:ascii="宋体" w:hAnsi="宋体" w:cs="Arial"/>
          <w:sz w:val="24"/>
        </w:rPr>
        <w:t>谈判供应商</w:t>
      </w:r>
      <w:r>
        <w:rPr>
          <w:rFonts w:hint="eastAsia" w:ascii="宋体" w:hAnsi="宋体"/>
          <w:bCs/>
          <w:sz w:val="24"/>
        </w:rPr>
        <w:t>须知前附表</w:t>
      </w:r>
      <w:r>
        <w:rPr>
          <w:rFonts w:hint="eastAsia" w:ascii="宋体" w:hAnsi="宋体"/>
          <w:sz w:val="24"/>
        </w:rPr>
        <w:t>第4项所规定的谈判截止期之后开始生效，在</w:t>
      </w:r>
      <w:r>
        <w:rPr>
          <w:rFonts w:hint="eastAsia" w:ascii="宋体" w:hAnsi="宋体" w:cs="Arial"/>
          <w:sz w:val="24"/>
        </w:rPr>
        <w:t>谈判供应商</w:t>
      </w:r>
      <w:r>
        <w:rPr>
          <w:rFonts w:hint="eastAsia" w:ascii="宋体" w:hAnsi="宋体"/>
          <w:bCs/>
          <w:sz w:val="24"/>
        </w:rPr>
        <w:t>须知前附表</w:t>
      </w:r>
      <w:r>
        <w:rPr>
          <w:rFonts w:hint="eastAsia" w:ascii="宋体" w:hAnsi="宋体"/>
          <w:sz w:val="24"/>
        </w:rPr>
        <w:t>第3项所规定的期限内保持有效。有效期不足将导致其谈判响应文件被拒绝。</w:t>
      </w:r>
    </w:p>
    <w:p>
      <w:pPr>
        <w:spacing w:line="400" w:lineRule="exact"/>
        <w:rPr>
          <w:rFonts w:ascii="宋体" w:hAnsi="宋体"/>
          <w:sz w:val="24"/>
        </w:rPr>
      </w:pPr>
      <w:r>
        <w:rPr>
          <w:rFonts w:hint="eastAsia" w:ascii="宋体" w:hAnsi="宋体"/>
          <w:sz w:val="24"/>
        </w:rPr>
        <w:t xml:space="preserve">    11.2特殊情况下采购代理机构可于谈判响应有效期满之前书面要求</w:t>
      </w:r>
      <w:r>
        <w:rPr>
          <w:rFonts w:hint="eastAsia" w:ascii="宋体" w:hAnsi="宋体" w:cs="Arial"/>
          <w:sz w:val="24"/>
        </w:rPr>
        <w:t>谈判供应商</w:t>
      </w:r>
      <w:r>
        <w:rPr>
          <w:rFonts w:hint="eastAsia" w:ascii="宋体" w:hAnsi="宋体"/>
          <w:sz w:val="24"/>
        </w:rPr>
        <w:t>同意延长有效期，</w:t>
      </w:r>
      <w:r>
        <w:rPr>
          <w:rFonts w:hint="eastAsia" w:ascii="宋体" w:hAnsi="宋体" w:cs="Arial"/>
          <w:sz w:val="24"/>
        </w:rPr>
        <w:t>谈判供应商</w:t>
      </w:r>
      <w:r>
        <w:rPr>
          <w:rFonts w:hint="eastAsia" w:ascii="宋体" w:hAnsi="宋体"/>
          <w:sz w:val="24"/>
        </w:rPr>
        <w:t>应在采购代理机构规定的期限内以书面形式予以答复。</w:t>
      </w:r>
      <w:r>
        <w:rPr>
          <w:rFonts w:hint="eastAsia" w:ascii="宋体" w:hAnsi="宋体" w:cs="Arial"/>
          <w:sz w:val="24"/>
        </w:rPr>
        <w:t>谈判供应商</w:t>
      </w:r>
      <w:r>
        <w:rPr>
          <w:rFonts w:hint="eastAsia" w:ascii="宋体" w:hAnsi="宋体"/>
          <w:sz w:val="24"/>
        </w:rPr>
        <w:t>可以拒绝上述要求而其谈判响应保证金可按规定予以退还。</w:t>
      </w:r>
      <w:r>
        <w:rPr>
          <w:rFonts w:hint="eastAsia" w:ascii="宋体" w:hAnsi="宋体" w:cs="Arial"/>
          <w:sz w:val="24"/>
        </w:rPr>
        <w:t>谈判供应商</w:t>
      </w:r>
      <w:r>
        <w:rPr>
          <w:rFonts w:hint="eastAsia" w:ascii="宋体" w:hAnsi="宋体"/>
          <w:sz w:val="24"/>
        </w:rPr>
        <w:t>答复不明确或者逾期未答复的，均视为拒绝上述要求。对于接受该要求的</w:t>
      </w:r>
      <w:r>
        <w:rPr>
          <w:rFonts w:hint="eastAsia" w:ascii="宋体" w:hAnsi="宋体" w:cs="Arial"/>
          <w:sz w:val="24"/>
        </w:rPr>
        <w:t>谈判供应商</w:t>
      </w:r>
      <w:r>
        <w:rPr>
          <w:rFonts w:hint="eastAsia" w:ascii="宋体" w:hAnsi="宋体"/>
          <w:sz w:val="24"/>
        </w:rPr>
        <w:t>，既不要求也不允许其修改谈判响应文件，但将要求其相应延长谈判响应保证金有效期，有关退还和不予退还谈判响应保证金的规定在谈判响应有效期延长期内继续有效。</w:t>
      </w:r>
    </w:p>
    <w:p>
      <w:pPr>
        <w:spacing w:line="400" w:lineRule="exact"/>
        <w:rPr>
          <w:rFonts w:ascii="宋体" w:hAnsi="宋体"/>
          <w:sz w:val="24"/>
        </w:rPr>
      </w:pPr>
      <w:r>
        <w:rPr>
          <w:rFonts w:hint="eastAsia" w:ascii="宋体" w:hAnsi="宋体"/>
          <w:sz w:val="24"/>
        </w:rPr>
        <w:t>12. 谈判响应保证金</w:t>
      </w:r>
    </w:p>
    <w:p>
      <w:pPr>
        <w:spacing w:line="400" w:lineRule="exact"/>
        <w:ind w:firstLine="480"/>
        <w:rPr>
          <w:rFonts w:ascii="宋体" w:hAnsi="宋体"/>
          <w:sz w:val="24"/>
        </w:rPr>
      </w:pPr>
      <w:r>
        <w:rPr>
          <w:rFonts w:hint="eastAsia" w:ascii="宋体" w:hAnsi="宋体"/>
          <w:sz w:val="24"/>
        </w:rPr>
        <w:t>12.1 谈判响应保证金为谈判响应文件的组成部分之一。</w:t>
      </w:r>
    </w:p>
    <w:p>
      <w:pPr>
        <w:spacing w:line="400" w:lineRule="exact"/>
        <w:ind w:firstLine="480"/>
        <w:rPr>
          <w:rFonts w:ascii="宋体" w:hAnsi="宋体"/>
          <w:sz w:val="24"/>
        </w:rPr>
      </w:pPr>
      <w:r>
        <w:rPr>
          <w:rFonts w:hint="eastAsia" w:ascii="宋体" w:hAnsi="宋体"/>
          <w:sz w:val="24"/>
        </w:rPr>
        <w:t xml:space="preserve">12.2 </w:t>
      </w:r>
      <w:r>
        <w:rPr>
          <w:rFonts w:hint="eastAsia" w:ascii="宋体" w:hAnsi="宋体" w:cs="Arial"/>
          <w:sz w:val="24"/>
        </w:rPr>
        <w:t>谈判供应商</w:t>
      </w:r>
      <w:r>
        <w:rPr>
          <w:rFonts w:hint="eastAsia" w:ascii="宋体" w:hAnsi="宋体"/>
          <w:sz w:val="24"/>
        </w:rPr>
        <w:t>应在提交谈判响应文件之前向采购代理机构缴交</w:t>
      </w:r>
      <w:r>
        <w:rPr>
          <w:rFonts w:hint="eastAsia" w:ascii="宋体" w:hAnsi="宋体" w:cs="Arial"/>
          <w:sz w:val="24"/>
        </w:rPr>
        <w:t>谈判供应商</w:t>
      </w:r>
      <w:r>
        <w:rPr>
          <w:rFonts w:hint="eastAsia" w:ascii="宋体" w:hAnsi="宋体"/>
          <w:sz w:val="24"/>
        </w:rPr>
        <w:t>须知前附表第5项要求的谈判响应保证金。联合体谈判的，可以由联合体中的一方或者共同提交谈判响应保证金，以一方名义提交谈判响应保证金的，对联合体各方均具有约束力。</w:t>
      </w:r>
    </w:p>
    <w:p>
      <w:pPr>
        <w:spacing w:line="400" w:lineRule="exact"/>
        <w:rPr>
          <w:rFonts w:ascii="宋体" w:hAnsi="宋体"/>
          <w:sz w:val="24"/>
        </w:rPr>
      </w:pPr>
      <w:r>
        <w:rPr>
          <w:rFonts w:hint="eastAsia" w:ascii="宋体" w:hAnsi="宋体"/>
          <w:sz w:val="24"/>
        </w:rPr>
        <w:t xml:space="preserve">    12.3 谈判响应保证金用于保护本次谈判活动免受</w:t>
      </w:r>
      <w:r>
        <w:rPr>
          <w:rFonts w:hint="eastAsia" w:ascii="宋体" w:hAnsi="宋体" w:cs="Arial"/>
          <w:sz w:val="24"/>
        </w:rPr>
        <w:t>谈判供应商</w:t>
      </w:r>
      <w:r>
        <w:rPr>
          <w:rFonts w:hint="eastAsia" w:ascii="宋体" w:hAnsi="宋体"/>
          <w:sz w:val="24"/>
        </w:rPr>
        <w:t>的行为而引起的风险。</w:t>
      </w:r>
    </w:p>
    <w:p>
      <w:pPr>
        <w:spacing w:line="400" w:lineRule="exact"/>
        <w:rPr>
          <w:rFonts w:ascii="宋体" w:hAnsi="宋体"/>
          <w:sz w:val="24"/>
        </w:rPr>
      </w:pPr>
      <w:r>
        <w:rPr>
          <w:rFonts w:hint="eastAsia" w:ascii="宋体" w:hAnsi="宋体"/>
          <w:sz w:val="24"/>
        </w:rPr>
        <w:t xml:space="preserve">    12.4 谈判响应保证金以转账、汇款等形式提交。</w:t>
      </w:r>
    </w:p>
    <w:p>
      <w:pPr>
        <w:spacing w:line="400" w:lineRule="exact"/>
        <w:rPr>
          <w:rFonts w:ascii="宋体" w:hAnsi="宋体"/>
          <w:sz w:val="24"/>
        </w:rPr>
      </w:pPr>
      <w:r>
        <w:rPr>
          <w:rFonts w:hint="eastAsia" w:ascii="宋体" w:hAnsi="宋体"/>
          <w:sz w:val="24"/>
        </w:rPr>
        <w:t xml:space="preserve">    12.5 未按规定缴交谈判响应保证金的谈判，将被视为无效谈判响应。</w:t>
      </w:r>
    </w:p>
    <w:p>
      <w:pPr>
        <w:snapToGrid w:val="0"/>
        <w:spacing w:line="400" w:lineRule="exact"/>
        <w:ind w:firstLine="480" w:firstLineChars="200"/>
        <w:rPr>
          <w:rFonts w:ascii="宋体" w:hAnsi="宋体"/>
          <w:sz w:val="24"/>
        </w:rPr>
      </w:pPr>
      <w:r>
        <w:rPr>
          <w:rFonts w:hint="eastAsia" w:ascii="宋体" w:hAnsi="宋体"/>
          <w:sz w:val="24"/>
        </w:rPr>
        <w:t>12.6未成交的谈判响应供应商在成交供应商确定后，凭谈判响应供应商开具的“谈判响应保证金退还申请书”办理退还其谈判响应保证金手续，采购代理机构在收到“谈判响应保证金退还申请书”后的5个工作日内将保证金原额无息退返谈判响应供应商。</w:t>
      </w:r>
    </w:p>
    <w:p>
      <w:pPr>
        <w:pStyle w:val="8"/>
        <w:snapToGrid w:val="0"/>
        <w:spacing w:line="400" w:lineRule="exact"/>
        <w:ind w:firstLine="480" w:firstLineChars="200"/>
        <w:rPr>
          <w:rFonts w:hint="default" w:hAnsi="宋体"/>
          <w:kern w:val="2"/>
          <w:szCs w:val="24"/>
        </w:rPr>
      </w:pPr>
      <w:r>
        <w:rPr>
          <w:rFonts w:hAnsi="宋体"/>
          <w:kern w:val="2"/>
          <w:szCs w:val="24"/>
        </w:rPr>
        <w:t>12.7在成交供应商支付所有谈判代理服务费并签订合同（采购人如有要求成交供应商支付履约保证金的，则增加：并向采购人支付履约保证金）后，成交供应商凭其签定的合同副本和开具的“谈判保证金退还申请书”办理退还其谈判保证金手续，采购代理机构在收到“谈判保证金退还申请书”、合同副本后的5个工作日内将保证经原额无息退返成交供应商。</w:t>
      </w:r>
    </w:p>
    <w:p>
      <w:pPr>
        <w:spacing w:line="400" w:lineRule="exact"/>
        <w:rPr>
          <w:rFonts w:ascii="宋体" w:hAnsi="宋体"/>
          <w:sz w:val="24"/>
        </w:rPr>
      </w:pPr>
      <w:r>
        <w:rPr>
          <w:rFonts w:hint="eastAsia" w:ascii="宋体" w:hAnsi="宋体"/>
          <w:sz w:val="24"/>
        </w:rPr>
        <w:t xml:space="preserve">    12.8发生以下情况之一的，谈判响应保证金将不予退还：</w:t>
      </w:r>
    </w:p>
    <w:p>
      <w:pPr>
        <w:pStyle w:val="8"/>
        <w:snapToGrid w:val="0"/>
        <w:spacing w:line="400" w:lineRule="exact"/>
        <w:ind w:firstLine="480" w:firstLineChars="200"/>
        <w:rPr>
          <w:rFonts w:hint="default" w:hAnsi="宋体"/>
          <w:szCs w:val="24"/>
        </w:rPr>
      </w:pPr>
      <w:r>
        <w:rPr>
          <w:rFonts w:hAnsi="宋体"/>
          <w:szCs w:val="24"/>
        </w:rPr>
        <w:t>（1）</w:t>
      </w:r>
      <w:r>
        <w:rPr>
          <w:rFonts w:hAnsi="宋体" w:cs="Arial"/>
          <w:szCs w:val="24"/>
        </w:rPr>
        <w:t>谈判供应商</w:t>
      </w:r>
      <w:r>
        <w:rPr>
          <w:rFonts w:hAnsi="宋体"/>
          <w:szCs w:val="24"/>
        </w:rPr>
        <w:t>在谈判截止期后，谈判响应有效期内撤回谈判响应；</w:t>
      </w:r>
    </w:p>
    <w:p>
      <w:pPr>
        <w:spacing w:line="400" w:lineRule="exact"/>
        <w:ind w:firstLine="480" w:firstLineChars="200"/>
        <w:rPr>
          <w:rFonts w:ascii="宋体" w:hAnsi="宋体"/>
          <w:sz w:val="24"/>
        </w:rPr>
      </w:pPr>
      <w:r>
        <w:rPr>
          <w:rFonts w:hint="eastAsia" w:ascii="宋体" w:hAnsi="宋体"/>
          <w:sz w:val="24"/>
        </w:rPr>
        <w:t>（2）成交供应商未能做到按本须知第23条规定签订合同；</w:t>
      </w:r>
    </w:p>
    <w:p>
      <w:pPr>
        <w:spacing w:line="400" w:lineRule="exact"/>
        <w:ind w:firstLine="480" w:firstLineChars="200"/>
        <w:rPr>
          <w:rFonts w:ascii="宋体" w:hAnsi="宋体"/>
          <w:sz w:val="24"/>
        </w:rPr>
      </w:pPr>
      <w:r>
        <w:rPr>
          <w:rFonts w:hint="eastAsia" w:ascii="宋体" w:hAnsi="宋体"/>
          <w:sz w:val="24"/>
        </w:rPr>
        <w:t>（3）成交供应商未按</w:t>
      </w:r>
      <w:r>
        <w:rPr>
          <w:rFonts w:hint="eastAsia" w:ascii="宋体" w:hAnsi="宋体" w:cs="Arial"/>
          <w:sz w:val="24"/>
        </w:rPr>
        <w:t>谈判供应商</w:t>
      </w:r>
      <w:r>
        <w:rPr>
          <w:rFonts w:hint="eastAsia" w:ascii="宋体" w:hAnsi="宋体"/>
          <w:sz w:val="24"/>
        </w:rPr>
        <w:t>须知前附表规定缴纳谈判成交服务费；（采购人如有要求成交供应商支付履约保证金的，增加：“成交供应商未按本须知第12.7条规定提交履约保证金的；）</w:t>
      </w:r>
    </w:p>
    <w:p>
      <w:pPr>
        <w:spacing w:line="400" w:lineRule="exact"/>
        <w:ind w:firstLine="480" w:firstLineChars="200"/>
        <w:rPr>
          <w:rFonts w:ascii="宋体" w:hAnsi="宋体"/>
          <w:sz w:val="24"/>
        </w:rPr>
      </w:pPr>
      <w:r>
        <w:rPr>
          <w:rFonts w:hint="eastAsia" w:ascii="宋体" w:hAnsi="宋体"/>
          <w:sz w:val="24"/>
        </w:rPr>
        <w:t>（4）以他人名义谈判响应或者以其他方式弄虚作假，骗取成交；</w:t>
      </w:r>
    </w:p>
    <w:p>
      <w:pPr>
        <w:spacing w:line="400" w:lineRule="exact"/>
        <w:ind w:firstLine="480" w:firstLineChars="200"/>
        <w:rPr>
          <w:rFonts w:ascii="宋体" w:hAnsi="宋体"/>
          <w:sz w:val="24"/>
        </w:rPr>
      </w:pPr>
      <w:r>
        <w:rPr>
          <w:rFonts w:hint="eastAsia" w:ascii="宋体" w:hAnsi="宋体"/>
          <w:sz w:val="24"/>
        </w:rPr>
        <w:t>（5）</w:t>
      </w:r>
      <w:r>
        <w:rPr>
          <w:rFonts w:hint="eastAsia" w:ascii="宋体" w:hAnsi="宋体"/>
          <w:kern w:val="6"/>
          <w:sz w:val="24"/>
        </w:rPr>
        <w:t>成交供应商未能按期保质保量完成本产品的供应</w:t>
      </w:r>
      <w:r>
        <w:rPr>
          <w:rFonts w:hint="eastAsia" w:ascii="宋体" w:hAnsi="宋体"/>
          <w:sz w:val="24"/>
        </w:rPr>
        <w:t>。</w:t>
      </w:r>
    </w:p>
    <w:p>
      <w:pPr>
        <w:spacing w:line="400" w:lineRule="exact"/>
        <w:ind w:firstLine="480" w:firstLineChars="200"/>
        <w:rPr>
          <w:rFonts w:ascii="宋体" w:hAnsi="宋体" w:cs="Arial"/>
          <w:sz w:val="24"/>
        </w:rPr>
      </w:pPr>
      <w:r>
        <w:rPr>
          <w:rFonts w:hint="eastAsia" w:ascii="宋体" w:hAnsi="宋体" w:cs="Arial"/>
          <w:sz w:val="24"/>
        </w:rPr>
        <w:t>（6）成交供应商提供的产品质量不符合要求，经招标单位书面通知拒绝整改。</w:t>
      </w:r>
    </w:p>
    <w:p>
      <w:pPr>
        <w:spacing w:line="400" w:lineRule="exact"/>
        <w:ind w:firstLine="480" w:firstLineChars="200"/>
        <w:rPr>
          <w:rFonts w:ascii="宋体" w:hAnsi="宋体"/>
          <w:sz w:val="24"/>
        </w:rPr>
      </w:pPr>
      <w:r>
        <w:rPr>
          <w:rFonts w:hint="eastAsia" w:ascii="宋体" w:hAnsi="宋体"/>
          <w:sz w:val="24"/>
        </w:rPr>
        <w:t>（7）本谈判文件中规定的其他没收谈判响应保证金的情形；</w:t>
      </w:r>
    </w:p>
    <w:p>
      <w:pPr>
        <w:spacing w:line="400" w:lineRule="exact"/>
        <w:ind w:firstLine="480" w:firstLineChars="200"/>
        <w:rPr>
          <w:rFonts w:ascii="宋体" w:hAnsi="宋体"/>
          <w:sz w:val="24"/>
        </w:rPr>
      </w:pPr>
      <w:r>
        <w:rPr>
          <w:rFonts w:hint="eastAsia" w:ascii="宋体" w:hAnsi="宋体"/>
          <w:sz w:val="24"/>
        </w:rPr>
        <w:t>上述不予退还谈判响应保证金的情况给谈判采购单位造成损失的，还要承担赔偿责任。</w:t>
      </w:r>
    </w:p>
    <w:p>
      <w:pPr>
        <w:spacing w:line="400" w:lineRule="exact"/>
        <w:rPr>
          <w:rFonts w:ascii="宋体" w:hAnsi="宋体"/>
          <w:sz w:val="24"/>
        </w:rPr>
      </w:pPr>
      <w:r>
        <w:rPr>
          <w:rFonts w:hint="eastAsia" w:ascii="宋体" w:hAnsi="宋体"/>
          <w:sz w:val="24"/>
        </w:rPr>
        <w:t>13. 谈判响应文件的格式</w:t>
      </w:r>
    </w:p>
    <w:p>
      <w:pPr>
        <w:spacing w:line="400" w:lineRule="exact"/>
        <w:rPr>
          <w:rFonts w:ascii="宋体" w:hAnsi="宋体"/>
          <w:sz w:val="24"/>
        </w:rPr>
      </w:pPr>
      <w:r>
        <w:rPr>
          <w:rFonts w:hint="eastAsia" w:ascii="宋体" w:hAnsi="宋体"/>
          <w:sz w:val="24"/>
        </w:rPr>
        <w:t xml:space="preserve">    13.1</w:t>
      </w:r>
      <w:r>
        <w:rPr>
          <w:rFonts w:hint="eastAsia" w:ascii="宋体" w:hAnsi="宋体" w:cs="Arial"/>
          <w:sz w:val="24"/>
        </w:rPr>
        <w:t>谈判响应供应商须编制由本须知第4条规定文件组成的谈判响应文件正本及副本（份数以谈判响应供应商须知附表为准）</w:t>
      </w:r>
      <w:r>
        <w:rPr>
          <w:rFonts w:hint="eastAsia" w:ascii="宋体" w:hAnsi="宋体"/>
          <w:sz w:val="24"/>
        </w:rPr>
        <w:t>，正本必须用A4幅面纸张打印装订，副本可以用正本的完整复印件，并在封面标明“正本”、“副本”字样。正本与副本如有不一致，则以正本为准。</w:t>
      </w:r>
    </w:p>
    <w:p>
      <w:pPr>
        <w:spacing w:line="400" w:lineRule="exact"/>
        <w:rPr>
          <w:rFonts w:ascii="宋体" w:hAnsi="宋体"/>
          <w:sz w:val="24"/>
        </w:rPr>
      </w:pPr>
      <w:r>
        <w:rPr>
          <w:rFonts w:hint="eastAsia" w:ascii="宋体" w:hAnsi="宋体"/>
          <w:sz w:val="24"/>
        </w:rPr>
        <w:t xml:space="preserve">    13.2谈判响应文件应由</w:t>
      </w:r>
      <w:r>
        <w:rPr>
          <w:rFonts w:hint="eastAsia" w:ascii="宋体" w:hAnsi="宋体" w:cs="Arial"/>
          <w:sz w:val="24"/>
        </w:rPr>
        <w:t>谈判供应商</w:t>
      </w:r>
      <w:r>
        <w:rPr>
          <w:rFonts w:hint="eastAsia" w:ascii="宋体" w:hAnsi="宋体"/>
          <w:sz w:val="24"/>
        </w:rPr>
        <w:t>的法定代表人或者其授权代表签字并加盖公章，如由后者签字，应提供“法定代表人授权委托书”。</w:t>
      </w:r>
    </w:p>
    <w:p>
      <w:pPr>
        <w:spacing w:line="400" w:lineRule="exact"/>
        <w:rPr>
          <w:rFonts w:ascii="宋体" w:hAnsi="宋体"/>
          <w:sz w:val="24"/>
        </w:rPr>
      </w:pPr>
      <w:r>
        <w:rPr>
          <w:rFonts w:hint="eastAsia" w:ascii="宋体" w:hAnsi="宋体"/>
          <w:sz w:val="24"/>
        </w:rPr>
        <w:t xml:space="preserve">    13.3除非有另外的规定或许可，谈判响应使用货币为人民币。</w:t>
      </w:r>
    </w:p>
    <w:p>
      <w:pPr>
        <w:spacing w:line="400" w:lineRule="exact"/>
        <w:rPr>
          <w:rFonts w:ascii="宋体" w:hAnsi="宋体"/>
          <w:sz w:val="24"/>
        </w:rPr>
      </w:pPr>
      <w:r>
        <w:rPr>
          <w:rFonts w:hint="eastAsia" w:ascii="宋体" w:hAnsi="宋体"/>
          <w:sz w:val="24"/>
        </w:rPr>
        <w:t xml:space="preserve">    13.4</w:t>
      </w:r>
      <w:r>
        <w:rPr>
          <w:rFonts w:hint="eastAsia" w:ascii="宋体" w:hAnsi="宋体" w:cs="Arial"/>
          <w:sz w:val="24"/>
        </w:rPr>
        <w:t>谈判供应商</w:t>
      </w:r>
      <w:r>
        <w:rPr>
          <w:rFonts w:hint="eastAsia" w:ascii="宋体" w:hAnsi="宋体"/>
          <w:sz w:val="24"/>
        </w:rPr>
        <w:t xml:space="preserve">应提交证明其拟供货物符合谈判文件要求的技术响应文件，该文件可以是文字资料、图纸和数据，并须提供货物主要技术性能的详细描述。                                  </w:t>
      </w:r>
    </w:p>
    <w:p>
      <w:pPr>
        <w:spacing w:line="400" w:lineRule="exact"/>
        <w:rPr>
          <w:rFonts w:ascii="宋体" w:hAnsi="宋体"/>
          <w:sz w:val="24"/>
        </w:rPr>
      </w:pPr>
      <w:r>
        <w:rPr>
          <w:rFonts w:hint="eastAsia" w:ascii="宋体" w:hAnsi="宋体"/>
          <w:sz w:val="24"/>
        </w:rPr>
        <w:t xml:space="preserve">    13.5 谈判响应文件的正本和全部副本均应使用不能擦去的墨料或墨水打印、书写或复印，并由法定代表人或其授权代表签署，盖</w:t>
      </w:r>
      <w:r>
        <w:rPr>
          <w:rFonts w:hint="eastAsia" w:ascii="宋体" w:hAnsi="宋体" w:cs="Arial"/>
          <w:sz w:val="24"/>
        </w:rPr>
        <w:t>谈判供应商</w:t>
      </w:r>
      <w:r>
        <w:rPr>
          <w:rFonts w:hint="eastAsia" w:ascii="宋体" w:hAnsi="宋体"/>
          <w:sz w:val="24"/>
        </w:rPr>
        <w:t>公章。</w:t>
      </w:r>
    </w:p>
    <w:p>
      <w:pPr>
        <w:spacing w:line="400" w:lineRule="exact"/>
        <w:ind w:firstLine="480"/>
        <w:rPr>
          <w:rFonts w:ascii="宋体" w:hAnsi="宋体"/>
          <w:sz w:val="24"/>
        </w:rPr>
      </w:pPr>
      <w:r>
        <w:rPr>
          <w:rFonts w:hint="eastAsia" w:ascii="宋体" w:hAnsi="宋体"/>
          <w:sz w:val="24"/>
        </w:rPr>
        <w:t>13.6全套谈判响应文件应无涂改和行间插字，除非这些改动是根据采购代理机构的指示进行的，或者是为改正</w:t>
      </w:r>
      <w:r>
        <w:rPr>
          <w:rFonts w:hint="eastAsia" w:ascii="宋体" w:hAnsi="宋体" w:cs="Arial"/>
          <w:sz w:val="24"/>
        </w:rPr>
        <w:t>谈判供应商</w:t>
      </w:r>
      <w:r>
        <w:rPr>
          <w:rFonts w:hint="eastAsia" w:ascii="宋体" w:hAnsi="宋体"/>
          <w:sz w:val="24"/>
        </w:rPr>
        <w:t>造成的必须修改的错误而进行的。有改动时，修改处应由授权代表签署证明或加盖</w:t>
      </w:r>
      <w:r>
        <w:rPr>
          <w:rFonts w:hint="eastAsia" w:ascii="宋体" w:hAnsi="宋体" w:cs="Arial"/>
          <w:sz w:val="24"/>
        </w:rPr>
        <w:t>谈判供应商</w:t>
      </w:r>
      <w:r>
        <w:rPr>
          <w:rFonts w:hint="eastAsia" w:ascii="宋体" w:hAnsi="宋体"/>
          <w:sz w:val="24"/>
        </w:rPr>
        <w:t xml:space="preserve">公章。 </w:t>
      </w:r>
    </w:p>
    <w:p>
      <w:pPr>
        <w:spacing w:line="400" w:lineRule="exact"/>
        <w:ind w:firstLine="480"/>
        <w:rPr>
          <w:rFonts w:ascii="宋体" w:hAnsi="宋体"/>
          <w:sz w:val="24"/>
        </w:rPr>
      </w:pPr>
      <w:r>
        <w:rPr>
          <w:rFonts w:hint="eastAsia" w:ascii="宋体" w:hAnsi="宋体"/>
          <w:sz w:val="24"/>
        </w:rPr>
        <w:t>13.7未按本须知规定的格式填写谈判响应文件、谈判响应文件字迹模糊不清的，其谈判响应将被拒绝。</w:t>
      </w:r>
    </w:p>
    <w:p>
      <w:pPr>
        <w:spacing w:line="400" w:lineRule="exact"/>
        <w:ind w:firstLine="480"/>
        <w:rPr>
          <w:rFonts w:ascii="宋体" w:hAnsi="宋体"/>
          <w:sz w:val="24"/>
        </w:rPr>
      </w:pPr>
      <w:r>
        <w:rPr>
          <w:rFonts w:hint="eastAsia" w:ascii="宋体" w:hAnsi="宋体"/>
          <w:sz w:val="24"/>
        </w:rPr>
        <w:t>13.8所有资格证明文件复印件须注明“与原件一致”并加盖</w:t>
      </w:r>
      <w:r>
        <w:rPr>
          <w:rFonts w:hint="eastAsia" w:ascii="宋体" w:hAnsi="宋体" w:cs="Arial"/>
          <w:sz w:val="24"/>
        </w:rPr>
        <w:t>谈判供应商</w:t>
      </w:r>
      <w:r>
        <w:rPr>
          <w:rFonts w:hint="eastAsia" w:ascii="宋体" w:hAnsi="宋体"/>
          <w:sz w:val="24"/>
        </w:rPr>
        <w:t>公章。</w:t>
      </w:r>
    </w:p>
    <w:p>
      <w:pPr>
        <w:spacing w:line="400" w:lineRule="exact"/>
        <w:ind w:firstLine="480"/>
        <w:rPr>
          <w:rFonts w:ascii="宋体" w:hAnsi="宋体"/>
          <w:sz w:val="21"/>
          <w:szCs w:val="21"/>
        </w:rPr>
      </w:pPr>
      <w:r>
        <w:rPr>
          <w:rFonts w:hint="eastAsia" w:ascii="宋体" w:hAnsi="宋体"/>
          <w:sz w:val="24"/>
        </w:rPr>
        <w:t>13.9</w:t>
      </w:r>
      <w:r>
        <w:rPr>
          <w:rFonts w:hint="eastAsia" w:ascii="宋体" w:hAnsi="宋体" w:cs="Arial"/>
          <w:sz w:val="24"/>
        </w:rPr>
        <w:t>谈判响应供应商应将上述文件按顺序胶装成册（不得活页装订）、打印页码，并编列谈判响应文件目录、资料清单，由于装订不规范或编排顺序混乱而导致谈判响应文件被误读或漏读，该谈判响应可能被视为无效谈判响应或承担不利得评审结果。</w:t>
      </w:r>
    </w:p>
    <w:p>
      <w:pPr>
        <w:pStyle w:val="3"/>
        <w:spacing w:before="0" w:after="0" w:line="400" w:lineRule="exact"/>
        <w:jc w:val="center"/>
        <w:rPr>
          <w:rFonts w:ascii="宋体" w:hAnsi="宋体" w:eastAsia="宋体"/>
          <w:sz w:val="28"/>
          <w:szCs w:val="28"/>
        </w:rPr>
      </w:pPr>
      <w:bookmarkStart w:id="79" w:name="_Toc410144287"/>
      <w:bookmarkStart w:id="80" w:name="_Toc531349535"/>
      <w:bookmarkStart w:id="81" w:name="_Toc318292402"/>
      <w:bookmarkStart w:id="82" w:name="_Toc345597861"/>
      <w:bookmarkStart w:id="83" w:name="_Toc381371634"/>
      <w:r>
        <w:rPr>
          <w:rFonts w:hint="eastAsia" w:ascii="宋体" w:hAnsi="宋体" w:eastAsia="宋体"/>
          <w:sz w:val="28"/>
          <w:szCs w:val="28"/>
        </w:rPr>
        <w:t>四、谈判响应文件的提交</w:t>
      </w:r>
      <w:bookmarkEnd w:id="79"/>
      <w:bookmarkEnd w:id="80"/>
      <w:bookmarkEnd w:id="81"/>
      <w:bookmarkEnd w:id="82"/>
      <w:bookmarkEnd w:id="83"/>
    </w:p>
    <w:p>
      <w:pPr>
        <w:spacing w:line="400" w:lineRule="exact"/>
        <w:rPr>
          <w:rFonts w:ascii="宋体" w:hAnsi="宋体"/>
          <w:sz w:val="24"/>
        </w:rPr>
      </w:pPr>
      <w:r>
        <w:rPr>
          <w:rFonts w:hint="eastAsia" w:ascii="宋体" w:hAnsi="宋体"/>
          <w:sz w:val="24"/>
        </w:rPr>
        <w:t>14.谈判响应文件的密封、标记和递交</w:t>
      </w:r>
    </w:p>
    <w:p>
      <w:pPr>
        <w:spacing w:line="400" w:lineRule="exact"/>
        <w:rPr>
          <w:rFonts w:ascii="宋体" w:hAnsi="宋体"/>
          <w:sz w:val="24"/>
        </w:rPr>
      </w:pPr>
      <w:r>
        <w:rPr>
          <w:rFonts w:hint="eastAsia" w:ascii="宋体" w:hAnsi="宋体"/>
          <w:sz w:val="24"/>
        </w:rPr>
        <w:t xml:space="preserve">    14.1 </w:t>
      </w:r>
      <w:r>
        <w:rPr>
          <w:rFonts w:hint="eastAsia" w:ascii="宋体" w:hAnsi="宋体" w:cs="Arial"/>
          <w:sz w:val="24"/>
        </w:rPr>
        <w:t>谈判供应商</w:t>
      </w:r>
      <w:r>
        <w:rPr>
          <w:rFonts w:hint="eastAsia" w:ascii="宋体" w:hAnsi="宋体"/>
          <w:sz w:val="24"/>
        </w:rPr>
        <w:t>应将谈判响应文件正本和全部副本分别密封，并标明谈判编号、</w:t>
      </w:r>
      <w:r>
        <w:rPr>
          <w:rFonts w:hint="eastAsia" w:ascii="宋体" w:hAnsi="宋体" w:cs="Arial"/>
          <w:sz w:val="24"/>
        </w:rPr>
        <w:t>谈判供应商</w:t>
      </w:r>
      <w:r>
        <w:rPr>
          <w:rFonts w:hint="eastAsia" w:ascii="宋体" w:hAnsi="宋体"/>
          <w:sz w:val="24"/>
        </w:rPr>
        <w:t>名称、谈判响应货物名称及“正本”或“副本”字样。谈判响应文件未密封将导致谈判响应被拒绝。</w:t>
      </w:r>
    </w:p>
    <w:p>
      <w:pPr>
        <w:spacing w:line="400" w:lineRule="exact"/>
        <w:rPr>
          <w:rFonts w:ascii="宋体" w:hAnsi="宋体"/>
          <w:sz w:val="24"/>
        </w:rPr>
      </w:pPr>
      <w:r>
        <w:rPr>
          <w:rFonts w:hint="eastAsia" w:ascii="宋体" w:hAnsi="宋体"/>
          <w:sz w:val="24"/>
        </w:rPr>
        <w:t xml:space="preserve">   14.2 每一密封处应注明“于 之前（指谈判邀请中规定的谈判截止日期及时间）不准启封”的字样，并加盖</w:t>
      </w:r>
      <w:r>
        <w:rPr>
          <w:rFonts w:hint="eastAsia" w:ascii="宋体" w:hAnsi="宋体" w:cs="Arial"/>
          <w:sz w:val="24"/>
        </w:rPr>
        <w:t>谈判供应商</w:t>
      </w:r>
      <w:r>
        <w:rPr>
          <w:rFonts w:hint="eastAsia" w:ascii="宋体" w:hAnsi="宋体"/>
          <w:sz w:val="24"/>
        </w:rPr>
        <w:t>公章。</w:t>
      </w:r>
    </w:p>
    <w:p>
      <w:pPr>
        <w:spacing w:line="400" w:lineRule="exact"/>
        <w:rPr>
          <w:rFonts w:ascii="宋体" w:hAnsi="宋体"/>
          <w:sz w:val="24"/>
        </w:rPr>
      </w:pPr>
      <w:r>
        <w:rPr>
          <w:rFonts w:hint="eastAsia" w:ascii="宋体" w:hAnsi="宋体"/>
          <w:sz w:val="24"/>
        </w:rPr>
        <w:t xml:space="preserve">    14.3如果谈判响应文件由邮局或专人送交，</w:t>
      </w:r>
      <w:r>
        <w:rPr>
          <w:rFonts w:hint="eastAsia" w:ascii="宋体" w:hAnsi="宋体" w:cs="Arial"/>
          <w:sz w:val="24"/>
        </w:rPr>
        <w:t>谈判供应商</w:t>
      </w:r>
      <w:r>
        <w:rPr>
          <w:rFonts w:hint="eastAsia" w:ascii="宋体" w:hAnsi="宋体"/>
          <w:sz w:val="24"/>
        </w:rPr>
        <w:t>应将谈判响应文件按照本须知第14.1条至第14.2条的规定进行密封和标记后，按</w:t>
      </w:r>
      <w:r>
        <w:rPr>
          <w:rFonts w:hint="eastAsia" w:ascii="宋体" w:hAnsi="宋体" w:cs="Arial"/>
          <w:sz w:val="24"/>
        </w:rPr>
        <w:t>谈判供应商</w:t>
      </w:r>
      <w:r>
        <w:rPr>
          <w:rFonts w:hint="eastAsia" w:ascii="宋体" w:hAnsi="宋体"/>
          <w:sz w:val="24"/>
        </w:rPr>
        <w:t>须知前附表注明的地址送至接收人。</w:t>
      </w:r>
    </w:p>
    <w:p>
      <w:pPr>
        <w:spacing w:line="400" w:lineRule="exact"/>
        <w:rPr>
          <w:rFonts w:ascii="宋体" w:hAnsi="宋体"/>
          <w:sz w:val="24"/>
        </w:rPr>
      </w:pPr>
      <w:r>
        <w:rPr>
          <w:rFonts w:hint="eastAsia" w:ascii="宋体" w:hAnsi="宋体"/>
          <w:sz w:val="24"/>
        </w:rPr>
        <w:t xml:space="preserve">    14.4如果未按上述规定进行密封和标记，采购代理机构将不承担由此造成的对谈判响应文件的误投或提前拆封的责任。</w:t>
      </w:r>
    </w:p>
    <w:p>
      <w:pPr>
        <w:spacing w:line="400" w:lineRule="exact"/>
        <w:rPr>
          <w:rFonts w:ascii="宋体" w:hAnsi="宋体"/>
          <w:sz w:val="24"/>
        </w:rPr>
      </w:pPr>
      <w:r>
        <w:rPr>
          <w:rFonts w:hint="eastAsia" w:ascii="宋体" w:hAnsi="宋体"/>
          <w:sz w:val="24"/>
        </w:rPr>
        <w:t xml:space="preserve">    14.5谈判响应文件应在谈判邀请中规定的截止时间前送达，迟到的谈判响应文件为无效谈判响应文件, 将被拒收。</w:t>
      </w:r>
    </w:p>
    <w:p>
      <w:pPr>
        <w:spacing w:line="400" w:lineRule="exact"/>
        <w:ind w:firstLine="480"/>
        <w:rPr>
          <w:rFonts w:ascii="宋体" w:hAnsi="宋体"/>
          <w:sz w:val="24"/>
        </w:rPr>
      </w:pPr>
      <w:r>
        <w:rPr>
          <w:rFonts w:hint="eastAsia" w:ascii="宋体" w:hAnsi="宋体"/>
          <w:sz w:val="24"/>
        </w:rPr>
        <w:t>14.6</w:t>
      </w:r>
      <w:r>
        <w:rPr>
          <w:rFonts w:hint="eastAsia" w:ascii="宋体" w:hAnsi="宋体" w:cs="Arial"/>
          <w:sz w:val="24"/>
        </w:rPr>
        <w:t>谈判供应商</w:t>
      </w:r>
      <w:r>
        <w:rPr>
          <w:rFonts w:hint="eastAsia" w:ascii="宋体" w:hAnsi="宋体"/>
          <w:sz w:val="24"/>
        </w:rPr>
        <w:t>在谈判截止时间前，可以对所提交的谈判响应文件进行修改或者撤回，并书面通知采购代理机构。修改的内容和撤回通知应当按本须知要求签署、盖章、密封，并作为谈判响应文件的组成部分。</w:t>
      </w:r>
    </w:p>
    <w:p>
      <w:pPr>
        <w:spacing w:line="400" w:lineRule="exact"/>
        <w:ind w:firstLine="480"/>
        <w:rPr>
          <w:rFonts w:ascii="宋体" w:hAnsi="宋体"/>
          <w:sz w:val="24"/>
        </w:rPr>
      </w:pPr>
      <w:r>
        <w:rPr>
          <w:rFonts w:hint="eastAsia" w:ascii="宋体" w:hAnsi="宋体"/>
          <w:sz w:val="24"/>
        </w:rPr>
        <w:t>14.7</w:t>
      </w:r>
      <w:r>
        <w:rPr>
          <w:rFonts w:hint="eastAsia" w:ascii="宋体" w:hAnsi="宋体" w:cs="Arial"/>
          <w:sz w:val="24"/>
        </w:rPr>
        <w:t>谈判供应商</w:t>
      </w:r>
      <w:r>
        <w:rPr>
          <w:rFonts w:hint="eastAsia" w:ascii="宋体" w:hAnsi="宋体"/>
          <w:sz w:val="24"/>
        </w:rPr>
        <w:t>在谈判截止期后不得修改、撤回谈判响应文件。</w:t>
      </w:r>
      <w:r>
        <w:rPr>
          <w:rFonts w:hint="eastAsia" w:ascii="宋体" w:hAnsi="宋体" w:cs="Arial"/>
          <w:sz w:val="24"/>
        </w:rPr>
        <w:t>谈判供应商</w:t>
      </w:r>
      <w:r>
        <w:rPr>
          <w:rFonts w:hint="eastAsia" w:ascii="宋体" w:hAnsi="宋体"/>
          <w:sz w:val="24"/>
        </w:rPr>
        <w:t>在谈判截止期后修改谈判响应文件的，其谈判响应被拒绝。</w:t>
      </w:r>
    </w:p>
    <w:p>
      <w:pPr>
        <w:spacing w:line="400" w:lineRule="exact"/>
        <w:ind w:firstLine="480"/>
        <w:rPr>
          <w:rFonts w:ascii="宋体" w:hAnsi="宋体"/>
          <w:sz w:val="21"/>
          <w:szCs w:val="21"/>
        </w:rPr>
      </w:pPr>
      <w:r>
        <w:rPr>
          <w:rFonts w:hint="eastAsia" w:ascii="宋体" w:hAnsi="宋体"/>
          <w:sz w:val="24"/>
        </w:rPr>
        <w:t>14.8谈判小组要求谈判响应供应商的承诺书与谈判响应文件一样具有法律效力。</w:t>
      </w:r>
    </w:p>
    <w:p>
      <w:pPr>
        <w:keepNext/>
        <w:keepLines/>
        <w:spacing w:line="400" w:lineRule="exact"/>
        <w:jc w:val="center"/>
        <w:outlineLvl w:val="1"/>
        <w:rPr>
          <w:rFonts w:ascii="宋体" w:hAnsi="宋体"/>
          <w:b/>
          <w:bCs/>
          <w:szCs w:val="28"/>
        </w:rPr>
      </w:pPr>
      <w:bookmarkStart w:id="84" w:name="_Toc381371635"/>
      <w:bookmarkStart w:id="85" w:name="_Toc313890566"/>
      <w:bookmarkStart w:id="86" w:name="_Toc410144288"/>
      <w:bookmarkStart w:id="87" w:name="_Toc531349536"/>
      <w:bookmarkStart w:id="88" w:name="_Toc345597862"/>
      <w:r>
        <w:rPr>
          <w:rFonts w:hint="eastAsia" w:ascii="宋体" w:hAnsi="宋体"/>
          <w:b/>
          <w:bCs/>
          <w:szCs w:val="28"/>
        </w:rPr>
        <w:t>五、</w:t>
      </w:r>
      <w:bookmarkStart w:id="89" w:name="_Toc295407636"/>
      <w:bookmarkStart w:id="90" w:name="_Toc295407109"/>
      <w:bookmarkStart w:id="91" w:name="_Toc310437154"/>
      <w:r>
        <w:rPr>
          <w:rFonts w:hint="eastAsia" w:ascii="宋体" w:hAnsi="宋体"/>
          <w:b/>
          <w:bCs/>
          <w:szCs w:val="28"/>
        </w:rPr>
        <w:t>谈判</w:t>
      </w:r>
      <w:bookmarkEnd w:id="89"/>
      <w:bookmarkEnd w:id="90"/>
      <w:r>
        <w:rPr>
          <w:rFonts w:hint="eastAsia" w:ascii="宋体" w:hAnsi="宋体"/>
          <w:b/>
          <w:bCs/>
          <w:szCs w:val="28"/>
        </w:rPr>
        <w:t>内容与谈判程序</w:t>
      </w:r>
      <w:bookmarkEnd w:id="84"/>
      <w:bookmarkEnd w:id="85"/>
      <w:bookmarkEnd w:id="86"/>
      <w:bookmarkEnd w:id="87"/>
      <w:bookmarkEnd w:id="88"/>
      <w:bookmarkEnd w:id="91"/>
    </w:p>
    <w:p>
      <w:pPr>
        <w:spacing w:line="400" w:lineRule="exact"/>
        <w:rPr>
          <w:rFonts w:ascii="宋体" w:hAnsi="宋体"/>
          <w:sz w:val="24"/>
        </w:rPr>
      </w:pPr>
      <w:bookmarkStart w:id="92" w:name="_Toc410144289"/>
      <w:bookmarkStart w:id="93" w:name="_Toc394565010"/>
      <w:bookmarkStart w:id="94" w:name="_Toc386962566"/>
      <w:bookmarkStart w:id="95" w:name="_Toc409767563"/>
      <w:bookmarkStart w:id="96" w:name="_Toc393464106"/>
      <w:bookmarkStart w:id="97" w:name="_Toc404948849"/>
      <w:bookmarkStart w:id="98" w:name="_Toc403632323"/>
      <w:bookmarkStart w:id="99" w:name="_Toc313890567"/>
      <w:bookmarkStart w:id="100" w:name="_Toc403120626"/>
      <w:r>
        <w:rPr>
          <w:rFonts w:hint="eastAsia" w:ascii="宋体" w:hAnsi="宋体"/>
          <w:sz w:val="24"/>
        </w:rPr>
        <w:t>15、谈判内容</w:t>
      </w:r>
    </w:p>
    <w:p>
      <w:pPr>
        <w:spacing w:line="400" w:lineRule="exact"/>
        <w:ind w:firstLine="480"/>
        <w:rPr>
          <w:rFonts w:ascii="宋体" w:hAnsi="宋体"/>
          <w:sz w:val="24"/>
        </w:rPr>
      </w:pPr>
      <w:r>
        <w:rPr>
          <w:rFonts w:hint="eastAsia" w:ascii="宋体" w:hAnsi="宋体"/>
          <w:sz w:val="24"/>
        </w:rPr>
        <w:t>15.1技术方案、技术要求的响应、优化程度；</w:t>
      </w:r>
    </w:p>
    <w:p>
      <w:pPr>
        <w:spacing w:line="400" w:lineRule="exact"/>
        <w:ind w:firstLine="480"/>
        <w:rPr>
          <w:rFonts w:ascii="宋体" w:hAnsi="宋体"/>
          <w:sz w:val="24"/>
        </w:rPr>
      </w:pPr>
      <w:r>
        <w:rPr>
          <w:rFonts w:hint="eastAsia" w:ascii="宋体" w:hAnsi="宋体"/>
          <w:sz w:val="24"/>
        </w:rPr>
        <w:t>15.2商务响应情况，质量保证期，售后服务承诺等；</w:t>
      </w:r>
    </w:p>
    <w:p>
      <w:pPr>
        <w:spacing w:line="400" w:lineRule="exact"/>
        <w:ind w:firstLine="480"/>
        <w:rPr>
          <w:rFonts w:ascii="宋体" w:hAnsi="宋体"/>
          <w:sz w:val="24"/>
        </w:rPr>
      </w:pPr>
      <w:r>
        <w:rPr>
          <w:rFonts w:hint="eastAsia" w:ascii="宋体" w:hAnsi="宋体"/>
          <w:sz w:val="24"/>
        </w:rPr>
        <w:t>15.3谈判初始报价及谈判最后报价；</w:t>
      </w:r>
    </w:p>
    <w:p>
      <w:pPr>
        <w:spacing w:line="400" w:lineRule="exact"/>
        <w:ind w:firstLine="480"/>
        <w:rPr>
          <w:rFonts w:ascii="宋体" w:hAnsi="宋体"/>
          <w:sz w:val="24"/>
        </w:rPr>
      </w:pPr>
      <w:r>
        <w:rPr>
          <w:rFonts w:hint="eastAsia" w:ascii="宋体" w:hAnsi="宋体"/>
          <w:sz w:val="24"/>
        </w:rPr>
        <w:t>15.4其他谈判文件要求的因素。</w:t>
      </w:r>
    </w:p>
    <w:p>
      <w:pPr>
        <w:spacing w:line="400" w:lineRule="exact"/>
        <w:rPr>
          <w:rFonts w:ascii="宋体" w:hAnsi="宋体"/>
          <w:sz w:val="24"/>
        </w:rPr>
      </w:pPr>
      <w:r>
        <w:rPr>
          <w:rFonts w:hint="eastAsia" w:ascii="宋体" w:hAnsi="宋体"/>
          <w:sz w:val="24"/>
        </w:rPr>
        <w:t>16、谈判要求</w:t>
      </w:r>
    </w:p>
    <w:p>
      <w:pPr>
        <w:spacing w:line="400" w:lineRule="exact"/>
        <w:ind w:firstLine="480"/>
        <w:rPr>
          <w:rFonts w:ascii="宋体" w:hAnsi="宋体"/>
          <w:sz w:val="24"/>
        </w:rPr>
      </w:pPr>
      <w:r>
        <w:rPr>
          <w:rFonts w:hint="eastAsia" w:ascii="宋体" w:hAnsi="宋体"/>
          <w:sz w:val="24"/>
        </w:rPr>
        <w:t>16.1 供应商按照谈判文件的规定，编写和递送响应文件。</w:t>
      </w:r>
    </w:p>
    <w:p>
      <w:pPr>
        <w:spacing w:line="400" w:lineRule="exact"/>
        <w:ind w:firstLine="480"/>
        <w:rPr>
          <w:rFonts w:ascii="宋体" w:hAnsi="宋体"/>
          <w:sz w:val="24"/>
        </w:rPr>
      </w:pPr>
      <w:r>
        <w:rPr>
          <w:rFonts w:hint="eastAsia" w:ascii="宋体" w:hAnsi="宋体"/>
          <w:sz w:val="24"/>
        </w:rPr>
        <w:t>16.2 供应商应对谈判小组在谈判过程中提出的问题做出明确的书面应答。</w:t>
      </w:r>
    </w:p>
    <w:p>
      <w:pPr>
        <w:spacing w:line="400" w:lineRule="exact"/>
        <w:ind w:firstLine="480"/>
        <w:rPr>
          <w:rFonts w:ascii="宋体" w:hAnsi="宋体"/>
          <w:sz w:val="24"/>
        </w:rPr>
      </w:pPr>
      <w:r>
        <w:rPr>
          <w:rFonts w:hint="eastAsia" w:ascii="宋体" w:hAnsi="宋体"/>
          <w:sz w:val="24"/>
        </w:rPr>
        <w:t>16.3 谈判代表在谈判过程中所做出的承诺是供应商响应文件的一部分，供应商负有履行责任。</w:t>
      </w:r>
    </w:p>
    <w:p>
      <w:pPr>
        <w:spacing w:line="400" w:lineRule="exact"/>
        <w:ind w:firstLine="480"/>
        <w:rPr>
          <w:rFonts w:ascii="宋体" w:hAnsi="宋体"/>
          <w:sz w:val="24"/>
        </w:rPr>
      </w:pPr>
      <w:r>
        <w:rPr>
          <w:rFonts w:hint="eastAsia" w:ascii="宋体" w:hAnsi="宋体"/>
          <w:sz w:val="24"/>
        </w:rPr>
        <w:t>16.4 谈判代表所做的承诺与响应文件有不一致的，以谈判代表最后的书面承诺为准。</w:t>
      </w:r>
    </w:p>
    <w:p>
      <w:pPr>
        <w:spacing w:line="400" w:lineRule="exact"/>
        <w:rPr>
          <w:rFonts w:ascii="宋体" w:hAnsi="宋体"/>
          <w:sz w:val="24"/>
        </w:rPr>
      </w:pPr>
      <w:r>
        <w:rPr>
          <w:rFonts w:hint="eastAsia" w:ascii="宋体" w:hAnsi="宋体"/>
          <w:sz w:val="24"/>
        </w:rPr>
        <w:t>17、谈判程序</w:t>
      </w:r>
    </w:p>
    <w:p>
      <w:pPr>
        <w:spacing w:line="400" w:lineRule="exact"/>
        <w:ind w:firstLine="480"/>
        <w:rPr>
          <w:rFonts w:ascii="宋体" w:hAnsi="宋体"/>
          <w:sz w:val="24"/>
        </w:rPr>
      </w:pPr>
      <w:r>
        <w:rPr>
          <w:rFonts w:hint="eastAsia" w:ascii="宋体" w:hAnsi="宋体"/>
          <w:sz w:val="24"/>
        </w:rPr>
        <w:t>17.1采购人与采购代理机构共同编制谈判文件，并在相关媒体网站上发布采购信息公告，公开征集谈判响应供应商。</w:t>
      </w:r>
    </w:p>
    <w:p>
      <w:pPr>
        <w:spacing w:line="400" w:lineRule="exact"/>
        <w:ind w:firstLine="480"/>
        <w:rPr>
          <w:rFonts w:ascii="宋体" w:hAnsi="宋体"/>
          <w:sz w:val="24"/>
        </w:rPr>
      </w:pPr>
      <w:r>
        <w:rPr>
          <w:rFonts w:hint="eastAsia" w:ascii="宋体" w:hAnsi="宋体"/>
          <w:sz w:val="24"/>
        </w:rPr>
        <w:t>17.2采购代理机构向报名的每个供应商提供谈判文件，使之在平等的条件下参加谈判。并按谈判文件规定的时间内接受供应商递交的响应文件。</w:t>
      </w:r>
    </w:p>
    <w:p>
      <w:pPr>
        <w:spacing w:line="400" w:lineRule="exact"/>
        <w:ind w:firstLine="480"/>
        <w:rPr>
          <w:rFonts w:ascii="宋体" w:hAnsi="宋体"/>
          <w:sz w:val="24"/>
        </w:rPr>
      </w:pPr>
      <w:r>
        <w:rPr>
          <w:rFonts w:hint="eastAsia" w:ascii="宋体" w:hAnsi="宋体"/>
          <w:sz w:val="24"/>
        </w:rPr>
        <w:t>17.3采购代理机构按有关规定组建谈判小组，对谈判文件进行审核论证，并确认谈判文件。在谈判过程中，若谈判小组对谈判文件采购需求的技术、服务要求以及合同草案条款作实质性修改的，经采购人代表确认后将以书面的形式通知已递交响应文件的各供应商，该书面通知将作为谈判文件的组成部分。</w:t>
      </w:r>
    </w:p>
    <w:p>
      <w:pPr>
        <w:spacing w:line="400" w:lineRule="exact"/>
        <w:ind w:firstLine="480"/>
        <w:rPr>
          <w:rFonts w:ascii="宋体" w:hAnsi="宋体"/>
          <w:sz w:val="24"/>
        </w:rPr>
      </w:pPr>
      <w:r>
        <w:rPr>
          <w:rFonts w:hint="eastAsia" w:ascii="宋体" w:hAnsi="宋体"/>
          <w:sz w:val="24"/>
        </w:rPr>
        <w:t>17.4谈判小组对递交响应文件的供应商进行初步审查（即资格及符合性审查），以确定其是否具备受邀参与谈判的资格，审查内容包括：①首先谈判小组根据谈判文件要求对供应商资格及符合性审查和谈判文件中的“★”号条款（具体详见谈判响应供应商须知前附表）的响应情况进行审核，经审核符合要求的供应商进入谈判程序，不符合要求的其谈判无效，不再继续参加谈判。②在首次响应文件递交截止时间前未交纳保证金的供应商，其谈判无效，不再继续参加谈判。③谈判响应文件未经授权代表人签字并加盖公章；或签字人未经法定代表人有效授权委托的，其谈判无效，不再继续参加谈判；</w:t>
      </w:r>
    </w:p>
    <w:p>
      <w:pPr>
        <w:spacing w:line="400" w:lineRule="exact"/>
        <w:ind w:firstLine="480"/>
        <w:rPr>
          <w:rFonts w:ascii="宋体" w:hAnsi="宋体"/>
          <w:sz w:val="24"/>
        </w:rPr>
      </w:pPr>
      <w:r>
        <w:rPr>
          <w:rFonts w:hint="eastAsia" w:ascii="宋体" w:hAnsi="宋体"/>
          <w:sz w:val="24"/>
        </w:rPr>
        <w:t>谈判小组确定邀请已递交响应文件且通过上述审查的供应商继续参加谈判。未通过的供应商，将不被邀请继续参加谈判。</w:t>
      </w:r>
    </w:p>
    <w:p>
      <w:pPr>
        <w:spacing w:line="400" w:lineRule="exact"/>
        <w:ind w:firstLine="480"/>
        <w:rPr>
          <w:rFonts w:ascii="宋体" w:hAnsi="宋体"/>
          <w:sz w:val="24"/>
        </w:rPr>
      </w:pPr>
      <w:r>
        <w:rPr>
          <w:rFonts w:hint="eastAsia" w:ascii="宋体" w:hAnsi="宋体"/>
          <w:sz w:val="24"/>
        </w:rPr>
        <w:t>17.5 谈判小组在对谈判响应文件的有效性、完整性和响应程度进行审查时，可以要求供应商对谈判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00" w:lineRule="exact"/>
        <w:ind w:firstLine="480"/>
        <w:rPr>
          <w:rFonts w:ascii="宋体" w:hAnsi="宋体"/>
          <w:sz w:val="24"/>
        </w:rPr>
      </w:pPr>
      <w:r>
        <w:rPr>
          <w:rFonts w:hint="eastAsia" w:ascii="宋体" w:hAnsi="宋体"/>
          <w:sz w:val="24"/>
        </w:rPr>
        <w:t>17.6 根据谈判文件的相关规定，谈判小组将根据评审的情况与受邀的供应商进行一轮或多轮谈判。</w:t>
      </w:r>
    </w:p>
    <w:p>
      <w:pPr>
        <w:spacing w:line="400" w:lineRule="exact"/>
        <w:ind w:firstLine="480"/>
        <w:rPr>
          <w:rFonts w:ascii="宋体" w:hAnsi="宋体"/>
          <w:sz w:val="24"/>
        </w:rPr>
      </w:pPr>
      <w:r>
        <w:rPr>
          <w:rFonts w:hint="eastAsia" w:ascii="宋体" w:hAnsi="宋体"/>
          <w:sz w:val="24"/>
        </w:rPr>
        <w:t>17.7每轮谈判结束后由谈判小组决定是否需要进行下一轮谈判，如需要进行下一轮谈判，采购代理机构将通知谈判响应供应商下一轮谈判的时间。除非谈判文件的采购需求的技术、服务要求以及合同草案条款有实质性变动的，否则后一次的报价不得高于前一次的报价。若出现后一次的报价高于前一次报价的，则后一次的报价无效，以前一次的报价为准。</w:t>
      </w:r>
    </w:p>
    <w:p>
      <w:pPr>
        <w:spacing w:line="400" w:lineRule="exact"/>
        <w:ind w:firstLine="480"/>
        <w:rPr>
          <w:rFonts w:ascii="宋体" w:hAnsi="宋体"/>
          <w:sz w:val="24"/>
        </w:rPr>
      </w:pPr>
      <w:r>
        <w:rPr>
          <w:rFonts w:hint="eastAsia" w:ascii="宋体" w:hAnsi="宋体"/>
          <w:sz w:val="24"/>
        </w:rPr>
        <w:t>17.8在谈判过程中，如果谈判文件的采购需求的技术、服务要求以及合同草案条款有实质性变动的，经采购人代表确认后谈判小组应当以书面形式通知所有参加谈判的供应商，以便使每个供应商都有同等机会根据修改后的谈判条件提出新的或修改了的承诺及报价。</w:t>
      </w:r>
    </w:p>
    <w:p>
      <w:pPr>
        <w:spacing w:line="400" w:lineRule="exact"/>
        <w:ind w:firstLine="360" w:firstLineChars="150"/>
        <w:rPr>
          <w:rFonts w:ascii="宋体" w:hAnsi="宋体"/>
          <w:sz w:val="24"/>
        </w:rPr>
      </w:pPr>
      <w:r>
        <w:rPr>
          <w:rFonts w:hint="eastAsia" w:ascii="宋体" w:hAnsi="宋体"/>
          <w:sz w:val="24"/>
        </w:rPr>
        <w:t>17.9 在谈判过程中，采购人、采购代理机构和谈判响应供应商要严格遵循保密的原则，任何一方不得向其他供应商透露与谈判有关的其他供应商的技术资料、价格和其他信息。</w:t>
      </w:r>
    </w:p>
    <w:p>
      <w:pPr>
        <w:spacing w:line="400" w:lineRule="exact"/>
        <w:ind w:firstLine="480"/>
        <w:rPr>
          <w:rFonts w:ascii="宋体" w:hAnsi="宋体"/>
          <w:sz w:val="24"/>
        </w:rPr>
      </w:pPr>
      <w:r>
        <w:rPr>
          <w:rFonts w:hint="eastAsia" w:ascii="宋体" w:hAnsi="宋体"/>
          <w:sz w:val="24"/>
        </w:rPr>
        <w:t>17.10 谈判结束后，谈判响应供应商应在与谈判小组谈判结果的基础上，按照谈判要求作出谈判承诺，最终承诺分为技术商务承诺及最后报价两部分，供应商在规定的时间内作出承诺，并分开密封，统一交给采购代理机构工作人员。</w:t>
      </w:r>
    </w:p>
    <w:p>
      <w:pPr>
        <w:spacing w:line="400" w:lineRule="exact"/>
        <w:ind w:firstLine="480"/>
        <w:rPr>
          <w:rFonts w:ascii="宋体" w:hAnsi="宋体"/>
          <w:sz w:val="24"/>
        </w:rPr>
      </w:pPr>
      <w:r>
        <w:rPr>
          <w:rFonts w:hint="eastAsia" w:ascii="宋体" w:hAnsi="宋体"/>
          <w:sz w:val="24"/>
        </w:rPr>
        <w:t>17.11 采购代理机构工作人员首先开启谈判响应供应商递交的技术商务承诺，然后开启最终报价。并对“质量和服务均能满足谈判文件实质性要求”的谈判响应供应商的价格进行评审（若“质量和服务均能满足谈判文件实质性要求”的有效谈判响应供应商不足的，则按本谈判文件中的“谈判失败界定”执行），按照谈判文件规定的推荐候选成交供应商的办法确定成交候选供应商的推荐顺序。采购代理机构将成交结果通知所有参加谈判的供应商。</w:t>
      </w:r>
    </w:p>
    <w:p>
      <w:pPr>
        <w:spacing w:line="400" w:lineRule="exact"/>
        <w:ind w:firstLine="480"/>
        <w:rPr>
          <w:rFonts w:ascii="宋体" w:hAnsi="宋体"/>
          <w:sz w:val="24"/>
        </w:rPr>
      </w:pPr>
      <w:r>
        <w:rPr>
          <w:rFonts w:hint="eastAsia" w:ascii="宋体" w:hAnsi="宋体"/>
          <w:sz w:val="24"/>
        </w:rPr>
        <w:t>17.12谈判响应供应商不得干扰采购代理机构组织评审活动，不得干扰谈判小组的评审，否则将其作无效谈判处理。</w:t>
      </w:r>
    </w:p>
    <w:p>
      <w:pPr>
        <w:spacing w:line="400" w:lineRule="exact"/>
        <w:ind w:firstLine="480"/>
        <w:rPr>
          <w:rFonts w:ascii="宋体" w:hAnsi="宋体"/>
          <w:sz w:val="24"/>
        </w:rPr>
      </w:pPr>
      <w:r>
        <w:rPr>
          <w:rFonts w:hint="eastAsia" w:ascii="宋体" w:hAnsi="宋体"/>
          <w:sz w:val="24"/>
        </w:rPr>
        <w:t>17.13 参加谈判的相关人员不得将有关响应文件的审查、澄清、评估和比较以及会影响谈判工作的一切情况透露给任一谈判响应供应商或与上述谈判工作无关的人员。</w:t>
      </w:r>
    </w:p>
    <w:p>
      <w:pPr>
        <w:spacing w:line="400" w:lineRule="exact"/>
        <w:rPr>
          <w:rFonts w:ascii="宋体" w:hAnsi="宋体"/>
          <w:sz w:val="24"/>
        </w:rPr>
      </w:pPr>
      <w:r>
        <w:rPr>
          <w:rFonts w:hint="eastAsia" w:ascii="宋体" w:hAnsi="宋体"/>
          <w:sz w:val="24"/>
        </w:rPr>
        <w:t>18、谈判失败界定</w:t>
      </w:r>
    </w:p>
    <w:p>
      <w:pPr>
        <w:spacing w:line="400" w:lineRule="exact"/>
        <w:ind w:firstLine="480"/>
        <w:rPr>
          <w:rFonts w:ascii="宋体" w:hAnsi="宋体"/>
          <w:sz w:val="24"/>
        </w:rPr>
      </w:pPr>
      <w:bookmarkStart w:id="101" w:name="_Toc441500070"/>
      <w:bookmarkStart w:id="102" w:name="_Toc445901129"/>
      <w:bookmarkStart w:id="103" w:name="_Toc439661731"/>
      <w:bookmarkStart w:id="104" w:name="_Toc449373772"/>
      <w:bookmarkStart w:id="105" w:name="_Toc440899515"/>
      <w:bookmarkStart w:id="106" w:name="_Toc418522815"/>
      <w:bookmarkStart w:id="107" w:name="_Toc457383223"/>
      <w:bookmarkStart w:id="108" w:name="_Toc422906617"/>
      <w:bookmarkStart w:id="109" w:name="_Toc420577581"/>
      <w:bookmarkStart w:id="110" w:name="_Toc445748261"/>
      <w:bookmarkStart w:id="111" w:name="_Toc444614425"/>
      <w:bookmarkStart w:id="112" w:name="_Toc441224335"/>
      <w:bookmarkStart w:id="113" w:name="_Toc445991603"/>
      <w:bookmarkStart w:id="114" w:name="_Toc462647056"/>
      <w:bookmarkStart w:id="115" w:name="_Toc422416153"/>
      <w:bookmarkStart w:id="116" w:name="_Toc425266324"/>
      <w:bookmarkStart w:id="117" w:name="_Toc421773672"/>
      <w:bookmarkStart w:id="118" w:name="_Toc449635679"/>
      <w:r>
        <w:rPr>
          <w:rFonts w:hint="eastAsia" w:ascii="宋体" w:hAnsi="宋体"/>
          <w:sz w:val="24"/>
        </w:rPr>
        <w:t>18.1 本项目若属于首次进行竞争性谈判采购的，在采购过程中出现下列情况的，本次谈判失败：</w:t>
      </w:r>
    </w:p>
    <w:p>
      <w:pPr>
        <w:spacing w:line="400" w:lineRule="exact"/>
        <w:ind w:firstLine="480"/>
        <w:rPr>
          <w:rFonts w:ascii="宋体" w:hAnsi="宋体"/>
          <w:sz w:val="24"/>
        </w:rPr>
      </w:pPr>
      <w:r>
        <w:rPr>
          <w:rFonts w:hint="eastAsia" w:ascii="宋体" w:hAnsi="宋体"/>
          <w:sz w:val="24"/>
        </w:rPr>
        <w:t>（1）在规定的时间前递交首次响应文件的供应商不足三家的；</w:t>
      </w:r>
    </w:p>
    <w:p>
      <w:pPr>
        <w:spacing w:line="400" w:lineRule="exact"/>
        <w:ind w:firstLine="480"/>
        <w:rPr>
          <w:rFonts w:ascii="宋体" w:hAnsi="宋体"/>
          <w:sz w:val="24"/>
        </w:rPr>
      </w:pPr>
      <w:r>
        <w:rPr>
          <w:rFonts w:hint="eastAsia" w:ascii="宋体" w:hAnsi="宋体"/>
          <w:sz w:val="24"/>
        </w:rPr>
        <w:t>（2）质量和服务均能满足采购文件实质性要求的有效供应商不足三家的；</w:t>
      </w:r>
    </w:p>
    <w:p>
      <w:pPr>
        <w:spacing w:line="400" w:lineRule="exact"/>
        <w:ind w:firstLine="480"/>
        <w:rPr>
          <w:rFonts w:ascii="宋体" w:hAnsi="宋体"/>
          <w:sz w:val="24"/>
        </w:rPr>
      </w:pPr>
      <w:r>
        <w:rPr>
          <w:rFonts w:hint="eastAsia" w:ascii="宋体" w:hAnsi="宋体"/>
          <w:sz w:val="24"/>
        </w:rPr>
        <w:t>（3）首次报价或最终报价未超过采购最高限价的有效供应商不足三家的。</w:t>
      </w:r>
    </w:p>
    <w:p>
      <w:pPr>
        <w:spacing w:line="400" w:lineRule="exact"/>
        <w:ind w:firstLine="480"/>
        <w:rPr>
          <w:rFonts w:ascii="宋体" w:hAnsi="宋体"/>
          <w:sz w:val="24"/>
        </w:rPr>
      </w:pPr>
      <w:r>
        <w:rPr>
          <w:rFonts w:hint="eastAsia" w:ascii="宋体" w:hAnsi="宋体"/>
          <w:sz w:val="24"/>
        </w:rPr>
        <w:t>18.2本项目若属于首次竞争性谈判采购失败后进行的第二次谈判活动的，根据谈判文件的规定，若资格性与符合性检查合格的谈判响应供应商只有两家的，谈判小组可以与两家供应商进行谈判并按《谈判响应供应商须知前附表》中评审办法推荐成交候选供应商；只有1家响应的，谈判小组按照符合采购需求、报价合理的原则推荐成交供应商。在采购过程中出现下列情况的，本次竞争性谈判失败：</w:t>
      </w:r>
    </w:p>
    <w:p>
      <w:pPr>
        <w:spacing w:line="400" w:lineRule="exact"/>
        <w:ind w:firstLine="480"/>
        <w:rPr>
          <w:rFonts w:ascii="宋体" w:hAnsi="宋体"/>
          <w:sz w:val="24"/>
        </w:rPr>
      </w:pPr>
      <w:r>
        <w:rPr>
          <w:rFonts w:hint="eastAsia" w:ascii="宋体" w:hAnsi="宋体"/>
          <w:sz w:val="24"/>
        </w:rPr>
        <w:t>（1）经谈判，无供应商作出实质性响应；</w:t>
      </w:r>
    </w:p>
    <w:p>
      <w:pPr>
        <w:pStyle w:val="3"/>
        <w:keepNext w:val="0"/>
        <w:keepLines w:val="0"/>
        <w:spacing w:before="0" w:after="0" w:line="400" w:lineRule="exact"/>
        <w:ind w:firstLine="482"/>
        <w:rPr>
          <w:rFonts w:ascii="宋体" w:hAnsi="宋体" w:eastAsia="宋体"/>
          <w:b w:val="0"/>
          <w:bCs w:val="0"/>
          <w:sz w:val="24"/>
          <w:szCs w:val="24"/>
        </w:rPr>
      </w:pPr>
      <w:bookmarkStart w:id="119" w:name="_Toc434253871"/>
      <w:bookmarkStart w:id="120" w:name="_Toc436639220"/>
      <w:bookmarkStart w:id="121" w:name="_Toc466297296"/>
      <w:bookmarkStart w:id="122" w:name="_Toc531349537"/>
      <w:bookmarkStart w:id="123" w:name="_Toc466045702"/>
      <w:bookmarkStart w:id="124" w:name="_Toc492492872"/>
      <w:bookmarkStart w:id="125" w:name="_Toc531349062"/>
      <w:bookmarkStart w:id="126" w:name="_Toc467591968"/>
      <w:bookmarkStart w:id="127" w:name="_Toc502839689"/>
      <w:bookmarkStart w:id="128" w:name="_Toc519357477"/>
      <w:bookmarkStart w:id="129" w:name="_Toc509407991"/>
      <w:r>
        <w:rPr>
          <w:rFonts w:hint="eastAsia" w:ascii="宋体" w:hAnsi="宋体" w:eastAsia="宋体"/>
          <w:b w:val="0"/>
          <w:bCs w:val="0"/>
          <w:sz w:val="24"/>
          <w:szCs w:val="24"/>
        </w:rPr>
        <w:t>（2）经谈判，所有有效谈判响应供应商的最终报价均超过采购最高限价，采购人无法支付的</w:t>
      </w:r>
      <w:bookmarkEnd w:id="119"/>
      <w:bookmarkEnd w:id="120"/>
      <w:r>
        <w:rPr>
          <w:rFonts w:hint="eastAsia" w:ascii="宋体" w:hAnsi="宋体" w:eastAsia="宋体"/>
          <w:b w:val="0"/>
          <w:bCs w:val="0"/>
          <w:sz w:val="24"/>
          <w:szCs w:val="24"/>
        </w:rPr>
        <w:t>。</w:t>
      </w:r>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21"/>
      <w:bookmarkEnd w:id="122"/>
      <w:bookmarkEnd w:id="123"/>
      <w:bookmarkEnd w:id="124"/>
      <w:bookmarkEnd w:id="125"/>
      <w:bookmarkEnd w:id="126"/>
      <w:bookmarkEnd w:id="127"/>
      <w:bookmarkEnd w:id="128"/>
      <w:bookmarkEnd w:id="129"/>
    </w:p>
    <w:bookmarkEnd w:id="92"/>
    <w:bookmarkEnd w:id="93"/>
    <w:bookmarkEnd w:id="94"/>
    <w:bookmarkEnd w:id="95"/>
    <w:bookmarkEnd w:id="96"/>
    <w:bookmarkEnd w:id="97"/>
    <w:bookmarkEnd w:id="98"/>
    <w:bookmarkEnd w:id="99"/>
    <w:bookmarkEnd w:id="100"/>
    <w:p>
      <w:pPr>
        <w:keepNext/>
        <w:keepLines/>
        <w:spacing w:line="400" w:lineRule="exact"/>
        <w:jc w:val="center"/>
        <w:outlineLvl w:val="1"/>
        <w:rPr>
          <w:rFonts w:ascii="宋体" w:hAnsi="宋体"/>
          <w:b/>
          <w:bCs/>
          <w:szCs w:val="28"/>
        </w:rPr>
      </w:pPr>
      <w:bookmarkStart w:id="130" w:name="_Toc515298095"/>
      <w:bookmarkStart w:id="131" w:name="_Toc531349538"/>
      <w:bookmarkStart w:id="132" w:name="_Toc519356745"/>
      <w:bookmarkStart w:id="133" w:name="_Toc185762838"/>
      <w:bookmarkStart w:id="134" w:name="_Toc338926824"/>
      <w:r>
        <w:rPr>
          <w:rFonts w:hint="eastAsia" w:ascii="宋体" w:hAnsi="宋体"/>
          <w:b/>
          <w:bCs/>
          <w:szCs w:val="28"/>
        </w:rPr>
        <w:t>六、评定标准</w:t>
      </w:r>
      <w:bookmarkEnd w:id="130"/>
      <w:bookmarkEnd w:id="131"/>
      <w:bookmarkEnd w:id="132"/>
    </w:p>
    <w:p>
      <w:pPr>
        <w:spacing w:line="400" w:lineRule="exact"/>
        <w:rPr>
          <w:rFonts w:ascii="宋体" w:hAnsi="宋体"/>
          <w:sz w:val="24"/>
        </w:rPr>
      </w:pPr>
      <w:r>
        <w:rPr>
          <w:rFonts w:hint="eastAsia" w:ascii="宋体" w:hAnsi="宋体"/>
          <w:sz w:val="24"/>
        </w:rPr>
        <w:t>19、评审办法</w:t>
      </w:r>
    </w:p>
    <w:p>
      <w:pPr>
        <w:spacing w:line="400" w:lineRule="exact"/>
        <w:ind w:firstLine="480"/>
        <w:rPr>
          <w:rFonts w:ascii="宋体" w:hAnsi="宋体"/>
          <w:sz w:val="24"/>
        </w:rPr>
      </w:pPr>
      <w:r>
        <w:rPr>
          <w:rFonts w:hint="eastAsia" w:ascii="宋体" w:hAnsi="宋体"/>
          <w:sz w:val="24"/>
        </w:rPr>
        <w:t>19.1本次谈判采用经评审合格最低价成交法，对所有谈判响应供应商的谈判响应文件评审，都采用相同的程序和标准。首先，由谈判小组根据谈判文件要求(无效谈判响应界定)，审核各谈判响应文件是否合格、有效，凡不符合专业条件要求和未实质性响应谈判文件要求的谈判响应均不进入评审程序。</w:t>
      </w:r>
    </w:p>
    <w:p>
      <w:pPr>
        <w:spacing w:line="400" w:lineRule="exact"/>
        <w:ind w:firstLine="480"/>
        <w:rPr>
          <w:rFonts w:ascii="宋体" w:hAnsi="宋体"/>
          <w:sz w:val="24"/>
        </w:rPr>
      </w:pPr>
      <w:r>
        <w:rPr>
          <w:rFonts w:hint="eastAsia" w:ascii="宋体" w:hAnsi="宋体"/>
          <w:sz w:val="24"/>
        </w:rPr>
        <w:t>19.2通过以上审核，有三家或三家以上符合专业条件要求并对谈判文件作出实质性响应的谈判响应供应商，则依照以下评审办法进行评审：</w:t>
      </w:r>
    </w:p>
    <w:p>
      <w:pPr>
        <w:tabs>
          <w:tab w:val="left" w:pos="0"/>
        </w:tabs>
        <w:spacing w:line="400" w:lineRule="exact"/>
        <w:ind w:right="84" w:rightChars="30" w:firstLine="480" w:firstLineChars="200"/>
        <w:rPr>
          <w:rFonts w:ascii="宋体" w:hAnsi="宋体"/>
          <w:sz w:val="24"/>
        </w:rPr>
      </w:pPr>
      <w:r>
        <w:rPr>
          <w:rFonts w:hint="eastAsia" w:ascii="宋体" w:hAnsi="宋体"/>
          <w:sz w:val="24"/>
        </w:rPr>
        <w:t>谈判小组将在谈判响应文件能够满足谈判文件实质性要求的各谈判响应供应商中，根据谈判最终有效报价由低到高推荐候选成交供应商；最终报价相同的，按各谈判响应供应商的售后服务优劣进行推荐；否则，按照随机抽取的顺序确定排名。谈判小组根据以上排列顺序推荐成交候选供应商的成交候选顺序。</w:t>
      </w:r>
    </w:p>
    <w:p>
      <w:pPr>
        <w:spacing w:line="400" w:lineRule="exact"/>
        <w:rPr>
          <w:rFonts w:ascii="宋体" w:hAnsi="宋体"/>
          <w:sz w:val="24"/>
        </w:rPr>
      </w:pPr>
      <w:r>
        <w:rPr>
          <w:rFonts w:hint="eastAsia" w:ascii="宋体" w:hAnsi="宋体"/>
          <w:sz w:val="24"/>
        </w:rPr>
        <w:t>20、确定成交供应商</w:t>
      </w:r>
    </w:p>
    <w:p>
      <w:pPr>
        <w:spacing w:line="400" w:lineRule="exact"/>
        <w:ind w:firstLine="480"/>
        <w:rPr>
          <w:rFonts w:ascii="宋体" w:hAnsi="宋体"/>
          <w:sz w:val="24"/>
        </w:rPr>
      </w:pPr>
      <w:r>
        <w:rPr>
          <w:rFonts w:hint="eastAsia" w:ascii="宋体" w:hAnsi="宋体"/>
          <w:sz w:val="24"/>
        </w:rPr>
        <w:t>20.1 由采购人按照谈判小组推荐的成交候选供应商顺序确定第一成交候选供应商为成交供应商。采购人也可以书面授权谈判小组直接确定成交供应商。采购人逾期未确定成交供应商且不提出异议的，视为确定评审报告提出的最后评审价格最低的供应商为成交供应商。</w:t>
      </w:r>
    </w:p>
    <w:p>
      <w:pPr>
        <w:spacing w:line="400" w:lineRule="exact"/>
        <w:ind w:firstLine="480"/>
        <w:rPr>
          <w:rFonts w:ascii="宋体" w:hAnsi="宋体"/>
          <w:sz w:val="24"/>
        </w:rPr>
      </w:pPr>
      <w:r>
        <w:rPr>
          <w:rFonts w:hint="eastAsia" w:ascii="宋体" w:hAnsi="宋体"/>
          <w:sz w:val="24"/>
        </w:rPr>
        <w:t>20.2 参加谈判的相关人员不得将有关响应文件的审查、澄清、评估和比较以及会影响谈判工作的一切情况透露给任何供应商或与上述谈判工作无关的人员。</w:t>
      </w:r>
    </w:p>
    <w:p>
      <w:pPr>
        <w:spacing w:line="400" w:lineRule="exact"/>
        <w:ind w:firstLine="480"/>
        <w:rPr>
          <w:rFonts w:ascii="宋体" w:hAnsi="宋体"/>
          <w:sz w:val="24"/>
        </w:rPr>
      </w:pPr>
      <w:r>
        <w:rPr>
          <w:rFonts w:hint="eastAsia" w:ascii="宋体" w:hAnsi="宋体"/>
          <w:sz w:val="24"/>
        </w:rPr>
        <w:t>20.3 供应商不得干扰采购代理机构组织谈判活动，否则将被废除谈判资格。</w:t>
      </w:r>
    </w:p>
    <w:p>
      <w:pPr>
        <w:pStyle w:val="3"/>
        <w:spacing w:before="0" w:after="0" w:line="400" w:lineRule="exact"/>
        <w:jc w:val="center"/>
        <w:rPr>
          <w:rFonts w:ascii="宋体" w:hAnsi="宋体" w:eastAsia="宋体"/>
          <w:sz w:val="28"/>
          <w:szCs w:val="28"/>
        </w:rPr>
      </w:pPr>
      <w:bookmarkStart w:id="135" w:name="_Toc515298096"/>
      <w:bookmarkStart w:id="136" w:name="_Toc531349539"/>
      <w:bookmarkStart w:id="137" w:name="_Toc519356746"/>
      <w:r>
        <w:rPr>
          <w:rFonts w:hint="eastAsia" w:ascii="宋体" w:hAnsi="宋体" w:eastAsia="宋体"/>
          <w:sz w:val="28"/>
          <w:szCs w:val="28"/>
        </w:rPr>
        <w:t>七、成交与签订合同</w:t>
      </w:r>
      <w:bookmarkEnd w:id="135"/>
      <w:bookmarkEnd w:id="136"/>
      <w:bookmarkEnd w:id="137"/>
    </w:p>
    <w:p>
      <w:pPr>
        <w:spacing w:line="400" w:lineRule="exact"/>
        <w:rPr>
          <w:rFonts w:ascii="宋体" w:hAnsi="宋体"/>
          <w:sz w:val="24"/>
        </w:rPr>
      </w:pPr>
      <w:r>
        <w:rPr>
          <w:rFonts w:hint="eastAsia" w:ascii="宋体" w:hAnsi="宋体"/>
          <w:sz w:val="24"/>
        </w:rPr>
        <w:t>21.成交准则</w:t>
      </w:r>
    </w:p>
    <w:p>
      <w:pPr>
        <w:spacing w:line="400" w:lineRule="exact"/>
        <w:ind w:firstLine="480"/>
        <w:rPr>
          <w:rFonts w:ascii="宋体" w:hAnsi="宋体"/>
          <w:sz w:val="24"/>
        </w:rPr>
      </w:pPr>
      <w:r>
        <w:rPr>
          <w:rFonts w:hint="eastAsia" w:ascii="宋体" w:hAnsi="宋体"/>
          <w:sz w:val="24"/>
        </w:rPr>
        <w:t>21.1最低谈判响应报价不作为成交的保证。</w:t>
      </w:r>
    </w:p>
    <w:p>
      <w:pPr>
        <w:spacing w:line="400" w:lineRule="exact"/>
        <w:rPr>
          <w:rFonts w:ascii="宋体" w:hAnsi="宋体"/>
          <w:sz w:val="24"/>
        </w:rPr>
      </w:pPr>
      <w:r>
        <w:rPr>
          <w:rFonts w:hint="eastAsia" w:ascii="宋体" w:hAnsi="宋体"/>
          <w:sz w:val="24"/>
        </w:rPr>
        <w:t xml:space="preserve">    21.2谈判响应供应商的谈判响应文件符合谈判文件要求，按谈判文件确定成交标准、方法，经谈判小组评审并推荐成交供应商。</w:t>
      </w:r>
    </w:p>
    <w:p>
      <w:pPr>
        <w:spacing w:line="400" w:lineRule="exact"/>
        <w:rPr>
          <w:rFonts w:ascii="宋体" w:hAnsi="宋体"/>
          <w:sz w:val="24"/>
        </w:rPr>
      </w:pPr>
      <w:r>
        <w:rPr>
          <w:rFonts w:hint="eastAsia" w:ascii="宋体" w:hAnsi="宋体"/>
          <w:sz w:val="24"/>
        </w:rPr>
        <w:t>22. 成交通知</w:t>
      </w:r>
    </w:p>
    <w:p>
      <w:pPr>
        <w:spacing w:line="400" w:lineRule="exact"/>
        <w:ind w:firstLine="480" w:firstLineChars="200"/>
        <w:rPr>
          <w:rFonts w:ascii="宋体" w:hAnsi="宋体"/>
          <w:sz w:val="24"/>
        </w:rPr>
      </w:pPr>
      <w:r>
        <w:rPr>
          <w:rFonts w:hint="eastAsia" w:ascii="宋体" w:hAnsi="宋体"/>
          <w:sz w:val="24"/>
        </w:rPr>
        <w:t>22.1  谈判结束后，成交结果经采购人确认后，采购代理机构方应在刊登本采购项目谈判邀请公告的媒介上对成交结果进行公告，同时采购代理机构向成交供应商发出成交通知书。成交通知书发出后，成交供应商放弃成交，应当承担相应的法律责任。</w:t>
      </w:r>
    </w:p>
    <w:p>
      <w:pPr>
        <w:spacing w:line="400" w:lineRule="exact"/>
        <w:rPr>
          <w:rFonts w:ascii="宋体" w:hAnsi="宋体"/>
          <w:sz w:val="24"/>
        </w:rPr>
      </w:pPr>
      <w:r>
        <w:rPr>
          <w:rFonts w:hint="eastAsia" w:ascii="宋体" w:hAnsi="宋体"/>
          <w:sz w:val="24"/>
        </w:rPr>
        <w:t xml:space="preserve">    22.2《成交通知书》发出同时应将未成交通知书发送给没有成交的其它谈判响应供应商。</w:t>
      </w:r>
    </w:p>
    <w:p>
      <w:pPr>
        <w:spacing w:line="400" w:lineRule="exact"/>
        <w:ind w:firstLine="480" w:firstLineChars="200"/>
        <w:rPr>
          <w:rFonts w:ascii="宋体" w:hAnsi="宋体"/>
          <w:sz w:val="24"/>
        </w:rPr>
      </w:pPr>
      <w:r>
        <w:rPr>
          <w:rFonts w:hint="eastAsia" w:ascii="宋体" w:hAnsi="宋体"/>
          <w:sz w:val="24"/>
        </w:rPr>
        <w:t>22.3《成交通知书》将作为签订合同的依据。《合同》签订后，《成交通知书》成为《合同》的一部分。</w:t>
      </w:r>
    </w:p>
    <w:p>
      <w:pPr>
        <w:spacing w:line="400" w:lineRule="exact"/>
        <w:ind w:firstLine="480" w:firstLineChars="200"/>
        <w:rPr>
          <w:rFonts w:ascii="宋体" w:hAnsi="宋体"/>
          <w:sz w:val="24"/>
        </w:rPr>
      </w:pPr>
      <w:r>
        <w:rPr>
          <w:rFonts w:hint="eastAsia" w:ascii="宋体" w:hAnsi="宋体"/>
          <w:sz w:val="24"/>
        </w:rPr>
        <w:t>22.4《成交通知书》发出后5个工作日内，采购代理机构以原缴交方式向未成交的谈判响应供应商退还其谈判响应保证金。</w:t>
      </w:r>
    </w:p>
    <w:p>
      <w:pPr>
        <w:spacing w:line="400" w:lineRule="exact"/>
        <w:ind w:firstLine="480" w:firstLineChars="200"/>
        <w:rPr>
          <w:rFonts w:ascii="宋体" w:hAnsi="宋体"/>
          <w:sz w:val="24"/>
        </w:rPr>
      </w:pPr>
      <w:r>
        <w:rPr>
          <w:rFonts w:hint="eastAsia" w:ascii="宋体" w:hAnsi="宋体"/>
          <w:sz w:val="24"/>
        </w:rPr>
        <w:t>22.5在合同签订后5个工作日内，以原缴交方式退还成交供应商的谈判响应保证金。</w:t>
      </w:r>
    </w:p>
    <w:p>
      <w:pPr>
        <w:pStyle w:val="69"/>
        <w:spacing w:line="400" w:lineRule="exact"/>
        <w:rPr>
          <w:rFonts w:hAnsi="宋体"/>
          <w:color w:val="auto"/>
        </w:rPr>
      </w:pPr>
      <w:r>
        <w:rPr>
          <w:rFonts w:hint="eastAsia" w:hAnsi="宋体"/>
          <w:bCs/>
          <w:color w:val="auto"/>
        </w:rPr>
        <w:t>23</w:t>
      </w:r>
      <w:r>
        <w:rPr>
          <w:rFonts w:hint="eastAsia" w:hAnsi="宋体"/>
          <w:color w:val="auto"/>
        </w:rPr>
        <w:t>.签订合同</w:t>
      </w:r>
    </w:p>
    <w:p>
      <w:pPr>
        <w:spacing w:line="400" w:lineRule="exact"/>
        <w:ind w:firstLine="420"/>
        <w:rPr>
          <w:rFonts w:ascii="宋体" w:hAnsi="宋体"/>
          <w:sz w:val="24"/>
        </w:rPr>
      </w:pPr>
      <w:r>
        <w:rPr>
          <w:rFonts w:hint="eastAsia" w:ascii="宋体" w:hAnsi="宋体"/>
          <w:sz w:val="24"/>
        </w:rPr>
        <w:t>23.1采购人、成交供应商在《成交通知书》发出之日起，根据谈判文件确定的事项和成交供应商谈判响应文件、谈判谈代表的最后澄清及承诺书，参考本谈判文件第四章的《合同》文本签订合同。双方所签订的合同不得对谈判文件和成交供应商谈判响应文件和谈判谈代表的最后澄清及承诺作实质性修改。成交供应商逾期未签订合同的，采购代理机构将没收谈判响应保证金，以抵偿对采购人造成的损失。</w:t>
      </w:r>
    </w:p>
    <w:p>
      <w:pPr>
        <w:spacing w:line="400" w:lineRule="exact"/>
        <w:ind w:firstLine="420"/>
        <w:rPr>
          <w:rFonts w:ascii="宋体" w:hAnsi="宋体"/>
          <w:sz w:val="24"/>
        </w:rPr>
      </w:pPr>
      <w:r>
        <w:rPr>
          <w:rFonts w:hint="eastAsia" w:ascii="宋体" w:hAnsi="宋体"/>
          <w:sz w:val="24"/>
        </w:rPr>
        <w:t>23.2谈判文件、谈判文件的修改文件、成交供应商的谈判响应文件、谈判谈代表的最后澄清及承诺、补充或修改的文件等，均为双方签订《合同》的组成部分，并与《合同》一并作为本谈判文件所列采购项目的互补性法律文件，与《合同》具有同等法律效力。</w:t>
      </w:r>
    </w:p>
    <w:p>
      <w:pPr>
        <w:spacing w:line="400" w:lineRule="exact"/>
        <w:ind w:firstLine="420"/>
        <w:rPr>
          <w:rFonts w:ascii="宋体" w:hAnsi="宋体"/>
          <w:sz w:val="24"/>
        </w:rPr>
      </w:pPr>
      <w:r>
        <w:rPr>
          <w:rFonts w:hint="eastAsia" w:ascii="宋体" w:hAnsi="宋体"/>
          <w:sz w:val="24"/>
        </w:rPr>
        <w:t xml:space="preserve">23.3采购人在合同履行中，需追加与合同标的相同的货物或者服务的，在不改变合同其他条款的前提下，可与供应商协商签订补充合同，但所有补充合同的采购金额不得超过原合同采购金额的百分之十。 </w:t>
      </w:r>
    </w:p>
    <w:p>
      <w:pPr>
        <w:spacing w:line="400" w:lineRule="exact"/>
        <w:ind w:firstLine="420"/>
        <w:rPr>
          <w:rFonts w:ascii="宋体" w:hAnsi="宋体"/>
          <w:sz w:val="24"/>
        </w:rPr>
      </w:pPr>
      <w:r>
        <w:rPr>
          <w:rFonts w:hint="eastAsia" w:ascii="宋体" w:hAnsi="宋体"/>
          <w:sz w:val="24"/>
        </w:rPr>
        <w:t>23.4成交供应商因不可抗力或者自身原因不能履行采购合同的，采购人可以与排位在成交供应商之后第一位的成交候选供应商签订采购合同，以此类推。</w:t>
      </w:r>
    </w:p>
    <w:p>
      <w:pPr>
        <w:keepNext/>
        <w:keepLines/>
        <w:spacing w:line="400" w:lineRule="exact"/>
        <w:jc w:val="center"/>
        <w:outlineLvl w:val="1"/>
        <w:rPr>
          <w:rFonts w:ascii="宋体" w:hAnsi="宋体"/>
          <w:b/>
          <w:bCs/>
          <w:szCs w:val="28"/>
        </w:rPr>
      </w:pPr>
      <w:bookmarkStart w:id="138" w:name="_Toc515298097"/>
      <w:bookmarkStart w:id="139" w:name="_Toc519356747"/>
      <w:bookmarkStart w:id="140" w:name="_Toc531349540"/>
      <w:bookmarkStart w:id="141" w:name="_Toc514170103"/>
      <w:bookmarkStart w:id="142" w:name="_Toc514003139"/>
      <w:r>
        <w:rPr>
          <w:rFonts w:hint="eastAsia" w:ascii="宋体" w:hAnsi="宋体"/>
          <w:b/>
          <w:bCs/>
          <w:szCs w:val="28"/>
        </w:rPr>
        <w:t>八、询问、质疑</w:t>
      </w:r>
      <w:bookmarkEnd w:id="138"/>
      <w:bookmarkEnd w:id="139"/>
      <w:bookmarkEnd w:id="140"/>
      <w:bookmarkEnd w:id="141"/>
      <w:bookmarkEnd w:id="142"/>
    </w:p>
    <w:p>
      <w:pPr>
        <w:spacing w:line="400" w:lineRule="exact"/>
        <w:rPr>
          <w:rFonts w:ascii="宋体" w:hAnsi="宋体"/>
          <w:sz w:val="24"/>
        </w:rPr>
      </w:pPr>
      <w:r>
        <w:rPr>
          <w:rFonts w:hint="eastAsia" w:ascii="宋体" w:hAnsi="宋体"/>
          <w:sz w:val="24"/>
        </w:rPr>
        <w:t>24.询问</w:t>
      </w:r>
    </w:p>
    <w:p>
      <w:pPr>
        <w:spacing w:line="400" w:lineRule="exact"/>
        <w:ind w:firstLine="420"/>
        <w:rPr>
          <w:rFonts w:ascii="宋体" w:hAnsi="宋体"/>
          <w:sz w:val="24"/>
        </w:rPr>
      </w:pPr>
      <w:r>
        <w:rPr>
          <w:rFonts w:hint="eastAsia" w:ascii="宋体" w:hAnsi="宋体"/>
          <w:sz w:val="24"/>
        </w:rPr>
        <w:t xml:space="preserve">  24.1潜在供应商或供应商对本次采购活动的有关事项若有疑问，可向采购人或采购代理机构提出询问，采购人或采购代理机构将进行答复。</w:t>
      </w:r>
    </w:p>
    <w:p>
      <w:pPr>
        <w:spacing w:line="400" w:lineRule="exact"/>
        <w:rPr>
          <w:rFonts w:ascii="宋体" w:hAnsi="宋体"/>
          <w:sz w:val="24"/>
        </w:rPr>
      </w:pPr>
      <w:r>
        <w:rPr>
          <w:rFonts w:hint="eastAsia" w:ascii="宋体" w:hAnsi="宋体"/>
          <w:sz w:val="24"/>
        </w:rPr>
        <w:t>25.质疑</w:t>
      </w:r>
    </w:p>
    <w:p>
      <w:pPr>
        <w:spacing w:line="400" w:lineRule="exact"/>
        <w:ind w:firstLine="420"/>
        <w:rPr>
          <w:rFonts w:ascii="宋体" w:hAnsi="宋体"/>
          <w:sz w:val="24"/>
        </w:rPr>
      </w:pPr>
      <w:r>
        <w:rPr>
          <w:rFonts w:hint="eastAsia" w:ascii="宋体" w:hAnsi="宋体"/>
          <w:sz w:val="24"/>
        </w:rPr>
        <w:t xml:space="preserve">  25.1质疑应在规定的时效内提出，并符合下列条件：</w:t>
      </w:r>
    </w:p>
    <w:p>
      <w:pPr>
        <w:spacing w:line="400" w:lineRule="exact"/>
        <w:ind w:firstLine="420"/>
        <w:rPr>
          <w:rFonts w:ascii="宋体" w:hAnsi="宋体"/>
          <w:sz w:val="24"/>
        </w:rPr>
      </w:pPr>
      <w:r>
        <w:rPr>
          <w:rFonts w:hint="eastAsia" w:ascii="宋体" w:hAnsi="宋体"/>
          <w:sz w:val="24"/>
        </w:rPr>
        <w:t xml:space="preserve">  25.1.1对谈判文件提出质疑的，质疑人应为潜在供应商，且两者的身份、名称等均应保持一致。对采购过程、结果提出质疑的，质疑人应为供应商，且两者的身份、名称等均应保持一致。提出质疑的供应商应当是直接参与所质疑项目采购活动的供应商。</w:t>
      </w:r>
    </w:p>
    <w:p>
      <w:pPr>
        <w:spacing w:line="400" w:lineRule="exact"/>
        <w:ind w:firstLine="420"/>
        <w:rPr>
          <w:rFonts w:ascii="宋体" w:hAnsi="宋体"/>
          <w:sz w:val="24"/>
        </w:rPr>
      </w:pPr>
      <w:r>
        <w:rPr>
          <w:rFonts w:hint="eastAsia" w:ascii="宋体" w:hAnsi="宋体"/>
          <w:sz w:val="24"/>
        </w:rPr>
        <w:t xml:space="preserve">  25.1.2质疑人应提交质疑函原件。</w:t>
      </w:r>
    </w:p>
    <w:p>
      <w:pPr>
        <w:spacing w:line="400" w:lineRule="exact"/>
        <w:ind w:firstLine="420"/>
        <w:rPr>
          <w:rFonts w:ascii="宋体" w:hAnsi="宋体"/>
          <w:sz w:val="24"/>
        </w:rPr>
      </w:pPr>
      <w:r>
        <w:rPr>
          <w:rFonts w:hint="eastAsia" w:ascii="宋体" w:hAnsi="宋体"/>
          <w:sz w:val="24"/>
        </w:rPr>
        <w:t xml:space="preserve">  25.1.3质疑函应包括下列主要内容：</w:t>
      </w:r>
    </w:p>
    <w:p>
      <w:pPr>
        <w:spacing w:line="400" w:lineRule="exact"/>
        <w:ind w:firstLine="420"/>
        <w:rPr>
          <w:rFonts w:ascii="宋体" w:hAnsi="宋体"/>
          <w:sz w:val="24"/>
        </w:rPr>
      </w:pPr>
      <w:r>
        <w:rPr>
          <w:rFonts w:hint="eastAsia" w:ascii="宋体" w:hAnsi="宋体"/>
          <w:sz w:val="24"/>
        </w:rPr>
        <w:t xml:space="preserve">  ①质疑人的基本信息，至少包括：全称、地址、邮政编码、联系人及联系电话等；适合自然人参加谈判的采购项目且质疑人为自然人的，质疑人提供本人的身份证复印件。质疑人为法人或其他组织的，提供统一社会信用代码营业执照或者组织机构登记证件复印件、单位负责人的身份证复印件；质疑人代表为委托代理人的，还应同时提供单位负责人授权书和委托代理人的身份证复印件。</w:t>
      </w:r>
    </w:p>
    <w:p>
      <w:pPr>
        <w:spacing w:line="400" w:lineRule="exact"/>
        <w:ind w:firstLine="420"/>
        <w:rPr>
          <w:rFonts w:ascii="宋体" w:hAnsi="宋体"/>
          <w:sz w:val="24"/>
        </w:rPr>
      </w:pPr>
      <w:r>
        <w:rPr>
          <w:rFonts w:hint="eastAsia" w:ascii="宋体" w:hAnsi="宋体"/>
          <w:sz w:val="24"/>
        </w:rPr>
        <w:t xml:space="preserve">  ②所质疑项目的基本信息，至少包括：项目编号、项目名称等；</w:t>
      </w:r>
    </w:p>
    <w:p>
      <w:pPr>
        <w:spacing w:line="400" w:lineRule="exact"/>
        <w:ind w:firstLine="420"/>
        <w:rPr>
          <w:rFonts w:ascii="宋体" w:hAnsi="宋体"/>
          <w:sz w:val="24"/>
        </w:rPr>
      </w:pPr>
      <w:r>
        <w:rPr>
          <w:rFonts w:hint="eastAsia" w:ascii="宋体" w:hAnsi="宋体"/>
          <w:sz w:val="24"/>
        </w:rPr>
        <w:t xml:space="preserve">  ③所质疑的具体事项（以下简称：“质疑事项”）；</w:t>
      </w:r>
    </w:p>
    <w:p>
      <w:pPr>
        <w:spacing w:line="400" w:lineRule="exact"/>
        <w:ind w:firstLine="600" w:firstLineChars="250"/>
        <w:rPr>
          <w:rFonts w:ascii="宋体" w:hAnsi="宋体"/>
          <w:sz w:val="24"/>
        </w:rPr>
      </w:pPr>
      <w:r>
        <w:rPr>
          <w:rFonts w:hint="eastAsia" w:ascii="宋体" w:hAnsi="宋体"/>
          <w:sz w:val="24"/>
        </w:rPr>
        <w:t>④质疑人自身权益受到损害的事实依据和证明材料，至少包括：</w:t>
      </w:r>
    </w:p>
    <w:p>
      <w:pPr>
        <w:spacing w:line="400" w:lineRule="exact"/>
        <w:ind w:firstLine="600" w:firstLineChars="250"/>
        <w:rPr>
          <w:rFonts w:ascii="宋体" w:hAnsi="宋体"/>
          <w:sz w:val="24"/>
        </w:rPr>
      </w:pPr>
      <w:r>
        <w:rPr>
          <w:rFonts w:hint="eastAsia" w:ascii="宋体" w:hAnsi="宋体"/>
          <w:sz w:val="24"/>
        </w:rPr>
        <w:t>a1所质疑的具体事项事实存在的证明材料；</w:t>
      </w:r>
    </w:p>
    <w:p>
      <w:pPr>
        <w:spacing w:line="400" w:lineRule="exact"/>
        <w:ind w:firstLine="600" w:firstLineChars="250"/>
        <w:rPr>
          <w:rFonts w:ascii="宋体" w:hAnsi="宋体"/>
          <w:sz w:val="24"/>
        </w:rPr>
      </w:pPr>
      <w:r>
        <w:rPr>
          <w:rFonts w:hint="eastAsia" w:ascii="宋体" w:hAnsi="宋体"/>
          <w:sz w:val="24"/>
        </w:rPr>
        <w:t>a2所质疑的具体事项事实导致质疑人自身权益受到损害的证明材料，如：采购文件、采购过程或成交结果违法违规，损害自已合法权益等证明材料；</w:t>
      </w:r>
    </w:p>
    <w:p>
      <w:pPr>
        <w:spacing w:line="400" w:lineRule="exact"/>
        <w:ind w:firstLine="480" w:firstLineChars="200"/>
        <w:rPr>
          <w:rFonts w:ascii="宋体" w:hAnsi="宋体"/>
          <w:sz w:val="24"/>
        </w:rPr>
      </w:pPr>
      <w:r>
        <w:rPr>
          <w:rFonts w:hint="eastAsia" w:ascii="宋体" w:hAnsi="宋体"/>
          <w:sz w:val="24"/>
        </w:rPr>
        <w:t>备注：若质疑的具体事项按照有关法律、法规和规章规定处于应当保密阶段，则应提供信息或证明材料为合法或公开渠道获得的有效证据（若证据无法有效表明信息或证明材料为合法或公开渠道获得，则前述信息或证明材料视为无效）。</w:t>
      </w:r>
    </w:p>
    <w:p>
      <w:pPr>
        <w:spacing w:line="400" w:lineRule="exact"/>
        <w:ind w:firstLine="420"/>
        <w:rPr>
          <w:rFonts w:ascii="宋体" w:hAnsi="宋体"/>
          <w:sz w:val="24"/>
        </w:rPr>
      </w:pPr>
      <w:r>
        <w:rPr>
          <w:rFonts w:hint="eastAsia" w:ascii="宋体" w:hAnsi="宋体"/>
          <w:sz w:val="24"/>
        </w:rPr>
        <w:t>⑤针对质疑事项提出的明确请求和法律依据，</w:t>
      </w:r>
    </w:p>
    <w:p>
      <w:pPr>
        <w:spacing w:line="400" w:lineRule="exact"/>
        <w:ind w:firstLine="420"/>
        <w:rPr>
          <w:rFonts w:ascii="宋体" w:hAnsi="宋体"/>
          <w:sz w:val="24"/>
        </w:rPr>
      </w:pPr>
      <w:r>
        <w:rPr>
          <w:rFonts w:hint="eastAsia" w:ascii="宋体" w:hAnsi="宋体"/>
          <w:sz w:val="24"/>
        </w:rPr>
        <w:t>前述明确请求指质疑人提出质疑的目的、希望采购人或采购代理机构对其质疑作出的处理结果，如：暂停采购活动、修改谈判文件、停止或纠正违法违规行为、成交结果无效、废标、重新采购等，质疑人提出质疑请求还应当对相应的法律依据进行说明。</w:t>
      </w:r>
    </w:p>
    <w:p>
      <w:pPr>
        <w:spacing w:line="400" w:lineRule="exact"/>
        <w:ind w:firstLine="420"/>
        <w:rPr>
          <w:rFonts w:ascii="宋体" w:hAnsi="宋体"/>
          <w:sz w:val="24"/>
        </w:rPr>
      </w:pPr>
      <w:r>
        <w:rPr>
          <w:rFonts w:hint="eastAsia" w:ascii="宋体" w:hAnsi="宋体"/>
          <w:sz w:val="24"/>
        </w:rPr>
        <w:t xml:space="preserve">  ⑥提出质疑的日期以及质疑人代表联系方式，至少包括：姓名、手机、电子信箱、邮寄地址等。</w:t>
      </w:r>
    </w:p>
    <w:p>
      <w:pPr>
        <w:spacing w:line="400" w:lineRule="exact"/>
        <w:ind w:firstLine="480" w:firstLineChars="200"/>
        <w:rPr>
          <w:rFonts w:ascii="宋体" w:hAnsi="宋体"/>
          <w:sz w:val="24"/>
        </w:rPr>
      </w:pPr>
      <w:r>
        <w:rPr>
          <w:rFonts w:hint="eastAsia" w:ascii="宋体" w:hAnsi="宋体"/>
          <w:sz w:val="24"/>
        </w:rPr>
        <w:t>25.2对不符合前文第25.1条规定的质疑，采购人或采购代理机构将按照下列规定进行处理：</w:t>
      </w:r>
    </w:p>
    <w:p>
      <w:pPr>
        <w:spacing w:line="400" w:lineRule="exact"/>
        <w:ind w:firstLine="480" w:firstLineChars="200"/>
        <w:rPr>
          <w:rFonts w:ascii="宋体" w:hAnsi="宋体"/>
          <w:sz w:val="24"/>
        </w:rPr>
      </w:pPr>
      <w:r>
        <w:rPr>
          <w:rFonts w:hint="eastAsia" w:ascii="宋体" w:hAnsi="宋体"/>
          <w:sz w:val="24"/>
        </w:rPr>
        <w:t>25.2.1超过质疑时效提交的或者质疑人不是直接参与所质疑项目采购活动的供应商，书面告知质疑人其质疑不成立的原因和理由。</w:t>
      </w:r>
    </w:p>
    <w:p>
      <w:pPr>
        <w:spacing w:line="400" w:lineRule="exact"/>
        <w:ind w:firstLine="480" w:firstLineChars="200"/>
        <w:rPr>
          <w:rFonts w:ascii="宋体" w:hAnsi="宋体"/>
          <w:sz w:val="24"/>
        </w:rPr>
      </w:pPr>
      <w:r>
        <w:rPr>
          <w:rFonts w:hint="eastAsia" w:ascii="宋体" w:hAnsi="宋体"/>
          <w:sz w:val="24"/>
        </w:rPr>
        <w:t>25.2.2质疑函内容不符合规定的，告知质疑人修改、补充后在规定的时效内重新提交质疑函原件。质疑人拒不修改或补充的，则采购人或采购代理机构应当在质疑答复期内书面告知对方质疑不成立的原因和理由。</w:t>
      </w:r>
    </w:p>
    <w:p>
      <w:pPr>
        <w:spacing w:line="400" w:lineRule="exact"/>
        <w:ind w:firstLine="420"/>
        <w:rPr>
          <w:rFonts w:ascii="宋体" w:hAnsi="宋体"/>
          <w:sz w:val="24"/>
        </w:rPr>
      </w:pPr>
      <w:r>
        <w:rPr>
          <w:rFonts w:hint="eastAsia" w:ascii="宋体" w:hAnsi="宋体"/>
          <w:sz w:val="24"/>
        </w:rPr>
        <w:t>25.2.3质疑人修改、补充质疑函超过质疑时效提交的按25.2.1款处理。供应商提交质疑函时，要认真阅读本章第25条关于质疑的相关规定，以免内容或资料不齐，需要修改补充而延误时间。</w:t>
      </w:r>
    </w:p>
    <w:p>
      <w:pPr>
        <w:spacing w:line="400" w:lineRule="exact"/>
        <w:ind w:firstLine="420"/>
        <w:rPr>
          <w:rFonts w:ascii="宋体" w:hAnsi="宋体"/>
          <w:sz w:val="24"/>
        </w:rPr>
      </w:pPr>
      <w:r>
        <w:rPr>
          <w:rFonts w:hint="eastAsia" w:ascii="宋体" w:hAnsi="宋体"/>
          <w:sz w:val="24"/>
        </w:rPr>
        <w:t>25.2.4</w:t>
      </w:r>
      <w:r>
        <w:rPr>
          <w:rFonts w:hint="eastAsia" w:ascii="宋体" w:hAnsi="宋体" w:cs="Arial"/>
          <w:kern w:val="0"/>
          <w:sz w:val="24"/>
        </w:rPr>
        <w:t>质疑人应在质疑期内一次性提出针对同一采购程序环节的质疑，采购人、采购代理机构不接受同一质疑人对同一采购程序环节的多次质疑。</w:t>
      </w:r>
    </w:p>
    <w:p>
      <w:pPr>
        <w:spacing w:line="400" w:lineRule="exact"/>
        <w:ind w:firstLine="420"/>
        <w:rPr>
          <w:rFonts w:ascii="宋体" w:hAnsi="宋体"/>
          <w:sz w:val="24"/>
        </w:rPr>
      </w:pPr>
      <w:r>
        <w:rPr>
          <w:rFonts w:hint="eastAsia" w:ascii="宋体" w:hAnsi="宋体"/>
          <w:sz w:val="24"/>
        </w:rPr>
        <w:t>25.3对符合前文第25.1条规定的质疑，采购人或采购代理机构将进行答复。</w:t>
      </w:r>
    </w:p>
    <w:p>
      <w:pPr>
        <w:keepNext/>
        <w:keepLines/>
        <w:spacing w:line="400" w:lineRule="exact"/>
        <w:jc w:val="center"/>
        <w:outlineLvl w:val="1"/>
        <w:rPr>
          <w:rFonts w:ascii="宋体" w:hAnsi="宋体"/>
          <w:b/>
          <w:bCs/>
          <w:szCs w:val="28"/>
        </w:rPr>
      </w:pPr>
      <w:bookmarkStart w:id="143" w:name="_Toc410144292"/>
      <w:bookmarkStart w:id="144" w:name="_Toc409767568"/>
      <w:bookmarkStart w:id="145" w:name="_Toc519356748"/>
      <w:bookmarkStart w:id="146" w:name="_Toc403120628"/>
      <w:bookmarkStart w:id="147" w:name="_Toc531349541"/>
      <w:bookmarkStart w:id="148" w:name="_Toc402455297"/>
      <w:bookmarkStart w:id="149" w:name="_Toc515298098"/>
      <w:bookmarkStart w:id="150" w:name="_Toc514003140"/>
      <w:bookmarkStart w:id="151" w:name="_Toc514170104"/>
      <w:r>
        <w:rPr>
          <w:rFonts w:hint="eastAsia" w:ascii="宋体" w:hAnsi="宋体"/>
          <w:b/>
          <w:bCs/>
          <w:szCs w:val="28"/>
        </w:rPr>
        <w:t>九、其他事项</w:t>
      </w:r>
      <w:bookmarkEnd w:id="143"/>
      <w:bookmarkEnd w:id="144"/>
      <w:bookmarkEnd w:id="145"/>
      <w:bookmarkEnd w:id="146"/>
      <w:bookmarkEnd w:id="147"/>
      <w:bookmarkEnd w:id="148"/>
      <w:bookmarkEnd w:id="149"/>
      <w:bookmarkEnd w:id="150"/>
      <w:bookmarkEnd w:id="151"/>
    </w:p>
    <w:p>
      <w:pPr>
        <w:spacing w:line="400" w:lineRule="exact"/>
        <w:rPr>
          <w:rFonts w:ascii="宋体" w:hAnsi="宋体"/>
          <w:sz w:val="24"/>
        </w:rPr>
      </w:pPr>
      <w:r>
        <w:rPr>
          <w:rFonts w:hint="eastAsia" w:ascii="宋体" w:hAnsi="宋体"/>
          <w:sz w:val="24"/>
        </w:rPr>
        <w:t>26、成交服务费</w:t>
      </w:r>
    </w:p>
    <w:p>
      <w:pPr>
        <w:spacing w:line="400" w:lineRule="exact"/>
        <w:ind w:firstLine="360" w:firstLineChars="150"/>
        <w:rPr>
          <w:rFonts w:ascii="宋体" w:hAnsi="宋体"/>
          <w:sz w:val="24"/>
        </w:rPr>
      </w:pPr>
      <w:r>
        <w:rPr>
          <w:rFonts w:hint="eastAsia" w:ascii="宋体" w:hAnsi="宋体"/>
          <w:sz w:val="24"/>
        </w:rPr>
        <w:t>26.1、成交供应商应按谈判响应供应商须知前附表规定的标准向采购代理机构缴纳谈判成交服务费。成交服务费在领取《成交通知书》的同时，以电汇、转帐、银行现金解款等付款方式一次性缴清。</w:t>
      </w:r>
    </w:p>
    <w:p>
      <w:pPr>
        <w:spacing w:line="400" w:lineRule="exact"/>
        <w:ind w:firstLine="360" w:firstLineChars="150"/>
        <w:rPr>
          <w:rFonts w:ascii="宋体" w:hAnsi="宋体"/>
          <w:sz w:val="24"/>
        </w:rPr>
      </w:pPr>
      <w:r>
        <w:rPr>
          <w:rFonts w:hint="eastAsia" w:ascii="宋体" w:hAnsi="宋体"/>
          <w:sz w:val="24"/>
        </w:rPr>
        <w:t>26.2、成交供应商在成交公告发布后或成交通知书发出后30日内未向采购代理机构缴交成交服务费的，采购代理机构将从其谈判响应保证金中等额扣除成交服务费，余额退还成交供应商；谈判响应保证金不足以支付成交服务费的，成交供应商应当向采购代理机构补足。若成交供应商存在恶意拖欠缴纳成交服务费的，采购代理机构可视情对成交供应商采取法律手段追索等。</w:t>
      </w:r>
    </w:p>
    <w:p>
      <w:pPr>
        <w:spacing w:line="400" w:lineRule="exact"/>
        <w:rPr>
          <w:rFonts w:ascii="宋体" w:hAnsi="宋体"/>
          <w:sz w:val="24"/>
        </w:rPr>
      </w:pPr>
      <w:r>
        <w:rPr>
          <w:rFonts w:hint="eastAsia" w:ascii="宋体" w:hAnsi="宋体"/>
          <w:sz w:val="24"/>
        </w:rPr>
        <w:t>27.谈判文件的解释</w:t>
      </w:r>
    </w:p>
    <w:p>
      <w:pPr>
        <w:spacing w:line="400" w:lineRule="exact"/>
        <w:ind w:firstLine="480" w:firstLineChars="200"/>
        <w:rPr>
          <w:rFonts w:ascii="宋体" w:hAnsi="宋体"/>
          <w:sz w:val="24"/>
        </w:rPr>
      </w:pPr>
      <w:r>
        <w:rPr>
          <w:rFonts w:hint="eastAsia" w:ascii="宋体" w:hAnsi="宋体"/>
          <w:sz w:val="24"/>
        </w:rPr>
        <w:t>本谈判文件的解释权归厦门市华沧采购招标有限公司。</w:t>
      </w:r>
    </w:p>
    <w:p>
      <w:pPr>
        <w:spacing w:line="360" w:lineRule="auto"/>
        <w:ind w:firstLine="480" w:firstLineChars="200"/>
        <w:rPr>
          <w:rFonts w:ascii="宋体" w:hAnsi="宋体"/>
          <w:sz w:val="24"/>
        </w:rPr>
      </w:pPr>
    </w:p>
    <w:p>
      <w:pPr>
        <w:pStyle w:val="2"/>
        <w:keepNext w:val="0"/>
        <w:pageBreakBefore/>
        <w:spacing w:before="0" w:after="0" w:line="360" w:lineRule="auto"/>
        <w:jc w:val="center"/>
        <w:rPr>
          <w:rFonts w:ascii="宋体" w:hAnsi="宋体"/>
          <w:sz w:val="30"/>
          <w:szCs w:val="30"/>
        </w:rPr>
        <w:sectPr>
          <w:headerReference r:id="rId4" w:type="first"/>
          <w:footerReference r:id="rId6" w:type="first"/>
          <w:headerReference r:id="rId3" w:type="default"/>
          <w:footerReference r:id="rId5" w:type="default"/>
          <w:pgSz w:w="11907" w:h="16840"/>
          <w:pgMar w:top="1418" w:right="1287" w:bottom="1418" w:left="1440" w:header="851" w:footer="992" w:gutter="0"/>
          <w:cols w:space="720" w:num="1"/>
          <w:docGrid w:linePitch="381" w:charSpace="0"/>
        </w:sectPr>
      </w:pPr>
    </w:p>
    <w:p>
      <w:pPr>
        <w:pStyle w:val="2"/>
        <w:keepNext w:val="0"/>
        <w:pageBreakBefore/>
        <w:spacing w:before="0" w:after="0" w:line="360" w:lineRule="auto"/>
        <w:jc w:val="center"/>
        <w:rPr>
          <w:rFonts w:ascii="宋体" w:hAnsi="宋体"/>
          <w:sz w:val="28"/>
          <w:szCs w:val="28"/>
        </w:rPr>
      </w:pPr>
      <w:bookmarkStart w:id="152" w:name="_Toc531349542"/>
      <w:r>
        <w:rPr>
          <w:rFonts w:hint="eastAsia" w:ascii="宋体" w:hAnsi="宋体"/>
          <w:sz w:val="30"/>
          <w:szCs w:val="30"/>
        </w:rPr>
        <w:t>第三章  谈判内容及要求</w:t>
      </w:r>
      <w:bookmarkEnd w:id="133"/>
      <w:bookmarkEnd w:id="134"/>
      <w:bookmarkEnd w:id="152"/>
    </w:p>
    <w:p>
      <w:pPr>
        <w:pStyle w:val="3"/>
        <w:spacing w:before="0" w:after="0" w:line="360" w:lineRule="auto"/>
        <w:jc w:val="left"/>
        <w:rPr>
          <w:rFonts w:ascii="宋体" w:hAnsi="宋体" w:eastAsia="宋体"/>
          <w:sz w:val="24"/>
          <w:szCs w:val="24"/>
        </w:rPr>
      </w:pPr>
      <w:bookmarkStart w:id="153" w:name="_Toc314838394"/>
      <w:bookmarkStart w:id="154" w:name="_Toc169877489"/>
      <w:bookmarkStart w:id="155" w:name="_Toc169944036"/>
      <w:bookmarkStart w:id="156" w:name="_Toc500834026"/>
      <w:bookmarkStart w:id="157" w:name="_Toc490065702"/>
      <w:bookmarkStart w:id="158" w:name="_Toc531349543"/>
      <w:bookmarkStart w:id="159" w:name="_Toc11983"/>
      <w:bookmarkStart w:id="160" w:name="_Toc422906623"/>
      <w:bookmarkStart w:id="161" w:name="_Toc386553613"/>
      <w:bookmarkStart w:id="162" w:name="_Toc422906629"/>
      <w:bookmarkStart w:id="163" w:name="_Toc421181112"/>
      <w:r>
        <w:rPr>
          <w:rFonts w:hint="eastAsia" w:ascii="宋体" w:hAnsi="宋体" w:eastAsia="宋体"/>
          <w:sz w:val="24"/>
          <w:szCs w:val="24"/>
        </w:rPr>
        <w:t>一、</w:t>
      </w:r>
      <w:bookmarkEnd w:id="153"/>
      <w:bookmarkEnd w:id="154"/>
      <w:bookmarkEnd w:id="155"/>
      <w:r>
        <w:rPr>
          <w:rFonts w:hint="eastAsia" w:ascii="宋体" w:hAnsi="宋体" w:eastAsia="宋体"/>
          <w:sz w:val="24"/>
          <w:szCs w:val="24"/>
        </w:rPr>
        <w:t>项目概况</w:t>
      </w:r>
      <w:bookmarkEnd w:id="156"/>
      <w:bookmarkEnd w:id="157"/>
      <w:bookmarkEnd w:id="158"/>
    </w:p>
    <w:p>
      <w:pPr>
        <w:widowControl/>
        <w:spacing w:line="360" w:lineRule="auto"/>
        <w:ind w:firstLine="480" w:firstLineChars="200"/>
        <w:jc w:val="left"/>
        <w:rPr>
          <w:rFonts w:ascii="宋体" w:hAnsi="宋体"/>
          <w:sz w:val="24"/>
        </w:rPr>
      </w:pPr>
      <w:r>
        <w:rPr>
          <w:rFonts w:hint="eastAsia" w:ascii="宋体" w:hAnsi="宋体"/>
          <w:sz w:val="24"/>
        </w:rPr>
        <w:t>本项目为中沧公寓楼破损栏杆更换工程，各谈判响应供应商须按照谈判项目一览表进行响应，所提供的产品要求符合国家或行业的相关标准并提供材质情况、产地、品牌等说明。</w:t>
      </w:r>
    </w:p>
    <w:p>
      <w:pPr>
        <w:pStyle w:val="3"/>
        <w:spacing w:before="0" w:after="0" w:line="360" w:lineRule="auto"/>
        <w:jc w:val="left"/>
        <w:rPr>
          <w:rFonts w:ascii="宋体" w:hAnsi="宋体" w:eastAsia="宋体"/>
          <w:color w:val="000000" w:themeColor="text1"/>
          <w:sz w:val="24"/>
          <w:szCs w:val="24"/>
          <w14:textFill>
            <w14:solidFill>
              <w14:schemeClr w14:val="tx1"/>
            </w14:solidFill>
          </w14:textFill>
        </w:rPr>
      </w:pPr>
      <w:bookmarkStart w:id="164" w:name="_Toc531349544"/>
      <w:bookmarkStart w:id="165" w:name="_Toc500834027"/>
      <w:r>
        <w:rPr>
          <w:rFonts w:hint="eastAsia" w:ascii="宋体" w:hAnsi="宋体" w:eastAsia="宋体"/>
          <w:sz w:val="24"/>
          <w:szCs w:val="24"/>
        </w:rPr>
        <w:t>二、主要技</w:t>
      </w:r>
      <w:r>
        <w:rPr>
          <w:rFonts w:hint="eastAsia" w:ascii="宋体" w:hAnsi="宋体" w:eastAsia="宋体"/>
          <w:color w:val="000000" w:themeColor="text1"/>
          <w:sz w:val="24"/>
          <w:szCs w:val="24"/>
          <w14:textFill>
            <w14:solidFill>
              <w14:schemeClr w14:val="tx1"/>
            </w14:solidFill>
          </w14:textFill>
        </w:rPr>
        <w:t>术参数要求</w:t>
      </w:r>
      <w:bookmarkEnd w:id="164"/>
      <w:bookmarkEnd w:id="165"/>
    </w:p>
    <w:p>
      <w:r>
        <w:rPr>
          <w:rFonts w:hint="eastAsia" w:ascii="宋体" w:hAnsi="宋体" w:eastAsia="宋体" w:cs="宋体"/>
          <w:sz w:val="24"/>
        </w:rPr>
        <w:t>1、</w:t>
      </w:r>
      <w:r>
        <w:rPr>
          <w:rFonts w:hint="eastAsia" w:ascii="宋体" w:hAnsi="宋体" w:eastAsia="宋体" w:cs="宋体"/>
          <w:b/>
          <w:bCs/>
          <w:color w:val="000000" w:themeColor="text1"/>
          <w:kern w:val="0"/>
          <w:sz w:val="24"/>
          <w14:textFill>
            <w14:solidFill>
              <w14:schemeClr w14:val="tx1"/>
            </w14:solidFill>
          </w14:textFill>
        </w:rPr>
        <w:t>阳台栏杆更换清单</w:t>
      </w:r>
    </w:p>
    <w:tbl>
      <w:tblPr>
        <w:tblStyle w:val="39"/>
        <w:tblW w:w="9782" w:type="dxa"/>
        <w:tblInd w:w="-176" w:type="dxa"/>
        <w:tblLayout w:type="autofit"/>
        <w:tblCellMar>
          <w:top w:w="0" w:type="dxa"/>
          <w:left w:w="108" w:type="dxa"/>
          <w:bottom w:w="0" w:type="dxa"/>
          <w:right w:w="108" w:type="dxa"/>
        </w:tblCellMar>
      </w:tblPr>
      <w:tblGrid>
        <w:gridCol w:w="880"/>
        <w:gridCol w:w="2733"/>
        <w:gridCol w:w="910"/>
        <w:gridCol w:w="3392"/>
        <w:gridCol w:w="1867"/>
      </w:tblGrid>
      <w:tr>
        <w:trPr>
          <w:trHeight w:val="720"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序号</w:t>
            </w:r>
          </w:p>
        </w:tc>
        <w:tc>
          <w:tcPr>
            <w:tcW w:w="273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规格/型号</w:t>
            </w:r>
          </w:p>
        </w:tc>
        <w:tc>
          <w:tcPr>
            <w:tcW w:w="91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单位</w:t>
            </w:r>
          </w:p>
        </w:tc>
        <w:tc>
          <w:tcPr>
            <w:tcW w:w="339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阳台栏杆更换房间号</w:t>
            </w:r>
          </w:p>
        </w:tc>
        <w:tc>
          <w:tcPr>
            <w:tcW w:w="18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数量</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1#楼101房间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1#楼201房间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1#楼301房间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1#楼110房间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1#楼210房间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1#楼310房间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1#楼410房间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1#楼102房间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1#楼202房间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24"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1#楼302房间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1#楼103房间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1#楼203房间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1#楼209房间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w:t>
            </w:r>
          </w:p>
        </w:tc>
        <w:tc>
          <w:tcPr>
            <w:tcW w:w="2733"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1#楼403房间</w:t>
            </w:r>
          </w:p>
        </w:tc>
        <w:tc>
          <w:tcPr>
            <w:tcW w:w="186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1#楼104房间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1#楼204房间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1#楼304房间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1#楼105房间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1#楼205房间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1#楼305房间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1#楼405房间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1#楼106房间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24</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1#楼206房间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25</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1#楼306房间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26</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1#楼406房间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27</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1#楼107房间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28</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1#楼207房间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29</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1#楼307房间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30</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1#楼407房间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33</w:t>
            </w:r>
          </w:p>
        </w:tc>
        <w:tc>
          <w:tcPr>
            <w:tcW w:w="2733"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1#楼308房间</w:t>
            </w:r>
          </w:p>
        </w:tc>
        <w:tc>
          <w:tcPr>
            <w:tcW w:w="186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1#楼408房间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35</w:t>
            </w:r>
          </w:p>
        </w:tc>
        <w:tc>
          <w:tcPr>
            <w:tcW w:w="2733"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1#楼109房间</w:t>
            </w:r>
          </w:p>
        </w:tc>
        <w:tc>
          <w:tcPr>
            <w:tcW w:w="1867" w:type="dxa"/>
            <w:tcBorders>
              <w:top w:val="single" w:color="auto" w:sz="4" w:space="0"/>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36</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1#楼409房间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37</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1#楼211房间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38</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1#楼311房间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39</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1#楼212房间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40</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1#楼312房间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41</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1#楼213房间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42</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1#楼214房间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43</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1#楼314房间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44</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1#楼216房间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45</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1#楼217房间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46</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1#楼317房间</w:t>
            </w:r>
          </w:p>
        </w:tc>
        <w:tc>
          <w:tcPr>
            <w:tcW w:w="1867"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1#楼218房间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1#楼318房间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3#楼335房间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3#楼331房间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3#楼301-312房间通长</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72.75</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10#楼202房间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2#楼215房间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2#楼315房间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2#楼316房间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2#楼416房间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2#楼516房间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2#楼317房间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2#楼417房间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2#楼418房间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2#楼319房间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2#楼419房间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2#楼519房间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2#楼220房间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2#楼421房间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2#楼222房间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2#楼422房间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2#楼223房间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2#楼323房间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2#楼423房间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2#楼224房间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2#楼102房间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2#楼502房间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2#楼104房间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2#楼108房间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2#楼210房间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2#楼110房间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2#楼211房间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2#楼212房间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3.65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3.65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3.65</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2#楼614房间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3.65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2#楼113房间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5.35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2#楼213房间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5.35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2#楼101房间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2#楼201房间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2#楼301房间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4.15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2#楼401房间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4.15</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4#楼403房间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4#楼603房间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4#楼504房间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4#楼604房间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4#楼606房间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4#楼607房间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4#楼407房间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4#楼509房间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4#楼412房间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4#楼512房间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4#楼315房间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4#楼415房间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4#楼313房间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4#楼516房间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4#楼616房间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4#楼517房间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4#楼617房间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4#楼518房间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4#楼311房间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4#楼408房间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4#楼405房间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4#楼305房间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6.59</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5#楼204房间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5#楼205房间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5#楼206房间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5#楼207房间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5#楼208房间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5#楼308房间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5#楼209房间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5#楼309房间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5#楼210－216房间通长</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41.3</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139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5#楼二层西面平台</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7.22</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6#楼314房间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6#楼115房间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6#楼116房间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6#楼119房间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6#楼120房间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6#楼121房间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6#楼120房间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2.6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6#楼5、6层平台</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10.8</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10#楼103房间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149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10#楼109房间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10#楼110房间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10#楼105房间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10#楼106房间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10#楼206房间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10#楼101房间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10#楼102房间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7#楼503房间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7#楼603房间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7#楼304房间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159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7#楼604房间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7#楼410房间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7#楼510房间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7#楼312房间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7#楼412房间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7#楼512房间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7#楼313房间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7#楼413房间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7#楼514房间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169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7#楼614房间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7#楼502房间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7#楼602房间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7#楼501房间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7#楼601房间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7.78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7#楼415房间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8.24</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7#楼408房间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9.96</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7#楼508房间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9.96</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179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9#楼304房间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9#楼404房间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9#楼504房间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9#楼604房间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9#楼103房间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9#楼303房间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9#楼107房间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9#楼207房间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9#楼307房间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9#楼507房间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189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9#楼108房间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9#楼308房间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9#楼408房间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4.8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9#楼202房间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9#楼302房间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9#楼402房间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9#楼502房间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9#楼602房间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9#楼201房间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9#楼401房间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199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9#楼601房间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9#楼305房间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201</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9#楼405房间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202</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9#楼505房间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203</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9#楼605房间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204</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9#楼306房间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205</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9#楼406房间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9#楼506房间</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8.85</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1#楼房顶栏杆更换</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128</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5#楼房顶栏杆更换</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360</w:t>
            </w:r>
          </w:p>
        </w:tc>
      </w:tr>
      <w:tr>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209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33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6#楼房顶栏杆更换</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320</w:t>
            </w:r>
          </w:p>
        </w:tc>
      </w:tr>
      <w:tr>
        <w:trPr>
          <w:trHeight w:val="538" w:hRule="atLeast"/>
        </w:trPr>
        <w:tc>
          <w:tcPr>
            <w:tcW w:w="791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b/>
                <w:bCs/>
                <w:color w:val="000000" w:themeColor="text1"/>
                <w:kern w:val="0"/>
                <w:sz w:val="24"/>
                <w14:textFill>
                  <w14:solidFill>
                    <w14:schemeClr w14:val="tx1"/>
                  </w14:solidFill>
                </w14:textFill>
              </w:rPr>
              <w:t>合计</w:t>
            </w:r>
          </w:p>
        </w:tc>
        <w:tc>
          <w:tcPr>
            <w:tcW w:w="18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rPr>
              <w:t>1896.67</w:t>
            </w:r>
          </w:p>
        </w:tc>
      </w:tr>
    </w:tbl>
    <w:p>
      <w:pPr>
        <w:rPr>
          <w:color w:val="000000" w:themeColor="text1"/>
          <w14:textFill>
            <w14:solidFill>
              <w14:schemeClr w14:val="tx1"/>
            </w14:solidFill>
          </w14:textFill>
        </w:rPr>
      </w:pPr>
    </w:p>
    <w:p>
      <w:bookmarkStart w:id="166" w:name="_Toc531349545"/>
      <w:bookmarkStart w:id="167" w:name="_Toc490744838"/>
      <w:bookmarkStart w:id="168" w:name="_Toc500834028"/>
      <w:bookmarkStart w:id="169" w:name="_Toc531349070"/>
      <w:bookmarkStart w:id="170" w:name="_Toc490065710"/>
      <w:bookmarkStart w:id="171" w:name="_Toc500435804"/>
      <w:r>
        <w:rPr>
          <w:rFonts w:hint="eastAsia" w:ascii="宋体" w:hAnsi="宋体" w:eastAsia="宋体" w:cs="宋体"/>
          <w:b/>
          <w:bCs/>
          <w:sz w:val="24"/>
        </w:rPr>
        <w:t>2、</w:t>
      </w:r>
      <w:r>
        <w:rPr>
          <w:rFonts w:hint="eastAsia" w:ascii="宋体" w:hAnsi="宋体" w:eastAsia="宋体" w:cs="宋体"/>
          <w:b/>
          <w:bCs/>
          <w:color w:val="000000" w:themeColor="text1"/>
          <w:kern w:val="0"/>
          <w:sz w:val="24"/>
          <w14:textFill>
            <w14:solidFill>
              <w14:schemeClr w14:val="tx1"/>
            </w14:solidFill>
          </w14:textFill>
        </w:rPr>
        <w:t>栏杆修补清单</w:t>
      </w:r>
    </w:p>
    <w:tbl>
      <w:tblPr>
        <w:tblStyle w:val="39"/>
        <w:tblW w:w="9782" w:type="dxa"/>
        <w:tblInd w:w="-176" w:type="dxa"/>
        <w:tblLayout w:type="autofit"/>
        <w:tblCellMar>
          <w:top w:w="0" w:type="dxa"/>
          <w:left w:w="108" w:type="dxa"/>
          <w:bottom w:w="0" w:type="dxa"/>
          <w:right w:w="108" w:type="dxa"/>
        </w:tblCellMar>
      </w:tblPr>
      <w:tblGrid>
        <w:gridCol w:w="880"/>
        <w:gridCol w:w="2733"/>
        <w:gridCol w:w="910"/>
        <w:gridCol w:w="2991"/>
        <w:gridCol w:w="2268"/>
      </w:tblGrid>
      <w:tr>
        <w:tblPrEx>
          <w:tblCellMar>
            <w:top w:w="0" w:type="dxa"/>
            <w:left w:w="108" w:type="dxa"/>
            <w:bottom w:w="0" w:type="dxa"/>
            <w:right w:w="108" w:type="dxa"/>
          </w:tblCellMar>
        </w:tblPrEx>
        <w:trPr>
          <w:trHeight w:val="720"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序号</w:t>
            </w:r>
          </w:p>
        </w:tc>
        <w:tc>
          <w:tcPr>
            <w:tcW w:w="273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规格/型号</w:t>
            </w:r>
          </w:p>
        </w:tc>
        <w:tc>
          <w:tcPr>
            <w:tcW w:w="91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单位</w:t>
            </w:r>
          </w:p>
        </w:tc>
        <w:tc>
          <w:tcPr>
            <w:tcW w:w="299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栏杆修补</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14:textFill>
                  <w14:solidFill>
                    <w14:schemeClr w14:val="tx1"/>
                  </w14:solidFill>
                </w14:textFill>
              </w:rPr>
              <w:t>备注</w:t>
            </w:r>
          </w:p>
        </w:tc>
      </w:tr>
      <w:tr>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299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1#楼2F西面平台</w:t>
            </w:r>
          </w:p>
        </w:tc>
        <w:tc>
          <w:tcPr>
            <w:tcW w:w="2268"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299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1#楼6F西面楼梯</w:t>
            </w:r>
          </w:p>
        </w:tc>
        <w:tc>
          <w:tcPr>
            <w:tcW w:w="2268"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299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1#楼5F东面楼梯</w:t>
            </w:r>
          </w:p>
        </w:tc>
        <w:tc>
          <w:tcPr>
            <w:tcW w:w="2268"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299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1#楼5F东面平台</w:t>
            </w:r>
          </w:p>
        </w:tc>
        <w:tc>
          <w:tcPr>
            <w:tcW w:w="2268"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w:t>
            </w:r>
          </w:p>
        </w:tc>
        <w:tc>
          <w:tcPr>
            <w:tcW w:w="2733"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2991"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1#楼3F东面平台</w:t>
            </w:r>
          </w:p>
        </w:tc>
        <w:tc>
          <w:tcPr>
            <w:tcW w:w="2268" w:type="dxa"/>
            <w:tcBorders>
              <w:top w:val="nil"/>
              <w:left w:val="nil"/>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m</w:t>
            </w:r>
          </w:p>
        </w:tc>
        <w:tc>
          <w:tcPr>
            <w:tcW w:w="299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2#楼2F西面平台</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299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2#楼3F东面平台</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299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5#楼4F西面平台</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299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5#楼5F西面平台</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tr>
        <w:tblPrEx>
          <w:tblCellMar>
            <w:top w:w="0" w:type="dxa"/>
            <w:left w:w="108" w:type="dxa"/>
            <w:bottom w:w="0" w:type="dxa"/>
            <w:right w:w="108" w:type="dxa"/>
          </w:tblCellMar>
        </w:tblPrEx>
        <w:trPr>
          <w:trHeight w:val="311" w:hRule="atLeast"/>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w:t>
            </w:r>
          </w:p>
        </w:tc>
        <w:tc>
          <w:tcPr>
            <w:tcW w:w="2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铁艺栏杆/1.1m</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m</w:t>
            </w:r>
          </w:p>
        </w:tc>
        <w:tc>
          <w:tcPr>
            <w:tcW w:w="299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kern w:val="0"/>
                <w:sz w:val="24"/>
              </w:rPr>
              <w:t>6#楼2F西面楼梯</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存在维修电焊点</w:t>
            </w:r>
          </w:p>
        </w:tc>
      </w:tr>
      <w:bookmarkEnd w:id="166"/>
      <w:bookmarkEnd w:id="167"/>
      <w:bookmarkEnd w:id="168"/>
      <w:bookmarkEnd w:id="169"/>
      <w:bookmarkEnd w:id="170"/>
      <w:bookmarkEnd w:id="171"/>
    </w:tbl>
    <w:p>
      <w:pPr>
        <w:pStyle w:val="3"/>
        <w:keepNext w:val="0"/>
        <w:keepLines w:val="0"/>
        <w:spacing w:before="0" w:after="0" w:line="360" w:lineRule="auto"/>
        <w:rPr>
          <w:rFonts w:hint="eastAsia" w:ascii="宋体" w:hAnsi="宋体" w:eastAsia="宋体"/>
          <w:b/>
          <w:bCs w:val="0"/>
          <w:sz w:val="24"/>
          <w:szCs w:val="24"/>
          <w:lang w:val="en-US" w:eastAsia="zh-CN"/>
        </w:rPr>
      </w:pPr>
      <w:r>
        <w:rPr>
          <w:rFonts w:hint="eastAsia" w:ascii="宋体" w:hAnsi="宋体" w:eastAsia="宋体"/>
          <w:b/>
          <w:bCs w:val="0"/>
          <w:sz w:val="24"/>
          <w:szCs w:val="24"/>
          <w:lang w:val="en-US" w:eastAsia="zh-CN"/>
        </w:rPr>
        <w:t>备注：“栏杆修补”约10处，请按一项维修事项综合考虑到综合单价内，不单独报价。</w:t>
      </w:r>
    </w:p>
    <w:p>
      <w:pPr>
        <w:pStyle w:val="3"/>
        <w:spacing w:before="0" w:after="0" w:line="360" w:lineRule="auto"/>
        <w:jc w:val="left"/>
        <w:rPr>
          <w:rFonts w:ascii="宋体" w:hAnsi="宋体" w:eastAsia="宋体"/>
          <w:sz w:val="24"/>
          <w:szCs w:val="24"/>
        </w:rPr>
      </w:pPr>
      <w:bookmarkStart w:id="172" w:name="_Toc500834030"/>
      <w:bookmarkStart w:id="173" w:name="_Toc531349547"/>
      <w:r>
        <w:rPr>
          <w:rFonts w:hint="eastAsia" w:ascii="宋体" w:hAnsi="宋体" w:eastAsia="宋体"/>
          <w:sz w:val="24"/>
          <w:szCs w:val="24"/>
        </w:rPr>
        <w:t>三、谈判相关要求</w:t>
      </w:r>
      <w:bookmarkEnd w:id="159"/>
      <w:bookmarkEnd w:id="160"/>
      <w:bookmarkEnd w:id="161"/>
      <w:bookmarkEnd w:id="172"/>
      <w:bookmarkEnd w:id="173"/>
    </w:p>
    <w:p>
      <w:pPr>
        <w:autoSpaceDE w:val="0"/>
        <w:autoSpaceDN w:val="0"/>
        <w:adjustRightInd w:val="0"/>
        <w:spacing w:line="360" w:lineRule="auto"/>
        <w:ind w:firstLine="480" w:firstLineChars="200"/>
        <w:rPr>
          <w:rFonts w:ascii="宋体" w:hAnsi="宋体"/>
          <w:kern w:val="0"/>
          <w:sz w:val="24"/>
        </w:rPr>
      </w:pPr>
      <w:bookmarkStart w:id="174" w:name="_Toc36974289"/>
      <w:bookmarkStart w:id="175" w:name="_Toc36885854"/>
      <w:bookmarkStart w:id="176" w:name="_Toc36974051"/>
      <w:bookmarkStart w:id="177" w:name="_Toc34471344"/>
      <w:bookmarkStart w:id="178" w:name="_Toc36973198"/>
      <w:bookmarkStart w:id="179" w:name="_Toc37236847"/>
      <w:bookmarkStart w:id="180" w:name="_Toc36974340"/>
      <w:bookmarkStart w:id="181" w:name="_Toc36867048"/>
      <w:bookmarkStart w:id="182" w:name="_Toc36974207"/>
      <w:bookmarkStart w:id="183" w:name="_Toc32815547"/>
      <w:bookmarkStart w:id="184" w:name="_Toc36973985"/>
      <w:bookmarkStart w:id="185" w:name="_Toc4647"/>
      <w:bookmarkStart w:id="186" w:name="_Toc422906624"/>
      <w:bookmarkStart w:id="187" w:name="_Toc386553614"/>
      <w:r>
        <w:rPr>
          <w:rFonts w:hint="eastAsia" w:ascii="宋体" w:hAnsi="宋体"/>
          <w:kern w:val="0"/>
          <w:sz w:val="24"/>
        </w:rPr>
        <w:t>1、本项目为整体采购，谈判响应供应商</w:t>
      </w:r>
      <w:r>
        <w:rPr>
          <w:rFonts w:hint="eastAsia" w:ascii="宋体" w:hAnsi="宋体"/>
          <w:sz w:val="24"/>
        </w:rPr>
        <w:t>需严格按照</w:t>
      </w:r>
      <w:r>
        <w:rPr>
          <w:rFonts w:hint="eastAsia" w:ascii="宋体" w:hAnsi="宋体"/>
          <w:kern w:val="0"/>
          <w:sz w:val="24"/>
        </w:rPr>
        <w:t>谈判</w:t>
      </w:r>
      <w:r>
        <w:rPr>
          <w:rFonts w:hint="eastAsia" w:ascii="宋体" w:hAnsi="宋体"/>
          <w:sz w:val="24"/>
        </w:rPr>
        <w:t>文件要求进行响应，</w:t>
      </w:r>
      <w:r>
        <w:rPr>
          <w:rFonts w:hint="eastAsia" w:ascii="宋体" w:hAnsi="宋体"/>
          <w:kern w:val="0"/>
          <w:sz w:val="24"/>
        </w:rPr>
        <w:t>谈判</w:t>
      </w:r>
      <w:r>
        <w:rPr>
          <w:rFonts w:hint="eastAsia" w:ascii="宋体" w:hAnsi="宋体"/>
          <w:sz w:val="24"/>
        </w:rPr>
        <w:t>响应供应商应对所有内容完全响应，不得转包，未经采购人允许不得分包。</w:t>
      </w:r>
    </w:p>
    <w:p>
      <w:pPr>
        <w:autoSpaceDE w:val="0"/>
        <w:autoSpaceDN w:val="0"/>
        <w:adjustRightInd w:val="0"/>
        <w:spacing w:line="360" w:lineRule="auto"/>
        <w:ind w:firstLine="480" w:firstLineChars="200"/>
        <w:rPr>
          <w:rFonts w:ascii="宋体" w:hAnsi="宋体"/>
          <w:kern w:val="0"/>
          <w:sz w:val="24"/>
        </w:rPr>
      </w:pPr>
      <w:r>
        <w:rPr>
          <w:rFonts w:hint="eastAsia" w:ascii="宋体" w:hAnsi="宋体"/>
          <w:kern w:val="0"/>
          <w:sz w:val="24"/>
        </w:rPr>
        <w:t>2、谈判</w:t>
      </w:r>
      <w:r>
        <w:rPr>
          <w:rFonts w:hint="eastAsia" w:ascii="宋体" w:hAnsi="宋体"/>
          <w:sz w:val="24"/>
        </w:rPr>
        <w:t>响应供应商需根据项目特点及采购人对改造的要求，在</w:t>
      </w:r>
      <w:r>
        <w:rPr>
          <w:rFonts w:hint="eastAsia" w:ascii="宋体" w:hAnsi="宋体"/>
          <w:kern w:val="0"/>
          <w:sz w:val="24"/>
        </w:rPr>
        <w:t>谈判</w:t>
      </w:r>
      <w:r>
        <w:rPr>
          <w:rFonts w:hint="eastAsia" w:ascii="宋体" w:hAnsi="宋体"/>
          <w:sz w:val="24"/>
        </w:rPr>
        <w:t>响应文件中提供详细的</w:t>
      </w:r>
      <w:r>
        <w:rPr>
          <w:rFonts w:hint="eastAsia" w:ascii="宋体" w:hAnsi="宋体"/>
          <w:sz w:val="24"/>
          <w:lang w:val="en-US" w:eastAsia="zh-CN"/>
        </w:rPr>
        <w:t>施工</w:t>
      </w:r>
      <w:r>
        <w:rPr>
          <w:rFonts w:hint="eastAsia" w:ascii="宋体" w:hAnsi="宋体"/>
          <w:sz w:val="24"/>
        </w:rPr>
        <w:t>方案、施工进度表、</w:t>
      </w:r>
      <w:r>
        <w:rPr>
          <w:rFonts w:hint="eastAsia" w:ascii="宋体" w:hAnsi="宋体"/>
          <w:sz w:val="24"/>
          <w:lang w:val="en-US" w:eastAsia="zh-CN"/>
        </w:rPr>
        <w:t>施工</w:t>
      </w:r>
      <w:r>
        <w:rPr>
          <w:rFonts w:hint="eastAsia" w:ascii="宋体" w:hAnsi="宋体"/>
          <w:sz w:val="24"/>
        </w:rPr>
        <w:t>设备材料清单等材料。</w:t>
      </w:r>
    </w:p>
    <w:p>
      <w:pPr>
        <w:autoSpaceDE w:val="0"/>
        <w:autoSpaceDN w:val="0"/>
        <w:adjustRightInd w:val="0"/>
        <w:spacing w:line="360" w:lineRule="auto"/>
        <w:ind w:firstLine="480" w:firstLineChars="200"/>
        <w:rPr>
          <w:rFonts w:ascii="宋体" w:hAnsi="宋体"/>
          <w:kern w:val="0"/>
          <w:sz w:val="24"/>
        </w:rPr>
      </w:pPr>
      <w:r>
        <w:rPr>
          <w:rFonts w:hint="eastAsia" w:ascii="宋体" w:hAnsi="宋体"/>
          <w:kern w:val="0"/>
          <w:sz w:val="24"/>
        </w:rPr>
        <w:t>3、本项目所需辅材，如谈判文件无具体要求的，由谈判响应供应商根据技术方案要求和现场情况提供，实际使用数量与谈判响应供应商的谈判响应数量不符时不对合同总价产生变更。</w:t>
      </w:r>
    </w:p>
    <w:p>
      <w:pPr>
        <w:autoSpaceDE w:val="0"/>
        <w:autoSpaceDN w:val="0"/>
        <w:adjustRightInd w:val="0"/>
        <w:spacing w:line="360" w:lineRule="auto"/>
        <w:ind w:firstLine="480" w:firstLineChars="200"/>
        <w:rPr>
          <w:rFonts w:ascii="宋体" w:hAnsi="宋体"/>
          <w:kern w:val="0"/>
          <w:sz w:val="24"/>
        </w:rPr>
      </w:pPr>
      <w:r>
        <w:rPr>
          <w:rFonts w:hint="eastAsia" w:ascii="宋体" w:hAnsi="宋体"/>
          <w:kern w:val="0"/>
          <w:sz w:val="24"/>
        </w:rPr>
        <w:t>4、谈判</w:t>
      </w:r>
      <w:r>
        <w:rPr>
          <w:rFonts w:hint="eastAsia" w:ascii="宋体" w:hAnsi="宋体"/>
          <w:sz w:val="24"/>
        </w:rPr>
        <w:t>响应供应商应在</w:t>
      </w:r>
      <w:r>
        <w:rPr>
          <w:rFonts w:hint="eastAsia" w:ascii="宋体" w:hAnsi="宋体"/>
          <w:kern w:val="0"/>
          <w:sz w:val="24"/>
        </w:rPr>
        <w:t>谈判</w:t>
      </w:r>
      <w:r>
        <w:rPr>
          <w:rFonts w:hint="eastAsia" w:ascii="宋体" w:hAnsi="宋体"/>
          <w:sz w:val="24"/>
        </w:rPr>
        <w:t>响应文件中要明确主要材料设备品牌，提供主要材料设备品牌选用表。</w:t>
      </w:r>
    </w:p>
    <w:p>
      <w:pPr>
        <w:autoSpaceDE w:val="0"/>
        <w:autoSpaceDN w:val="0"/>
        <w:adjustRightInd w:val="0"/>
        <w:spacing w:line="360" w:lineRule="auto"/>
        <w:ind w:firstLine="480" w:firstLineChars="200"/>
        <w:rPr>
          <w:rFonts w:ascii="宋体" w:hAnsi="宋体"/>
          <w:kern w:val="0"/>
          <w:sz w:val="24"/>
        </w:rPr>
      </w:pPr>
      <w:r>
        <w:rPr>
          <w:rFonts w:hint="eastAsia" w:ascii="宋体" w:hAnsi="宋体"/>
          <w:kern w:val="0"/>
          <w:sz w:val="24"/>
        </w:rPr>
        <w:t>5、谈判</w:t>
      </w:r>
      <w:r>
        <w:rPr>
          <w:rFonts w:hint="eastAsia" w:ascii="宋体" w:hAnsi="宋体"/>
          <w:sz w:val="24"/>
        </w:rPr>
        <w:t>响应供应商提供的货物及材料必须是正规合格、品质优良的产品，技术规格、安装标准及技术规范等必须符合国家和行业规定标准、规范要求。</w:t>
      </w:r>
    </w:p>
    <w:p>
      <w:pPr>
        <w:autoSpaceDE w:val="0"/>
        <w:autoSpaceDN w:val="0"/>
        <w:adjustRightInd w:val="0"/>
        <w:spacing w:line="360" w:lineRule="auto"/>
        <w:ind w:firstLine="480" w:firstLineChars="200"/>
        <w:jc w:val="left"/>
        <w:rPr>
          <w:rFonts w:ascii="宋体" w:hAnsi="宋体"/>
          <w:kern w:val="0"/>
          <w:sz w:val="24"/>
        </w:rPr>
      </w:pPr>
      <w:r>
        <w:rPr>
          <w:rFonts w:hint="eastAsia" w:ascii="宋体" w:hAnsi="宋体"/>
          <w:kern w:val="0"/>
          <w:sz w:val="24"/>
        </w:rPr>
        <w:t>6、</w:t>
      </w:r>
      <w:r>
        <w:rPr>
          <w:rFonts w:hint="eastAsia" w:ascii="宋体" w:hAnsi="宋体"/>
          <w:sz w:val="24"/>
        </w:rPr>
        <w:t>由成交供应商购买的材料必须经过采购人按规定验证其规格、标准、质量均能满足要求方能投入使用，如果材料不合格，采购人有权要求更换合格材料，或直接指定供货商，所发生的费用由成交供应商承担，不再调整合同价格。</w:t>
      </w:r>
    </w:p>
    <w:p>
      <w:pPr>
        <w:autoSpaceDE w:val="0"/>
        <w:autoSpaceDN w:val="0"/>
        <w:adjustRightInd w:val="0"/>
        <w:spacing w:line="360" w:lineRule="auto"/>
        <w:ind w:firstLine="480" w:firstLineChars="200"/>
        <w:jc w:val="left"/>
        <w:rPr>
          <w:rFonts w:ascii="宋体" w:hAnsi="宋体"/>
          <w:kern w:val="0"/>
          <w:sz w:val="24"/>
        </w:rPr>
      </w:pPr>
      <w:r>
        <w:rPr>
          <w:rFonts w:hint="eastAsia" w:ascii="宋体" w:hAnsi="宋体"/>
          <w:kern w:val="0"/>
          <w:sz w:val="24"/>
        </w:rPr>
        <w:t>7、谈判响应供应商应在谈判响应文件中承诺所响应产品为环保、无毒、安全的产品，对人体的活动安全、健康不会造成危害。</w:t>
      </w:r>
    </w:p>
    <w:p>
      <w:pPr>
        <w:autoSpaceDE w:val="0"/>
        <w:autoSpaceDN w:val="0"/>
        <w:adjustRightInd w:val="0"/>
        <w:spacing w:line="360" w:lineRule="auto"/>
        <w:ind w:firstLine="480" w:firstLineChars="200"/>
        <w:jc w:val="left"/>
        <w:rPr>
          <w:rFonts w:ascii="宋体" w:hAnsi="宋体"/>
          <w:kern w:val="0"/>
          <w:sz w:val="24"/>
        </w:rPr>
      </w:pPr>
      <w:r>
        <w:rPr>
          <w:rFonts w:hint="eastAsia" w:ascii="宋体" w:hAnsi="宋体"/>
          <w:kern w:val="0"/>
          <w:sz w:val="24"/>
        </w:rPr>
        <w:t>8、</w:t>
      </w:r>
      <w:r>
        <w:rPr>
          <w:rFonts w:hint="eastAsia" w:ascii="宋体" w:hAnsi="宋体"/>
          <w:sz w:val="24"/>
        </w:rPr>
        <w:t>施工位置须做围挡、树立安全警示等必要措辞，保障采购人员的安全。</w:t>
      </w:r>
    </w:p>
    <w:p>
      <w:pPr>
        <w:autoSpaceDE w:val="0"/>
        <w:autoSpaceDN w:val="0"/>
        <w:adjustRightInd w:val="0"/>
        <w:spacing w:line="360" w:lineRule="auto"/>
        <w:ind w:firstLine="480" w:firstLineChars="200"/>
        <w:jc w:val="left"/>
        <w:rPr>
          <w:rFonts w:ascii="宋体" w:hAnsi="宋体"/>
          <w:kern w:val="0"/>
          <w:sz w:val="24"/>
          <w:szCs w:val="21"/>
        </w:rPr>
      </w:pPr>
      <w:r>
        <w:rPr>
          <w:rFonts w:hint="eastAsia" w:ascii="宋体" w:hAnsi="宋体"/>
          <w:kern w:val="0"/>
          <w:sz w:val="24"/>
        </w:rPr>
        <w:t>9、谈判响应供应商</w:t>
      </w:r>
      <w:r>
        <w:rPr>
          <w:rFonts w:hint="eastAsia" w:ascii="宋体" w:hAnsi="宋体"/>
          <w:kern w:val="0"/>
          <w:sz w:val="24"/>
          <w:szCs w:val="21"/>
        </w:rPr>
        <w:t>必须在</w:t>
      </w:r>
      <w:r>
        <w:rPr>
          <w:rFonts w:hint="eastAsia" w:ascii="宋体" w:hAnsi="宋体"/>
          <w:kern w:val="0"/>
          <w:sz w:val="24"/>
        </w:rPr>
        <w:t>谈判响应</w:t>
      </w:r>
      <w:r>
        <w:rPr>
          <w:rFonts w:hint="eastAsia" w:ascii="宋体" w:hAnsi="宋体"/>
          <w:kern w:val="0"/>
          <w:sz w:val="24"/>
          <w:szCs w:val="21"/>
        </w:rPr>
        <w:t>文件中详细说明其供货方案、安装方案、售后服务承诺和电话、传真等，并提供企业主要工作人员的联系方式。</w:t>
      </w:r>
    </w:p>
    <w:p>
      <w:pPr>
        <w:autoSpaceDE w:val="0"/>
        <w:autoSpaceDN w:val="0"/>
        <w:adjustRightInd w:val="0"/>
        <w:spacing w:line="360" w:lineRule="auto"/>
        <w:ind w:firstLine="480" w:firstLineChars="200"/>
        <w:jc w:val="left"/>
        <w:rPr>
          <w:rFonts w:ascii="宋体" w:hAnsi="宋体" w:cs="宋体"/>
          <w:kern w:val="0"/>
          <w:sz w:val="24"/>
        </w:rPr>
      </w:pPr>
      <w:r>
        <w:rPr>
          <w:rFonts w:hint="eastAsia" w:ascii="宋体" w:hAnsi="宋体"/>
          <w:kern w:val="0"/>
          <w:sz w:val="24"/>
          <w:szCs w:val="21"/>
        </w:rPr>
        <w:t>9.1、</w:t>
      </w:r>
      <w:r>
        <w:rPr>
          <w:rFonts w:hint="eastAsia" w:ascii="宋体" w:hAnsi="宋体"/>
          <w:kern w:val="0"/>
          <w:sz w:val="24"/>
        </w:rPr>
        <w:t>谈判响应供应商</w:t>
      </w:r>
      <w:r>
        <w:rPr>
          <w:rFonts w:hint="eastAsia" w:ascii="宋体" w:hAnsi="宋体" w:cs="宋体"/>
          <w:kern w:val="0"/>
          <w:sz w:val="24"/>
        </w:rPr>
        <w:t>应提供其参与本项目供货、安装、售后及技术支持的人员名单，应将相关文件包含在</w:t>
      </w:r>
      <w:r>
        <w:rPr>
          <w:rFonts w:hint="eastAsia" w:ascii="宋体" w:hAnsi="宋体"/>
          <w:kern w:val="0"/>
          <w:sz w:val="24"/>
        </w:rPr>
        <w:t>谈判响应</w:t>
      </w:r>
      <w:r>
        <w:rPr>
          <w:rFonts w:hint="eastAsia" w:ascii="宋体" w:hAnsi="宋体" w:cs="宋体"/>
          <w:kern w:val="0"/>
          <w:sz w:val="24"/>
        </w:rPr>
        <w:t>文件中。</w:t>
      </w:r>
    </w:p>
    <w:p>
      <w:pPr>
        <w:autoSpaceDE w:val="0"/>
        <w:autoSpaceDN w:val="0"/>
        <w:adjustRightInd w:val="0"/>
        <w:spacing w:line="360" w:lineRule="auto"/>
        <w:ind w:firstLine="480" w:firstLineChars="200"/>
        <w:jc w:val="left"/>
        <w:rPr>
          <w:rFonts w:ascii="宋体" w:hAnsi="宋体"/>
          <w:kern w:val="0"/>
          <w:sz w:val="24"/>
          <w:szCs w:val="21"/>
        </w:rPr>
      </w:pPr>
      <w:r>
        <w:rPr>
          <w:rFonts w:hint="eastAsia" w:ascii="宋体" w:hAnsi="宋体" w:cs="宋体"/>
          <w:kern w:val="0"/>
          <w:sz w:val="24"/>
        </w:rPr>
        <w:t>9.2、</w:t>
      </w:r>
      <w:r>
        <w:rPr>
          <w:rFonts w:hint="eastAsia" w:ascii="宋体" w:hAnsi="宋体"/>
          <w:kern w:val="0"/>
          <w:sz w:val="24"/>
        </w:rPr>
        <w:t>谈判响应供应商</w:t>
      </w:r>
      <w:r>
        <w:rPr>
          <w:rFonts w:hint="eastAsia" w:ascii="宋体" w:hAnsi="宋体" w:cs="宋体"/>
          <w:kern w:val="0"/>
          <w:sz w:val="24"/>
        </w:rPr>
        <w:t>应响应售后服务要求并在</w:t>
      </w:r>
      <w:r>
        <w:rPr>
          <w:rFonts w:hint="eastAsia" w:ascii="宋体" w:hAnsi="宋体"/>
          <w:kern w:val="0"/>
          <w:sz w:val="24"/>
        </w:rPr>
        <w:t>谈判响应</w:t>
      </w:r>
      <w:r>
        <w:rPr>
          <w:rFonts w:hint="eastAsia" w:ascii="宋体" w:hAnsi="宋体" w:cs="宋体"/>
          <w:kern w:val="0"/>
          <w:sz w:val="24"/>
        </w:rPr>
        <w:t>文件中提供详细具体的服务条款及保证。</w:t>
      </w:r>
    </w:p>
    <w:p>
      <w:pPr>
        <w:spacing w:line="360" w:lineRule="auto"/>
        <w:ind w:firstLine="480" w:firstLineChars="200"/>
        <w:rPr>
          <w:rFonts w:ascii="宋体" w:hAnsi="宋体"/>
          <w:sz w:val="24"/>
        </w:rPr>
      </w:pPr>
      <w:r>
        <w:rPr>
          <w:rFonts w:hint="eastAsia" w:ascii="宋体" w:hAnsi="宋体"/>
          <w:sz w:val="24"/>
        </w:rPr>
        <w:t>10、</w:t>
      </w:r>
      <w:r>
        <w:rPr>
          <w:rFonts w:hint="eastAsia" w:ascii="宋体" w:hAnsi="宋体"/>
          <w:kern w:val="0"/>
          <w:sz w:val="24"/>
        </w:rPr>
        <w:t>谈判响应供应商</w:t>
      </w:r>
      <w:r>
        <w:rPr>
          <w:rFonts w:hint="eastAsia" w:ascii="宋体" w:hAnsi="宋体"/>
          <w:sz w:val="24"/>
        </w:rPr>
        <w:t>应准时出席本项目的谈判会议，否则由此造成的一切损失由</w:t>
      </w:r>
      <w:r>
        <w:rPr>
          <w:rFonts w:hint="eastAsia" w:ascii="宋体" w:hAnsi="宋体"/>
          <w:kern w:val="0"/>
          <w:sz w:val="24"/>
        </w:rPr>
        <w:t>谈判响应供应商</w:t>
      </w:r>
      <w:r>
        <w:rPr>
          <w:rFonts w:hint="eastAsia" w:ascii="宋体" w:hAnsi="宋体"/>
          <w:sz w:val="24"/>
        </w:rPr>
        <w:t>自行承担。</w:t>
      </w:r>
    </w:p>
    <w:p>
      <w:pPr>
        <w:spacing w:line="360" w:lineRule="auto"/>
        <w:ind w:firstLine="480" w:firstLineChars="200"/>
        <w:rPr>
          <w:rFonts w:ascii="宋体" w:hAnsi="宋体"/>
          <w:kern w:val="0"/>
          <w:sz w:val="24"/>
        </w:rPr>
      </w:pPr>
      <w:r>
        <w:rPr>
          <w:rFonts w:hint="eastAsia" w:ascii="宋体" w:hAnsi="宋体" w:cs="Arial"/>
          <w:sz w:val="24"/>
        </w:rPr>
        <w:t>11、</w:t>
      </w:r>
      <w:r>
        <w:rPr>
          <w:rFonts w:hint="eastAsia" w:ascii="宋体" w:hAnsi="宋体"/>
          <w:kern w:val="0"/>
          <w:sz w:val="24"/>
        </w:rPr>
        <w:t>谈判响应供应商</w:t>
      </w:r>
      <w:r>
        <w:rPr>
          <w:rFonts w:hint="eastAsia" w:ascii="宋体" w:hAnsi="宋体" w:cs="Arial"/>
          <w:sz w:val="24"/>
        </w:rPr>
        <w:t>认为有利于采购人的其它优惠条款应单独列明。</w:t>
      </w:r>
    </w:p>
    <w:bookmarkEnd w:id="174"/>
    <w:bookmarkEnd w:id="175"/>
    <w:bookmarkEnd w:id="176"/>
    <w:bookmarkEnd w:id="177"/>
    <w:bookmarkEnd w:id="178"/>
    <w:bookmarkEnd w:id="179"/>
    <w:bookmarkEnd w:id="180"/>
    <w:bookmarkEnd w:id="181"/>
    <w:bookmarkEnd w:id="182"/>
    <w:bookmarkEnd w:id="183"/>
    <w:bookmarkEnd w:id="184"/>
    <w:p>
      <w:pPr>
        <w:pStyle w:val="3"/>
        <w:spacing w:before="0" w:after="0" w:line="360" w:lineRule="auto"/>
        <w:jc w:val="left"/>
        <w:rPr>
          <w:rFonts w:ascii="宋体" w:hAnsi="宋体" w:eastAsia="宋体"/>
          <w:color w:val="000000" w:themeColor="text1"/>
          <w:sz w:val="24"/>
          <w:szCs w:val="24"/>
          <w14:textFill>
            <w14:solidFill>
              <w14:schemeClr w14:val="tx1"/>
            </w14:solidFill>
          </w14:textFill>
        </w:rPr>
      </w:pPr>
      <w:bookmarkStart w:id="188" w:name="_Toc531349548"/>
      <w:bookmarkStart w:id="189" w:name="_Toc500834031"/>
      <w:r>
        <w:rPr>
          <w:rFonts w:hint="eastAsia" w:ascii="宋体" w:hAnsi="宋体" w:eastAsia="宋体"/>
          <w:color w:val="000000" w:themeColor="text1"/>
          <w:sz w:val="24"/>
          <w:szCs w:val="24"/>
          <w14:textFill>
            <w14:solidFill>
              <w14:schemeClr w14:val="tx1"/>
            </w14:solidFill>
          </w14:textFill>
        </w:rPr>
        <w:t>四、报价及验收要求</w:t>
      </w:r>
      <w:bookmarkEnd w:id="185"/>
      <w:bookmarkEnd w:id="186"/>
      <w:bookmarkEnd w:id="187"/>
      <w:bookmarkEnd w:id="188"/>
      <w:bookmarkEnd w:id="189"/>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sz w:val="24"/>
        </w:rPr>
        <w:t>本项目实行总价风险包干，供应商在报价时应自行充分考虑有可能发生的所有费用及风险因素，并将该风险包干费用计入总报价中。本项目须列出各细项目单价及总价；谈判响应供应商应充分考虑交货期间生产材料价格上涨及市场销售价格上涨的风险，且该项风险费在报价中充分考虑。本次报价包括但不限于以下费用：产品的生产制造费、运输费、装卸费、拆除费、搬运费、垃圾清运费、安装辅材费、行政规费与税费、管理费、风险费、检测费、验收费、谈判成交服务费、售后服务费等一切费用。</w:t>
      </w:r>
    </w:p>
    <w:p>
      <w:pPr>
        <w:spacing w:line="360" w:lineRule="auto"/>
        <w:ind w:firstLine="480" w:firstLineChars="200"/>
        <w:rPr>
          <w:rFonts w:ascii="宋体" w:hAnsi="宋体" w:cs="Arial"/>
          <w:sz w:val="24"/>
        </w:rPr>
      </w:pPr>
      <w:r>
        <w:rPr>
          <w:rFonts w:hint="eastAsia" w:ascii="宋体" w:hAnsi="宋体"/>
          <w:bCs/>
          <w:sz w:val="24"/>
        </w:rPr>
        <w:t>2、</w:t>
      </w:r>
      <w:r>
        <w:rPr>
          <w:rFonts w:hint="eastAsia" w:ascii="宋体" w:hAnsi="宋体" w:cs="Arial"/>
          <w:sz w:val="24"/>
        </w:rPr>
        <w:t>报价以人民币为货币单位，应分单价、小计和总价。</w:t>
      </w:r>
    </w:p>
    <w:p>
      <w:pPr>
        <w:spacing w:line="360" w:lineRule="auto"/>
        <w:ind w:firstLine="480" w:firstLineChars="200"/>
        <w:rPr>
          <w:rFonts w:ascii="宋体" w:hAnsi="宋体" w:cs="Arial"/>
          <w:sz w:val="24"/>
        </w:rPr>
      </w:pPr>
      <w:r>
        <w:rPr>
          <w:rFonts w:hint="eastAsia" w:ascii="宋体" w:hAnsi="宋体" w:cs="Arial"/>
          <w:sz w:val="24"/>
        </w:rPr>
        <w:t>3、谈判响应供应商单价报价中漏报、少报的费用，视为此项费用已隐含在谈判响应报价中，成交后不得再向采购人收取任何费用。</w:t>
      </w:r>
    </w:p>
    <w:p>
      <w:pPr>
        <w:spacing w:line="360" w:lineRule="auto"/>
        <w:ind w:firstLine="480" w:firstLineChars="200"/>
        <w:rPr>
          <w:rFonts w:ascii="宋体" w:hAnsi="宋体" w:cs="Arial"/>
          <w:sz w:val="24"/>
        </w:rPr>
      </w:pPr>
      <w:r>
        <w:rPr>
          <w:rFonts w:hint="eastAsia" w:ascii="宋体" w:hAnsi="宋体" w:cs="Arial"/>
          <w:sz w:val="24"/>
        </w:rPr>
        <w:t>4、</w:t>
      </w:r>
      <w:r>
        <w:rPr>
          <w:rFonts w:hint="eastAsia" w:ascii="宋体" w:hAnsi="宋体"/>
          <w:bCs/>
          <w:sz w:val="24"/>
        </w:rPr>
        <w:t>本</w:t>
      </w:r>
      <w:r>
        <w:rPr>
          <w:rFonts w:hint="eastAsia" w:ascii="宋体" w:hAnsi="宋体" w:cs="Arial"/>
          <w:sz w:val="24"/>
        </w:rPr>
        <w:t>谈判文件、谈判响应文件、合同、货物技术标准说明及国家有关的质量规范、标准规定，均为本谈判项目的验收依据。</w:t>
      </w:r>
    </w:p>
    <w:p>
      <w:pPr>
        <w:spacing w:line="360" w:lineRule="auto"/>
        <w:ind w:firstLine="480" w:firstLineChars="200"/>
        <w:rPr>
          <w:rFonts w:ascii="宋体" w:hAnsi="宋体"/>
          <w:sz w:val="24"/>
        </w:rPr>
      </w:pPr>
      <w:r>
        <w:rPr>
          <w:rFonts w:hint="eastAsia" w:ascii="宋体" w:hAnsi="宋体" w:cs="Arial"/>
          <w:sz w:val="24"/>
        </w:rPr>
        <w:t>5、</w:t>
      </w:r>
      <w:r>
        <w:rPr>
          <w:rFonts w:hint="eastAsia" w:ascii="宋体" w:hAnsi="宋体"/>
          <w:sz w:val="24"/>
        </w:rPr>
        <w:t>本次项目交付验收使用时必须由采购人和验收部门或单位按本谈判文件、谈判响应文件及所签订的合同要求共同验收。</w:t>
      </w:r>
    </w:p>
    <w:p>
      <w:pPr>
        <w:spacing w:line="360" w:lineRule="auto"/>
        <w:ind w:firstLine="480" w:firstLineChars="200"/>
        <w:rPr>
          <w:rFonts w:ascii="宋体" w:hAnsi="宋体"/>
          <w:sz w:val="24"/>
        </w:rPr>
      </w:pPr>
      <w:r>
        <w:rPr>
          <w:rFonts w:hint="eastAsia" w:ascii="宋体" w:hAnsi="宋体"/>
          <w:sz w:val="24"/>
        </w:rPr>
        <w:t>6、成交供应商在供货、安装调试及验收过程中若有出现安全事故，其责任及相应的赔偿均由成交供应商自行承担，采购人不承担任何责任及义务。</w:t>
      </w:r>
    </w:p>
    <w:p>
      <w:pPr>
        <w:pStyle w:val="3"/>
        <w:spacing w:before="0" w:after="0" w:line="360" w:lineRule="auto"/>
        <w:jc w:val="left"/>
        <w:rPr>
          <w:rFonts w:ascii="宋体" w:hAnsi="宋体" w:eastAsia="宋体"/>
          <w:sz w:val="24"/>
          <w:szCs w:val="24"/>
        </w:rPr>
      </w:pPr>
      <w:bookmarkStart w:id="190" w:name="_Toc422906625"/>
      <w:bookmarkStart w:id="191" w:name="_Toc907"/>
      <w:bookmarkStart w:id="192" w:name="_Toc500834032"/>
      <w:bookmarkStart w:id="193" w:name="_Toc386553615"/>
      <w:bookmarkStart w:id="194" w:name="_Toc531349549"/>
      <w:r>
        <w:rPr>
          <w:rFonts w:hint="eastAsia" w:ascii="宋体" w:hAnsi="宋体" w:eastAsia="宋体"/>
          <w:sz w:val="24"/>
          <w:szCs w:val="24"/>
        </w:rPr>
        <w:t>五、售后服务要求</w:t>
      </w:r>
      <w:bookmarkEnd w:id="190"/>
      <w:bookmarkEnd w:id="191"/>
      <w:bookmarkEnd w:id="192"/>
      <w:bookmarkEnd w:id="193"/>
      <w:bookmarkEnd w:id="194"/>
    </w:p>
    <w:p>
      <w:pPr>
        <w:spacing w:line="360" w:lineRule="auto"/>
        <w:ind w:firstLine="480" w:firstLineChars="200"/>
        <w:rPr>
          <w:rFonts w:ascii="宋体" w:hAnsi="宋体"/>
          <w:b/>
          <w:sz w:val="24"/>
        </w:rPr>
      </w:pPr>
      <w:bookmarkStart w:id="195" w:name="_Toc350846506"/>
      <w:bookmarkStart w:id="196" w:name="_Toc394933928"/>
      <w:bookmarkStart w:id="197" w:name="_Toc416715889"/>
      <w:bookmarkStart w:id="198" w:name="_Toc316463792"/>
      <w:bookmarkStart w:id="199" w:name="_Toc333928683"/>
      <w:bookmarkStart w:id="200" w:name="_Toc422906626"/>
      <w:bookmarkStart w:id="201" w:name="_Toc386553616"/>
      <w:bookmarkStart w:id="202" w:name="_Toc11400"/>
      <w:r>
        <w:rPr>
          <w:rFonts w:hint="eastAsia" w:ascii="宋体" w:hAnsi="宋体"/>
          <w:bCs/>
          <w:sz w:val="24"/>
        </w:rPr>
        <w:t>1、</w:t>
      </w:r>
      <w:r>
        <w:rPr>
          <w:rFonts w:hint="eastAsia" w:ascii="宋体" w:hAnsi="宋体"/>
          <w:sz w:val="24"/>
        </w:rPr>
        <w:t>本项目</w:t>
      </w:r>
      <w:r>
        <w:rPr>
          <w:rFonts w:hint="eastAsia" w:ascii="宋体" w:hAnsi="宋体"/>
          <w:sz w:val="24"/>
          <w:szCs w:val="21"/>
        </w:rPr>
        <w:t>要求提供自验收合格之日起整体</w:t>
      </w:r>
      <w:r>
        <w:rPr>
          <w:rFonts w:hint="eastAsia" w:ascii="宋体" w:hAnsi="宋体"/>
          <w:b/>
          <w:bCs/>
          <w:sz w:val="24"/>
          <w:szCs w:val="21"/>
        </w:rPr>
        <w:t>至少保修</w:t>
      </w:r>
      <w:r>
        <w:rPr>
          <w:rFonts w:hint="eastAsia" w:ascii="宋体" w:hAnsi="宋体"/>
          <w:b/>
          <w:bCs/>
          <w:sz w:val="24"/>
          <w:szCs w:val="21"/>
          <w:u w:val="single"/>
        </w:rPr>
        <w:t xml:space="preserve"> </w:t>
      </w:r>
      <w:r>
        <w:rPr>
          <w:rFonts w:hint="eastAsia" w:ascii="宋体" w:hAnsi="宋体"/>
          <w:b/>
          <w:bCs/>
          <w:sz w:val="24"/>
          <w:szCs w:val="21"/>
          <w:u w:val="single"/>
          <w:lang w:val="en-US" w:eastAsia="zh-CN"/>
        </w:rPr>
        <w:t>贰</w:t>
      </w:r>
      <w:r>
        <w:rPr>
          <w:rFonts w:hint="eastAsia" w:ascii="宋体" w:hAnsi="宋体"/>
          <w:b/>
          <w:bCs/>
          <w:sz w:val="24"/>
          <w:szCs w:val="21"/>
          <w:u w:val="single"/>
        </w:rPr>
        <w:t xml:space="preserve"> </w:t>
      </w:r>
      <w:r>
        <w:rPr>
          <w:rFonts w:hint="eastAsia" w:ascii="宋体" w:hAnsi="宋体"/>
          <w:b/>
          <w:bCs/>
          <w:sz w:val="24"/>
          <w:szCs w:val="21"/>
        </w:rPr>
        <w:t>年</w:t>
      </w:r>
      <w:r>
        <w:rPr>
          <w:rFonts w:hint="eastAsia" w:ascii="宋体" w:hAnsi="宋体"/>
          <w:kern w:val="0"/>
          <w:sz w:val="24"/>
          <w:szCs w:val="20"/>
        </w:rPr>
        <w:t>，谈判响应供应商可根据自身情况提供更长的保修期限。</w:t>
      </w:r>
      <w:r>
        <w:rPr>
          <w:rFonts w:hint="eastAsia" w:ascii="宋体" w:hAnsi="宋体"/>
          <w:b/>
          <w:sz w:val="24"/>
        </w:rPr>
        <w:t>谈判响应供应商需在</w:t>
      </w:r>
      <w:r>
        <w:rPr>
          <w:rFonts w:hint="eastAsia" w:ascii="宋体" w:hAnsi="宋体"/>
          <w:b/>
          <w:kern w:val="0"/>
          <w:sz w:val="24"/>
        </w:rPr>
        <w:t>谈判响应</w:t>
      </w:r>
      <w:r>
        <w:rPr>
          <w:rFonts w:hint="eastAsia" w:ascii="宋体" w:hAnsi="宋体"/>
          <w:b/>
          <w:sz w:val="24"/>
        </w:rPr>
        <w:t>文件中对此作出承诺并加盖谈判响应供应商公章。</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2、若产品发生故障，或由于质量、材料、设计不合理等原因造成的损坏，由成交供应商负责修复，并承担由此发生的费用。要求供应商在</w:t>
      </w:r>
      <w:r>
        <w:rPr>
          <w:rFonts w:ascii="宋体" w:hAnsi="宋体"/>
          <w:color w:val="000000" w:themeColor="text1"/>
          <w:sz w:val="24"/>
          <w14:textFill>
            <w14:solidFill>
              <w14:schemeClr w14:val="tx1"/>
            </w14:solidFill>
          </w14:textFill>
        </w:rPr>
        <w:t>4小时内到场维修响应，24小时内排除故障，在2日内仍无法修复的，保修期内需</w:t>
      </w:r>
      <w:r>
        <w:rPr>
          <w:rFonts w:hint="eastAsia" w:ascii="宋体" w:hAnsi="宋体"/>
          <w:color w:val="000000" w:themeColor="text1"/>
          <w:sz w:val="24"/>
          <w14:textFill>
            <w14:solidFill>
              <w14:schemeClr w14:val="tx1"/>
            </w14:solidFill>
          </w14:textFill>
        </w:rPr>
        <w:t>免费更换新产品。</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3、谈判响应供应商应按照本采购项目特点提供长期良好的售后服务，并在谈判响应文件中提供详细具体的售后服务承诺条款及保证，在质保期内售后服务所需费用列入谈判响应报价。</w:t>
      </w:r>
    </w:p>
    <w:bookmarkEnd w:id="195"/>
    <w:bookmarkEnd w:id="196"/>
    <w:bookmarkEnd w:id="197"/>
    <w:bookmarkEnd w:id="198"/>
    <w:bookmarkEnd w:id="199"/>
    <w:p>
      <w:pPr>
        <w:pStyle w:val="3"/>
        <w:spacing w:before="0" w:after="0" w:line="360" w:lineRule="auto"/>
        <w:jc w:val="left"/>
        <w:rPr>
          <w:rFonts w:ascii="宋体" w:hAnsi="宋体" w:eastAsia="宋体"/>
          <w:color w:val="000000" w:themeColor="text1"/>
          <w:sz w:val="24"/>
          <w:szCs w:val="24"/>
          <w14:textFill>
            <w14:solidFill>
              <w14:schemeClr w14:val="tx1"/>
            </w14:solidFill>
          </w14:textFill>
        </w:rPr>
      </w:pPr>
      <w:bookmarkStart w:id="203" w:name="_Toc531349550"/>
      <w:bookmarkStart w:id="204" w:name="_Toc500834033"/>
      <w:r>
        <w:rPr>
          <w:rFonts w:hint="eastAsia" w:ascii="宋体" w:hAnsi="宋体" w:eastAsia="宋体"/>
          <w:color w:val="000000" w:themeColor="text1"/>
          <w:sz w:val="24"/>
          <w:szCs w:val="24"/>
          <w14:textFill>
            <w14:solidFill>
              <w14:schemeClr w14:val="tx1"/>
            </w14:solidFill>
          </w14:textFill>
        </w:rPr>
        <w:t>六、合同签订</w:t>
      </w:r>
      <w:bookmarkEnd w:id="200"/>
      <w:bookmarkEnd w:id="201"/>
      <w:bookmarkEnd w:id="202"/>
      <w:bookmarkEnd w:id="203"/>
      <w:bookmarkEnd w:id="204"/>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成交供应商接到《成交通知书》后两日内，持《成交通知书》与采购人联系签订合同等相关事宜，谈判文件条款、成交供应商的谈判响应文件内容均为合同签订的基础。成交供应商应在合同签订后的一个工作日内将合同副本送采购代理机构备案。若因成交供应商自身原因导致不能完成合同签订手续的，采购人将不予退还谈判响应保证金。</w:t>
      </w:r>
    </w:p>
    <w:p>
      <w:pPr>
        <w:pStyle w:val="3"/>
        <w:spacing w:before="0" w:after="0" w:line="360" w:lineRule="auto"/>
        <w:jc w:val="left"/>
        <w:rPr>
          <w:rFonts w:ascii="宋体" w:hAnsi="宋体" w:eastAsia="宋体"/>
          <w:color w:val="auto"/>
          <w:sz w:val="24"/>
          <w:szCs w:val="24"/>
        </w:rPr>
      </w:pPr>
      <w:bookmarkStart w:id="205" w:name="_Toc422906627"/>
      <w:bookmarkStart w:id="206" w:name="_Toc500834034"/>
      <w:bookmarkStart w:id="207" w:name="_Toc3015"/>
      <w:bookmarkStart w:id="208" w:name="_Toc386553617"/>
      <w:bookmarkStart w:id="209" w:name="_Toc531349551"/>
      <w:r>
        <w:rPr>
          <w:rFonts w:hint="eastAsia" w:ascii="宋体" w:hAnsi="宋体" w:eastAsia="宋体"/>
          <w:color w:val="000000" w:themeColor="text1"/>
          <w:sz w:val="24"/>
          <w:szCs w:val="24"/>
          <w14:textFill>
            <w14:solidFill>
              <w14:schemeClr w14:val="tx1"/>
            </w14:solidFill>
          </w14:textFill>
        </w:rPr>
        <w:t>七</w:t>
      </w:r>
      <w:r>
        <w:rPr>
          <w:rFonts w:hint="eastAsia" w:ascii="宋体" w:hAnsi="宋体" w:eastAsia="宋体"/>
          <w:color w:val="auto"/>
          <w:sz w:val="24"/>
          <w:szCs w:val="24"/>
        </w:rPr>
        <w:t>、付款方式</w:t>
      </w:r>
      <w:bookmarkEnd w:id="205"/>
      <w:bookmarkEnd w:id="206"/>
      <w:bookmarkEnd w:id="207"/>
      <w:bookmarkEnd w:id="208"/>
      <w:bookmarkEnd w:id="209"/>
    </w:p>
    <w:p>
      <w:pPr>
        <w:spacing w:line="360" w:lineRule="auto"/>
        <w:ind w:firstLine="480" w:firstLineChars="200"/>
        <w:outlineLvl w:val="1"/>
        <w:rPr>
          <w:rFonts w:ascii="宋体" w:hAnsi="宋体"/>
          <w:color w:val="auto"/>
          <w:sz w:val="24"/>
        </w:rPr>
      </w:pPr>
      <w:bookmarkStart w:id="210" w:name="_Toc6995"/>
      <w:r>
        <w:rPr>
          <w:rFonts w:hint="eastAsia" w:ascii="宋体" w:hAnsi="宋体"/>
          <w:color w:val="auto"/>
          <w:sz w:val="24"/>
        </w:rPr>
        <w:t>1、合同签订之日起3个日历日内供应商进场施工，且主要材料采购运至现场验收合格后，供应商凭收讫货物验收凭证及产品合格凭证向采购人申请第一次付款，第一次付款按合同价3%支付。</w:t>
      </w:r>
    </w:p>
    <w:bookmarkEnd w:id="210"/>
    <w:p>
      <w:pPr>
        <w:spacing w:line="348" w:lineRule="auto"/>
        <w:ind w:firstLine="480" w:firstLineChars="200"/>
        <w:rPr>
          <w:color w:val="FF0000"/>
          <w:sz w:val="24"/>
        </w:rPr>
      </w:pPr>
      <w:bookmarkStart w:id="211" w:name="_Toc26377"/>
      <w:r>
        <w:rPr>
          <w:rFonts w:hint="eastAsia" w:ascii="宋体" w:hAnsi="宋体"/>
          <w:color w:val="auto"/>
          <w:sz w:val="24"/>
        </w:rPr>
        <w:t>2、</w:t>
      </w:r>
      <w:bookmarkEnd w:id="211"/>
      <w:r>
        <w:rPr>
          <w:rFonts w:hint="eastAsia" w:ascii="宋体" w:hAnsi="宋体"/>
          <w:color w:val="auto"/>
          <w:sz w:val="24"/>
        </w:rPr>
        <w:t>工程竣工验收合格后，供应商凭验收合格证向采购人申请第二次付款至合同价97%。</w:t>
      </w:r>
    </w:p>
    <w:p>
      <w:pPr>
        <w:pageBreakBefore/>
        <w:spacing w:line="360" w:lineRule="auto"/>
        <w:jc w:val="center"/>
        <w:outlineLvl w:val="1"/>
        <w:rPr>
          <w:rFonts w:ascii="宋体" w:hAnsi="宋体"/>
          <w:b/>
          <w:sz w:val="30"/>
          <w:szCs w:val="30"/>
        </w:rPr>
        <w:sectPr>
          <w:pgSz w:w="11907" w:h="16840"/>
          <w:pgMar w:top="1418" w:right="1287" w:bottom="1418" w:left="1440" w:header="851" w:footer="992" w:gutter="0"/>
          <w:cols w:space="720" w:num="1"/>
          <w:docGrid w:linePitch="381" w:charSpace="0"/>
        </w:sectPr>
      </w:pPr>
    </w:p>
    <w:p>
      <w:pPr>
        <w:pageBreakBefore/>
        <w:spacing w:line="360" w:lineRule="auto"/>
        <w:jc w:val="center"/>
        <w:outlineLvl w:val="1"/>
        <w:rPr>
          <w:rFonts w:ascii="宋体" w:hAnsi="宋体"/>
          <w:b/>
          <w:sz w:val="30"/>
          <w:szCs w:val="30"/>
        </w:rPr>
      </w:pPr>
      <w:bookmarkStart w:id="212" w:name="_Toc531349552"/>
      <w:r>
        <w:rPr>
          <w:rFonts w:hint="eastAsia" w:ascii="宋体" w:hAnsi="宋体"/>
          <w:b/>
          <w:sz w:val="30"/>
          <w:szCs w:val="30"/>
        </w:rPr>
        <w:t>第四章  采购合同（参考文本）</w:t>
      </w:r>
      <w:bookmarkEnd w:id="162"/>
      <w:bookmarkEnd w:id="163"/>
      <w:bookmarkEnd w:id="212"/>
    </w:p>
    <w:tbl>
      <w:tblPr>
        <w:tblStyle w:val="39"/>
        <w:tblW w:w="93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324" w:type="dxa"/>
          </w:tcPr>
          <w:p>
            <w:pPr>
              <w:spacing w:before="120" w:line="360" w:lineRule="auto"/>
              <w:rPr>
                <w:rFonts w:ascii="宋体" w:hAnsi="宋体"/>
                <w:sz w:val="24"/>
              </w:rPr>
            </w:pPr>
            <w:r>
              <w:rPr>
                <w:rFonts w:hint="eastAsia" w:ascii="宋体" w:hAnsi="宋体"/>
                <w:sz w:val="24"/>
              </w:rPr>
              <w:t xml:space="preserve">注  释： </w:t>
            </w:r>
          </w:p>
          <w:p>
            <w:pPr>
              <w:spacing w:line="360" w:lineRule="auto"/>
              <w:ind w:firstLine="480" w:firstLineChars="200"/>
              <w:rPr>
                <w:rFonts w:ascii="宋体" w:hAnsi="宋体"/>
                <w:b/>
                <w:spacing w:val="20"/>
                <w:sz w:val="24"/>
              </w:rPr>
            </w:pPr>
            <w:r>
              <w:rPr>
                <w:rFonts w:hint="eastAsia" w:ascii="宋体" w:hAnsi="宋体"/>
                <w:sz w:val="24"/>
              </w:rPr>
              <w:t>本格式条款仅作为双方签订合同的参考，为阐明各方的权利和义务，经协商可增加新的条款、修改相关条款， 但不得与谈判文件、谈判响应文件的实质性内容相背离。</w:t>
            </w:r>
          </w:p>
        </w:tc>
      </w:tr>
    </w:tbl>
    <w:p>
      <w:pPr>
        <w:spacing w:line="360" w:lineRule="auto"/>
        <w:rPr>
          <w:rFonts w:ascii="宋体" w:hAnsi="宋体"/>
          <w:sz w:val="24"/>
        </w:rPr>
      </w:pPr>
      <w:r>
        <w:rPr>
          <w:rFonts w:hint="eastAsia" w:ascii="宋体" w:hAnsi="宋体"/>
          <w:sz w:val="24"/>
        </w:rPr>
        <w:t>合同编号：</w:t>
      </w:r>
    </w:p>
    <w:p>
      <w:pPr>
        <w:spacing w:line="360" w:lineRule="auto"/>
        <w:rPr>
          <w:rFonts w:ascii="宋体" w:hAnsi="宋体"/>
          <w:sz w:val="24"/>
        </w:rPr>
      </w:pPr>
      <w:r>
        <w:rPr>
          <w:rFonts w:hint="eastAsia" w:ascii="宋体" w:hAnsi="宋体"/>
          <w:sz w:val="24"/>
        </w:rPr>
        <w:t>甲方</w:t>
      </w:r>
      <w:r>
        <w:rPr>
          <w:rFonts w:ascii="宋体" w:hAnsi="宋体"/>
          <w:sz w:val="24"/>
        </w:rPr>
        <w:t>（</w:t>
      </w:r>
      <w:r>
        <w:rPr>
          <w:rFonts w:hint="eastAsia" w:ascii="宋体" w:hAnsi="宋体"/>
          <w:sz w:val="24"/>
        </w:rPr>
        <w:t>采购人</w:t>
      </w:r>
      <w:r>
        <w:rPr>
          <w:rFonts w:ascii="宋体" w:hAnsi="宋体"/>
          <w:sz w:val="24"/>
        </w:rPr>
        <w:t>）</w:t>
      </w:r>
      <w:r>
        <w:rPr>
          <w:rFonts w:hint="eastAsia" w:ascii="宋体" w:hAnsi="宋体"/>
          <w:sz w:val="24"/>
        </w:rPr>
        <w:t>：</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 xml:space="preserve">  签订地点：</w:t>
      </w:r>
      <w:r>
        <w:rPr>
          <w:rFonts w:hint="eastAsia" w:ascii="宋体" w:hAnsi="宋体"/>
          <w:sz w:val="24"/>
          <w:u w:val="single"/>
        </w:rPr>
        <w:t xml:space="preserve">                 </w:t>
      </w:r>
      <w:r>
        <w:rPr>
          <w:rFonts w:hint="eastAsia" w:ascii="宋体" w:hAnsi="宋体"/>
          <w:sz w:val="24"/>
        </w:rPr>
        <w:t xml:space="preserve">  </w:t>
      </w:r>
    </w:p>
    <w:p>
      <w:pPr>
        <w:spacing w:line="360" w:lineRule="auto"/>
        <w:rPr>
          <w:rFonts w:ascii="宋体" w:hAnsi="宋体"/>
          <w:sz w:val="24"/>
          <w:u w:val="single"/>
        </w:rPr>
      </w:pPr>
      <w:r>
        <w:rPr>
          <w:rFonts w:hint="eastAsia" w:ascii="宋体" w:hAnsi="宋体"/>
          <w:sz w:val="24"/>
        </w:rPr>
        <w:t>乙方（成交供应商）：</w:t>
      </w:r>
      <w:r>
        <w:rPr>
          <w:rFonts w:hint="eastAsia" w:ascii="宋体" w:hAnsi="宋体"/>
          <w:sz w:val="24"/>
          <w:u w:val="single"/>
        </w:rPr>
        <w:t xml:space="preserve">                         </w:t>
      </w:r>
      <w:r>
        <w:rPr>
          <w:rFonts w:hint="eastAsia" w:ascii="宋体" w:hAnsi="宋体"/>
          <w:sz w:val="24"/>
        </w:rPr>
        <w:t>签订日期：</w:t>
      </w:r>
      <w:r>
        <w:rPr>
          <w:rFonts w:hint="eastAsia" w:ascii="宋体" w:hAnsi="宋体"/>
          <w:sz w:val="24"/>
          <w:u w:val="single"/>
        </w:rPr>
        <w:t xml:space="preserve">     </w:t>
      </w:r>
      <w:r>
        <w:rPr>
          <w:rFonts w:hint="eastAsia" w:ascii="宋体" w:hAnsi="宋体"/>
          <w:sz w:val="24"/>
          <w:u w:val="none"/>
        </w:rPr>
        <w:t>年</w:t>
      </w:r>
      <w:r>
        <w:rPr>
          <w:rFonts w:hint="eastAsia" w:ascii="宋体" w:hAnsi="宋体"/>
          <w:sz w:val="24"/>
          <w:u w:val="single"/>
        </w:rPr>
        <w:t xml:space="preserve">   </w:t>
      </w:r>
      <w:r>
        <w:rPr>
          <w:rFonts w:hint="eastAsia" w:ascii="宋体" w:hAnsi="宋体"/>
          <w:sz w:val="24"/>
          <w:u w:val="none"/>
        </w:rPr>
        <w:t>月</w:t>
      </w:r>
      <w:r>
        <w:rPr>
          <w:rFonts w:hint="eastAsia" w:ascii="宋体" w:hAnsi="宋体"/>
          <w:sz w:val="24"/>
          <w:u w:val="single"/>
        </w:rPr>
        <w:t xml:space="preserve">   </w:t>
      </w:r>
      <w:r>
        <w:rPr>
          <w:rFonts w:hint="eastAsia" w:ascii="宋体" w:hAnsi="宋体"/>
          <w:sz w:val="24"/>
          <w:u w:val="none"/>
        </w:rPr>
        <w:t>日</w:t>
      </w:r>
    </w:p>
    <w:p>
      <w:pPr>
        <w:autoSpaceDE w:val="0"/>
        <w:autoSpaceDN w:val="0"/>
        <w:adjustRightInd w:val="0"/>
        <w:spacing w:line="360" w:lineRule="auto"/>
        <w:ind w:firstLine="480" w:firstLineChars="200"/>
        <w:jc w:val="left"/>
        <w:rPr>
          <w:rFonts w:ascii="宋体" w:hAnsi="宋体"/>
          <w:sz w:val="24"/>
        </w:rPr>
      </w:pPr>
      <w:r>
        <w:rPr>
          <w:rFonts w:hint="eastAsia" w:ascii="宋体" w:hAnsi="宋体"/>
          <w:sz w:val="24"/>
        </w:rPr>
        <w:t>根据甲方委托</w:t>
      </w:r>
      <w:r>
        <w:rPr>
          <w:rFonts w:hint="eastAsia" w:ascii="宋体" w:hAnsi="宋体"/>
          <w:sz w:val="24"/>
          <w:u w:val="single"/>
        </w:rPr>
        <w:t>（采购代理机构）</w:t>
      </w:r>
      <w:r>
        <w:rPr>
          <w:rFonts w:hint="eastAsia" w:ascii="宋体" w:hAnsi="宋体"/>
          <w:sz w:val="24"/>
        </w:rPr>
        <w:t>对</w:t>
      </w:r>
      <w:r>
        <w:rPr>
          <w:rFonts w:hint="eastAsia" w:ascii="宋体" w:hAnsi="宋体"/>
          <w:sz w:val="24"/>
          <w:u w:val="single"/>
        </w:rPr>
        <w:t xml:space="preserve">       </w:t>
      </w:r>
      <w:r>
        <w:rPr>
          <w:rFonts w:hint="eastAsia" w:ascii="宋体" w:hAnsi="宋体"/>
          <w:sz w:val="24"/>
        </w:rPr>
        <w:t>进行采购（项目编号：</w:t>
      </w:r>
      <w:r>
        <w:rPr>
          <w:rFonts w:hint="eastAsia" w:ascii="宋体" w:hAnsi="宋体"/>
          <w:sz w:val="24"/>
          <w:u w:val="single"/>
        </w:rPr>
        <w:t xml:space="preserve">     </w:t>
      </w:r>
      <w:r>
        <w:rPr>
          <w:rFonts w:hint="eastAsia" w:ascii="宋体" w:hAnsi="宋体"/>
          <w:sz w:val="24"/>
        </w:rPr>
        <w:t>）的采购结果，乙方为成交供应商，现依照谈判响应文件、</w:t>
      </w:r>
      <w:r>
        <w:rPr>
          <w:rFonts w:hint="eastAsia" w:ascii="宋体" w:hAnsi="宋体"/>
          <w:sz w:val="24"/>
          <w:u w:val="single"/>
        </w:rPr>
        <w:t>（成交供应商）</w:t>
      </w:r>
      <w:r>
        <w:rPr>
          <w:rFonts w:hint="eastAsia" w:ascii="宋体" w:hAnsi="宋体"/>
          <w:sz w:val="24"/>
        </w:rPr>
        <w:t>响应文件及有关法律、法规、规章规定的内容，双方达成如下协议：</w:t>
      </w:r>
    </w:p>
    <w:p>
      <w:pPr>
        <w:pStyle w:val="36"/>
        <w:spacing w:line="360" w:lineRule="auto"/>
        <w:ind w:firstLine="482" w:firstLineChars="200"/>
        <w:rPr>
          <w:rFonts w:ascii="宋体" w:hAnsi="宋体"/>
          <w:b/>
          <w:kern w:val="2"/>
        </w:rPr>
      </w:pPr>
      <w:r>
        <w:rPr>
          <w:rFonts w:hint="eastAsia" w:ascii="宋体" w:hAnsi="宋体"/>
          <w:b/>
          <w:kern w:val="2"/>
        </w:rPr>
        <w:t>一、合同标的和合同价格如下</w:t>
      </w:r>
      <w:r>
        <w:rPr>
          <w:rFonts w:ascii="宋体" w:hAnsi="宋体"/>
          <w:b/>
          <w:kern w:val="2"/>
        </w:rPr>
        <w:t>：</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1800"/>
        <w:gridCol w:w="1080"/>
        <w:gridCol w:w="1620"/>
        <w:gridCol w:w="2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728" w:type="dxa"/>
            <w:vAlign w:val="center"/>
          </w:tcPr>
          <w:p>
            <w:pPr>
              <w:spacing w:line="360" w:lineRule="auto"/>
              <w:jc w:val="center"/>
              <w:rPr>
                <w:rFonts w:ascii="宋体" w:hAnsi="宋体"/>
                <w:sz w:val="24"/>
              </w:rPr>
            </w:pPr>
            <w:r>
              <w:rPr>
                <w:rFonts w:hint="eastAsia" w:ascii="宋体" w:hAnsi="宋体"/>
                <w:sz w:val="24"/>
              </w:rPr>
              <w:t>项目名称</w:t>
            </w:r>
          </w:p>
        </w:tc>
        <w:tc>
          <w:tcPr>
            <w:tcW w:w="1800" w:type="dxa"/>
            <w:vAlign w:val="center"/>
          </w:tcPr>
          <w:p>
            <w:pPr>
              <w:spacing w:line="360" w:lineRule="auto"/>
              <w:jc w:val="center"/>
              <w:rPr>
                <w:rFonts w:ascii="宋体" w:hAnsi="宋体"/>
                <w:sz w:val="24"/>
              </w:rPr>
            </w:pPr>
            <w:r>
              <w:rPr>
                <w:rFonts w:hint="eastAsia" w:ascii="宋体" w:hAnsi="宋体"/>
                <w:sz w:val="24"/>
              </w:rPr>
              <w:t>单价（元）</w:t>
            </w:r>
          </w:p>
        </w:tc>
        <w:tc>
          <w:tcPr>
            <w:tcW w:w="1080" w:type="dxa"/>
            <w:vAlign w:val="center"/>
          </w:tcPr>
          <w:p>
            <w:pPr>
              <w:spacing w:line="360" w:lineRule="auto"/>
              <w:jc w:val="center"/>
              <w:rPr>
                <w:rFonts w:ascii="宋体" w:hAnsi="宋体"/>
                <w:sz w:val="24"/>
              </w:rPr>
            </w:pPr>
            <w:r>
              <w:rPr>
                <w:rFonts w:hint="eastAsia" w:ascii="宋体" w:hAnsi="宋体"/>
                <w:sz w:val="24"/>
              </w:rPr>
              <w:t>数量</w:t>
            </w:r>
          </w:p>
        </w:tc>
        <w:tc>
          <w:tcPr>
            <w:tcW w:w="1620" w:type="dxa"/>
            <w:vAlign w:val="center"/>
          </w:tcPr>
          <w:p>
            <w:pPr>
              <w:spacing w:line="360" w:lineRule="auto"/>
              <w:jc w:val="center"/>
              <w:rPr>
                <w:rFonts w:ascii="宋体" w:hAnsi="宋体"/>
                <w:sz w:val="24"/>
              </w:rPr>
            </w:pPr>
            <w:r>
              <w:rPr>
                <w:rFonts w:hint="eastAsia" w:ascii="宋体" w:hAnsi="宋体"/>
                <w:sz w:val="24"/>
              </w:rPr>
              <w:t>金额（元）</w:t>
            </w:r>
          </w:p>
        </w:tc>
        <w:tc>
          <w:tcPr>
            <w:tcW w:w="2880" w:type="dxa"/>
          </w:tcPr>
          <w:p>
            <w:pPr>
              <w:widowControl/>
              <w:spacing w:line="360"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1728" w:type="dxa"/>
            <w:vAlign w:val="center"/>
          </w:tcPr>
          <w:p>
            <w:pPr>
              <w:spacing w:line="360" w:lineRule="auto"/>
              <w:jc w:val="center"/>
              <w:rPr>
                <w:rFonts w:ascii="宋体" w:hAnsi="宋体"/>
                <w:sz w:val="24"/>
              </w:rPr>
            </w:pPr>
          </w:p>
        </w:tc>
        <w:tc>
          <w:tcPr>
            <w:tcW w:w="1800" w:type="dxa"/>
            <w:vAlign w:val="center"/>
          </w:tcPr>
          <w:p>
            <w:pPr>
              <w:spacing w:line="360" w:lineRule="auto"/>
              <w:jc w:val="center"/>
              <w:rPr>
                <w:rFonts w:ascii="宋体" w:hAnsi="宋体"/>
                <w:sz w:val="24"/>
              </w:rPr>
            </w:pPr>
          </w:p>
        </w:tc>
        <w:tc>
          <w:tcPr>
            <w:tcW w:w="1080" w:type="dxa"/>
            <w:vAlign w:val="center"/>
          </w:tcPr>
          <w:p>
            <w:pPr>
              <w:spacing w:line="360" w:lineRule="auto"/>
              <w:jc w:val="center"/>
              <w:rPr>
                <w:rFonts w:ascii="宋体" w:hAnsi="宋体"/>
                <w:sz w:val="24"/>
              </w:rPr>
            </w:pPr>
          </w:p>
        </w:tc>
        <w:tc>
          <w:tcPr>
            <w:tcW w:w="1620" w:type="dxa"/>
            <w:vAlign w:val="center"/>
          </w:tcPr>
          <w:p>
            <w:pPr>
              <w:spacing w:line="360" w:lineRule="auto"/>
              <w:jc w:val="center"/>
              <w:rPr>
                <w:rFonts w:ascii="宋体" w:hAnsi="宋体"/>
                <w:sz w:val="24"/>
              </w:rPr>
            </w:pPr>
          </w:p>
        </w:tc>
        <w:tc>
          <w:tcPr>
            <w:tcW w:w="2880" w:type="dxa"/>
            <w:vMerge w:val="restart"/>
          </w:tcPr>
          <w:p>
            <w:pPr>
              <w:widowControl/>
              <w:spacing w:line="360" w:lineRule="auto"/>
              <w:jc w:val="left"/>
              <w:rPr>
                <w:rFonts w:ascii="宋体" w:hAnsi="宋体"/>
                <w:sz w:val="24"/>
              </w:rPr>
            </w:pPr>
            <w:r>
              <w:rPr>
                <w:rFonts w:hint="eastAsia" w:ascii="宋体" w:hAnsi="宋体"/>
                <w:sz w:val="24"/>
              </w:rPr>
              <w:t>主要技术参数及主要配置详见谈判项目一览表、谈判文件要求及乙方的谈判响应文件。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728" w:type="dxa"/>
            <w:tcBorders>
              <w:bottom w:val="single" w:color="auto" w:sz="4" w:space="0"/>
            </w:tcBorders>
            <w:vAlign w:val="center"/>
          </w:tcPr>
          <w:p>
            <w:pPr>
              <w:spacing w:line="360" w:lineRule="auto"/>
              <w:jc w:val="center"/>
              <w:rPr>
                <w:rFonts w:ascii="宋体" w:hAnsi="宋体"/>
                <w:sz w:val="24"/>
              </w:rPr>
            </w:pPr>
          </w:p>
        </w:tc>
        <w:tc>
          <w:tcPr>
            <w:tcW w:w="1800" w:type="dxa"/>
            <w:tcBorders>
              <w:bottom w:val="single" w:color="auto" w:sz="4" w:space="0"/>
            </w:tcBorders>
            <w:vAlign w:val="center"/>
          </w:tcPr>
          <w:p>
            <w:pPr>
              <w:spacing w:line="360" w:lineRule="auto"/>
              <w:jc w:val="center"/>
              <w:rPr>
                <w:rFonts w:ascii="宋体" w:hAnsi="宋体"/>
                <w:sz w:val="24"/>
              </w:rPr>
            </w:pPr>
          </w:p>
        </w:tc>
        <w:tc>
          <w:tcPr>
            <w:tcW w:w="1080" w:type="dxa"/>
            <w:tcBorders>
              <w:bottom w:val="single" w:color="auto" w:sz="4" w:space="0"/>
            </w:tcBorders>
            <w:vAlign w:val="center"/>
          </w:tcPr>
          <w:p>
            <w:pPr>
              <w:spacing w:line="360" w:lineRule="auto"/>
              <w:jc w:val="center"/>
              <w:rPr>
                <w:rFonts w:ascii="宋体" w:hAnsi="宋体"/>
                <w:sz w:val="24"/>
              </w:rPr>
            </w:pPr>
          </w:p>
        </w:tc>
        <w:tc>
          <w:tcPr>
            <w:tcW w:w="1620" w:type="dxa"/>
            <w:tcBorders>
              <w:bottom w:val="single" w:color="auto" w:sz="4" w:space="0"/>
            </w:tcBorders>
            <w:vAlign w:val="center"/>
          </w:tcPr>
          <w:p>
            <w:pPr>
              <w:spacing w:line="360" w:lineRule="auto"/>
              <w:jc w:val="center"/>
              <w:rPr>
                <w:rFonts w:ascii="宋体" w:hAnsi="宋体"/>
                <w:sz w:val="24"/>
              </w:rPr>
            </w:pPr>
          </w:p>
        </w:tc>
        <w:tc>
          <w:tcPr>
            <w:tcW w:w="2880" w:type="dxa"/>
            <w:vMerge w:val="continue"/>
          </w:tcPr>
          <w:p>
            <w:pPr>
              <w:widowControl/>
              <w:spacing w:line="360" w:lineRule="auto"/>
              <w:jc w:val="left"/>
              <w:rPr>
                <w:rFonts w:ascii="宋体" w:hAnsi="宋体"/>
                <w:sz w:val="24"/>
              </w:rPr>
            </w:pPr>
          </w:p>
        </w:tc>
      </w:tr>
    </w:tbl>
    <w:p>
      <w:pPr>
        <w:spacing w:line="360" w:lineRule="auto"/>
        <w:ind w:firstLine="480" w:firstLineChars="200"/>
        <w:rPr>
          <w:rFonts w:ascii="宋体" w:hAnsi="宋体"/>
          <w:sz w:val="24"/>
        </w:rPr>
      </w:pPr>
      <w:r>
        <w:rPr>
          <w:rFonts w:hint="eastAsia" w:ascii="宋体" w:hAnsi="宋体"/>
          <w:sz w:val="24"/>
        </w:rPr>
        <w:t>1、合同价为人民币</w:t>
      </w:r>
      <w:r>
        <w:rPr>
          <w:rFonts w:hint="eastAsia" w:ascii="宋体" w:hAnsi="宋体"/>
          <w:sz w:val="24"/>
          <w:u w:val="single"/>
        </w:rPr>
        <w:t xml:space="preserve">          </w:t>
      </w:r>
      <w:r>
        <w:rPr>
          <w:rFonts w:hint="eastAsia" w:ascii="宋体" w:hAnsi="宋体"/>
          <w:sz w:val="24"/>
        </w:rPr>
        <w:t>元整（￥</w:t>
      </w:r>
      <w:r>
        <w:rPr>
          <w:rFonts w:hint="eastAsia" w:ascii="宋体" w:hAnsi="宋体"/>
          <w:sz w:val="24"/>
          <w:u w:val="single"/>
        </w:rPr>
        <w:t xml:space="preserve">           </w:t>
      </w:r>
      <w:r>
        <w:rPr>
          <w:rFonts w:hint="eastAsia" w:ascii="宋体" w:hAnsi="宋体"/>
          <w:sz w:val="24"/>
        </w:rPr>
        <w:t>元）。</w:t>
      </w:r>
    </w:p>
    <w:p>
      <w:pPr>
        <w:spacing w:line="360" w:lineRule="auto"/>
        <w:ind w:firstLine="560"/>
        <w:rPr>
          <w:rFonts w:ascii="宋体" w:hAnsi="宋体"/>
          <w:sz w:val="24"/>
        </w:rPr>
      </w:pPr>
      <w:r>
        <w:rPr>
          <w:rFonts w:hint="eastAsia" w:ascii="宋体" w:hAnsi="宋体"/>
          <w:sz w:val="24"/>
        </w:rPr>
        <w:t>二、</w:t>
      </w:r>
      <w:r>
        <w:rPr>
          <w:rFonts w:hint="eastAsia" w:ascii="宋体" w:hAnsi="宋体"/>
          <w:b/>
          <w:sz w:val="24"/>
        </w:rPr>
        <w:t>合同组成</w:t>
      </w:r>
    </w:p>
    <w:p>
      <w:pPr>
        <w:spacing w:line="360" w:lineRule="auto"/>
        <w:ind w:firstLine="560"/>
        <w:rPr>
          <w:rFonts w:ascii="宋体" w:hAnsi="宋体"/>
          <w:sz w:val="24"/>
        </w:rPr>
      </w:pPr>
      <w:r>
        <w:rPr>
          <w:rFonts w:hint="eastAsia" w:ascii="宋体" w:hAnsi="宋体"/>
          <w:sz w:val="24"/>
        </w:rPr>
        <w:t>合同文件组成及解释顺序如下：</w:t>
      </w:r>
    </w:p>
    <w:p>
      <w:pPr>
        <w:numPr>
          <w:ilvl w:val="0"/>
          <w:numId w:val="5"/>
        </w:numPr>
        <w:spacing w:line="360" w:lineRule="auto"/>
        <w:ind w:firstLine="360" w:firstLineChars="150"/>
        <w:rPr>
          <w:rFonts w:ascii="宋体" w:hAnsi="宋体"/>
          <w:sz w:val="24"/>
        </w:rPr>
      </w:pPr>
      <w:r>
        <w:rPr>
          <w:rFonts w:hint="eastAsia" w:ascii="宋体" w:hAnsi="宋体"/>
          <w:sz w:val="24"/>
        </w:rPr>
        <w:t>本合同；</w:t>
      </w:r>
    </w:p>
    <w:p>
      <w:pPr>
        <w:spacing w:line="360" w:lineRule="auto"/>
        <w:ind w:firstLine="360" w:firstLineChars="150"/>
        <w:rPr>
          <w:rFonts w:ascii="宋体" w:hAnsi="宋体"/>
          <w:sz w:val="24"/>
        </w:rPr>
      </w:pPr>
      <w:r>
        <w:rPr>
          <w:rFonts w:hint="eastAsia" w:ascii="宋体" w:hAnsi="宋体"/>
          <w:sz w:val="24"/>
        </w:rPr>
        <w:t>(2)</w:t>
      </w:r>
      <w:r>
        <w:rPr>
          <w:rFonts w:hint="eastAsia" w:ascii="宋体" w:hAnsi="宋体"/>
          <w:sz w:val="24"/>
          <w:lang w:val="en-US" w:eastAsia="zh-CN"/>
        </w:rPr>
        <w:t xml:space="preserve"> </w:t>
      </w:r>
      <w:r>
        <w:rPr>
          <w:rFonts w:hint="eastAsia" w:ascii="宋体" w:hAnsi="宋体"/>
          <w:sz w:val="24"/>
        </w:rPr>
        <w:t>本项目谈判文件和乙方的谈判响应文件；</w:t>
      </w:r>
    </w:p>
    <w:p>
      <w:pPr>
        <w:spacing w:line="360" w:lineRule="auto"/>
        <w:ind w:firstLine="360" w:firstLineChars="150"/>
        <w:rPr>
          <w:rFonts w:ascii="宋体" w:hAnsi="宋体"/>
          <w:sz w:val="24"/>
          <w:u w:val="single"/>
        </w:rPr>
      </w:pPr>
      <w:r>
        <w:rPr>
          <w:rFonts w:hint="eastAsia" w:ascii="宋体" w:hAnsi="宋体"/>
          <w:sz w:val="24"/>
        </w:rPr>
        <w:t>(3) 标准、规范及有关技术文件；</w:t>
      </w:r>
    </w:p>
    <w:p>
      <w:pPr>
        <w:spacing w:line="360" w:lineRule="auto"/>
        <w:ind w:firstLine="360" w:firstLineChars="150"/>
        <w:rPr>
          <w:rFonts w:ascii="宋体" w:hAnsi="宋体"/>
          <w:sz w:val="24"/>
        </w:rPr>
      </w:pPr>
      <w:r>
        <w:rPr>
          <w:rFonts w:hint="eastAsia" w:ascii="宋体" w:hAnsi="宋体"/>
          <w:sz w:val="24"/>
        </w:rPr>
        <w:t>(4) 成交通知书。</w:t>
      </w:r>
    </w:p>
    <w:p>
      <w:pPr>
        <w:spacing w:line="360" w:lineRule="auto"/>
        <w:ind w:firstLine="361" w:firstLineChars="150"/>
        <w:rPr>
          <w:rFonts w:ascii="宋体" w:hAnsi="宋体"/>
          <w:sz w:val="24"/>
        </w:rPr>
      </w:pPr>
      <w:r>
        <w:rPr>
          <w:rFonts w:hint="eastAsia" w:ascii="宋体" w:hAnsi="宋体"/>
          <w:b/>
          <w:sz w:val="24"/>
        </w:rPr>
        <w:t>三、质量要求技术标准，乙方对质量负责的条件和期限</w:t>
      </w:r>
      <w:r>
        <w:rPr>
          <w:rFonts w:hint="eastAsia" w:ascii="宋体" w:hAnsi="宋体"/>
          <w:sz w:val="24"/>
        </w:rPr>
        <w:t>：</w:t>
      </w:r>
    </w:p>
    <w:p>
      <w:pPr>
        <w:spacing w:line="360" w:lineRule="auto"/>
        <w:ind w:firstLine="480" w:firstLineChars="200"/>
        <w:rPr>
          <w:rFonts w:ascii="宋体" w:hAnsi="宋体"/>
          <w:sz w:val="24"/>
        </w:rPr>
      </w:pPr>
      <w:r>
        <w:rPr>
          <w:rFonts w:hint="eastAsia" w:ascii="宋体" w:hAnsi="宋体"/>
          <w:sz w:val="24"/>
        </w:rPr>
        <w:t>1、乙方提供的产品必须符合国家、行业标准，必须原厂出厂。</w:t>
      </w:r>
    </w:p>
    <w:p>
      <w:pPr>
        <w:spacing w:line="360" w:lineRule="auto"/>
        <w:ind w:firstLine="480" w:firstLineChars="200"/>
        <w:rPr>
          <w:rFonts w:ascii="宋体" w:hAnsi="宋体"/>
          <w:sz w:val="24"/>
        </w:rPr>
      </w:pPr>
      <w:r>
        <w:rPr>
          <w:rFonts w:hint="eastAsia" w:ascii="宋体" w:hAnsi="宋体"/>
          <w:sz w:val="24"/>
        </w:rPr>
        <w:t>2、乙方应免费为甲方提供产品的安装、调试、操作、使用及维护的技术培训服务。</w:t>
      </w:r>
    </w:p>
    <w:p>
      <w:pPr>
        <w:widowControl/>
        <w:adjustRightInd w:val="0"/>
        <w:spacing w:line="360" w:lineRule="auto"/>
        <w:ind w:right="280" w:rightChars="100" w:firstLine="480" w:firstLineChars="200"/>
        <w:jc w:val="left"/>
        <w:rPr>
          <w:rFonts w:ascii="宋体" w:hAnsi="宋体"/>
          <w:sz w:val="24"/>
        </w:rPr>
      </w:pPr>
      <w:r>
        <w:rPr>
          <w:rFonts w:hint="eastAsia" w:ascii="宋体" w:hAnsi="宋体"/>
          <w:sz w:val="24"/>
        </w:rPr>
        <w:t>3、验收合格后，甲乙双方共同签署设备检验合格证书；</w:t>
      </w:r>
      <w:r>
        <w:rPr>
          <w:rFonts w:ascii="宋体" w:hAnsi="宋体"/>
          <w:sz w:val="24"/>
        </w:rPr>
        <w:t>不合格即退货</w:t>
      </w:r>
      <w:r>
        <w:rPr>
          <w:rFonts w:hint="eastAsia" w:ascii="宋体" w:hAnsi="宋体"/>
          <w:sz w:val="24"/>
        </w:rPr>
        <w:t>，同时乙方应承担甲方的一切经济损失</w:t>
      </w:r>
      <w:r>
        <w:rPr>
          <w:rFonts w:ascii="宋体" w:hAnsi="宋体"/>
          <w:sz w:val="24"/>
        </w:rPr>
        <w:t>。如</w:t>
      </w:r>
      <w:r>
        <w:rPr>
          <w:rFonts w:hint="eastAsia" w:ascii="宋体" w:hAnsi="宋体"/>
          <w:sz w:val="24"/>
        </w:rPr>
        <w:t>甲方</w:t>
      </w:r>
      <w:r>
        <w:rPr>
          <w:rFonts w:ascii="宋体" w:hAnsi="宋体"/>
          <w:sz w:val="24"/>
        </w:rPr>
        <w:t>使用、保管或保养不当造成的问题，由</w:t>
      </w:r>
      <w:r>
        <w:rPr>
          <w:rFonts w:hint="eastAsia" w:ascii="宋体" w:hAnsi="宋体"/>
          <w:sz w:val="24"/>
        </w:rPr>
        <w:t>甲方</w:t>
      </w:r>
      <w:r>
        <w:rPr>
          <w:rFonts w:ascii="宋体" w:hAnsi="宋体"/>
          <w:sz w:val="24"/>
        </w:rPr>
        <w:t>自行负责。</w:t>
      </w:r>
    </w:p>
    <w:p>
      <w:pPr>
        <w:widowControl/>
        <w:adjustRightInd w:val="0"/>
        <w:spacing w:line="360" w:lineRule="auto"/>
        <w:ind w:right="280" w:rightChars="100" w:firstLine="480" w:firstLineChars="200"/>
        <w:jc w:val="left"/>
        <w:rPr>
          <w:rFonts w:ascii="宋体" w:hAnsi="宋体"/>
          <w:color w:val="000000" w:themeColor="text1"/>
          <w:sz w:val="24"/>
          <w14:textFill>
            <w14:solidFill>
              <w14:schemeClr w14:val="tx1"/>
            </w14:solidFill>
          </w14:textFill>
        </w:rPr>
      </w:pPr>
      <w:r>
        <w:rPr>
          <w:rFonts w:hint="eastAsia" w:ascii="宋体" w:hAnsi="宋体"/>
          <w:sz w:val="24"/>
        </w:rPr>
        <w:t>4、</w:t>
      </w:r>
      <w:r>
        <w:rPr>
          <w:rFonts w:hint="eastAsia" w:ascii="宋体" w:hAnsi="宋体"/>
          <w:color w:val="000000" w:themeColor="text1"/>
          <w:sz w:val="24"/>
          <w14:textFill>
            <w14:solidFill>
              <w14:schemeClr w14:val="tx1"/>
            </w14:solidFill>
          </w14:textFill>
        </w:rPr>
        <w:t>本项目乙方提供的材料及安装工程质保期为项目验收之日起整体免费保修贰年</w:t>
      </w:r>
      <w:r>
        <w:rPr>
          <w:rFonts w:hint="eastAsia" w:ascii="宋体" w:hAnsi="宋体" w:cs="Arial"/>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所需的费用包含在合同总价中。乙方接到甲方服务需求通知后即时响应，</w:t>
      </w:r>
      <w:r>
        <w:rPr>
          <w:rFonts w:ascii="宋体" w:hAnsi="宋体"/>
          <w:color w:val="000000" w:themeColor="text1"/>
          <w:sz w:val="24"/>
          <w:u w:val="single"/>
          <w14:textFill>
            <w14:solidFill>
              <w14:schemeClr w14:val="tx1"/>
            </w14:solidFill>
          </w14:textFill>
        </w:rPr>
        <w:t xml:space="preserve"> 4 </w:t>
      </w:r>
      <w:r>
        <w:rPr>
          <w:rFonts w:hint="eastAsia" w:ascii="宋体" w:hAnsi="宋体"/>
          <w:color w:val="000000" w:themeColor="text1"/>
          <w:sz w:val="24"/>
          <w14:textFill>
            <w14:solidFill>
              <w14:schemeClr w14:val="tx1"/>
            </w14:solidFill>
          </w14:textFill>
        </w:rPr>
        <w:t>小时内到达现场，</w:t>
      </w:r>
      <w:r>
        <w:rPr>
          <w:rFonts w:ascii="宋体" w:hAnsi="宋体"/>
          <w:color w:val="000000" w:themeColor="text1"/>
          <w:sz w:val="24"/>
          <w:u w:val="single"/>
          <w14:textFill>
            <w14:solidFill>
              <w14:schemeClr w14:val="tx1"/>
            </w14:solidFill>
          </w14:textFill>
        </w:rPr>
        <w:t xml:space="preserve"> 24 </w:t>
      </w:r>
      <w:r>
        <w:rPr>
          <w:rFonts w:hint="eastAsia" w:ascii="宋体" w:hAnsi="宋体"/>
          <w:color w:val="000000" w:themeColor="text1"/>
          <w:sz w:val="24"/>
          <w14:textFill>
            <w14:solidFill>
              <w14:schemeClr w14:val="tx1"/>
            </w14:solidFill>
          </w14:textFill>
        </w:rPr>
        <w:t>小时内排除故障，在</w:t>
      </w:r>
      <w:r>
        <w:rPr>
          <w:rFonts w:ascii="宋体" w:hAnsi="宋体"/>
          <w:color w:val="000000" w:themeColor="text1"/>
          <w:sz w:val="24"/>
          <w14:textFill>
            <w14:solidFill>
              <w14:schemeClr w14:val="tx1"/>
            </w14:solidFill>
          </w14:textFill>
        </w:rPr>
        <w:t>2日内仍无法修复的，保修期内需</w:t>
      </w:r>
      <w:r>
        <w:rPr>
          <w:rFonts w:hint="eastAsia" w:ascii="宋体" w:hAnsi="宋体"/>
          <w:color w:val="000000" w:themeColor="text1"/>
          <w:sz w:val="24"/>
          <w14:textFill>
            <w14:solidFill>
              <w14:schemeClr w14:val="tx1"/>
            </w14:solidFill>
          </w14:textFill>
        </w:rPr>
        <w:t>免费更换新产品。</w:t>
      </w:r>
    </w:p>
    <w:p>
      <w:pPr>
        <w:autoSpaceDE w:val="0"/>
        <w:autoSpaceDN w:val="0"/>
        <w:adjustRightInd w:val="0"/>
        <w:spacing w:line="360" w:lineRule="auto"/>
        <w:ind w:firstLine="482" w:firstLineChars="200"/>
        <w:jc w:val="left"/>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四、交货时间：</w:t>
      </w:r>
    </w:p>
    <w:p>
      <w:pPr>
        <w:autoSpaceDE w:val="0"/>
        <w:autoSpaceDN w:val="0"/>
        <w:adjustRightInd w:val="0"/>
        <w:spacing w:line="360" w:lineRule="auto"/>
        <w:ind w:firstLine="480" w:firstLineChars="200"/>
        <w:jc w:val="left"/>
        <w:rPr>
          <w:rFonts w:ascii="宋体" w:hAnsi="宋体"/>
          <w:color w:val="auto"/>
          <w:sz w:val="24"/>
        </w:rPr>
      </w:pPr>
      <w:r>
        <w:rPr>
          <w:rFonts w:hint="eastAsia" w:ascii="宋体" w:hAnsi="宋体"/>
          <w:color w:val="000000" w:themeColor="text1"/>
          <w:sz w:val="24"/>
          <w14:textFill>
            <w14:solidFill>
              <w14:schemeClr w14:val="tx1"/>
            </w14:solidFill>
          </w14:textFill>
        </w:rPr>
        <w:t>乙方应于合</w:t>
      </w:r>
      <w:r>
        <w:rPr>
          <w:rFonts w:hint="eastAsia" w:ascii="宋体" w:hAnsi="宋体"/>
          <w:color w:val="auto"/>
          <w:sz w:val="24"/>
        </w:rPr>
        <w:t>同签订之日起个日历日内供货安装完毕并提交甲方验收。交付地点为厦门市海沧甲方指定的地点，并提供第三条款中要求的资料。</w:t>
      </w:r>
    </w:p>
    <w:p>
      <w:pPr>
        <w:autoSpaceDE w:val="0"/>
        <w:autoSpaceDN w:val="0"/>
        <w:adjustRightInd w:val="0"/>
        <w:spacing w:line="360" w:lineRule="auto"/>
        <w:ind w:firstLine="482" w:firstLineChars="200"/>
        <w:jc w:val="left"/>
        <w:rPr>
          <w:rFonts w:ascii="宋体" w:hAnsi="宋体"/>
          <w:color w:val="auto"/>
          <w:sz w:val="24"/>
        </w:rPr>
      </w:pPr>
      <w:r>
        <w:rPr>
          <w:rFonts w:hint="eastAsia" w:ascii="宋体" w:hAnsi="宋体"/>
          <w:b/>
          <w:color w:val="auto"/>
          <w:sz w:val="24"/>
        </w:rPr>
        <w:t>五、合同价款及付款方式：</w:t>
      </w:r>
    </w:p>
    <w:p>
      <w:pPr>
        <w:spacing w:line="360" w:lineRule="auto"/>
        <w:ind w:firstLine="480" w:firstLineChars="200"/>
        <w:outlineLvl w:val="1"/>
        <w:rPr>
          <w:rFonts w:ascii="宋体" w:hAnsi="宋体"/>
          <w:color w:val="auto"/>
          <w:sz w:val="24"/>
        </w:rPr>
      </w:pPr>
      <w:r>
        <w:rPr>
          <w:rFonts w:hint="eastAsia" w:ascii="宋体" w:hAnsi="宋体"/>
          <w:color w:val="auto"/>
          <w:sz w:val="24"/>
        </w:rPr>
        <w:t>1、合同签订之日起3个日历日内</w:t>
      </w:r>
      <w:r>
        <w:rPr>
          <w:rFonts w:hint="eastAsia" w:ascii="宋体" w:hAnsi="宋体"/>
          <w:color w:val="auto"/>
          <w:sz w:val="24"/>
          <w:lang w:val="en-US" w:eastAsia="zh-CN"/>
        </w:rPr>
        <w:t>乙方</w:t>
      </w:r>
      <w:r>
        <w:rPr>
          <w:rFonts w:hint="eastAsia" w:ascii="宋体" w:hAnsi="宋体"/>
          <w:color w:val="auto"/>
          <w:sz w:val="24"/>
        </w:rPr>
        <w:t>进场施工，且主要材料采购运至现场验收合格后，</w:t>
      </w:r>
      <w:r>
        <w:rPr>
          <w:rFonts w:hint="eastAsia" w:ascii="宋体" w:hAnsi="宋体"/>
          <w:color w:val="auto"/>
          <w:sz w:val="24"/>
          <w:lang w:val="en-US" w:eastAsia="zh-CN"/>
        </w:rPr>
        <w:t>乙方</w:t>
      </w:r>
      <w:r>
        <w:rPr>
          <w:rFonts w:hint="eastAsia" w:ascii="宋体" w:hAnsi="宋体"/>
          <w:color w:val="auto"/>
          <w:sz w:val="24"/>
        </w:rPr>
        <w:t>凭收讫货物验收凭证及产品合格凭证向</w:t>
      </w:r>
      <w:r>
        <w:rPr>
          <w:rFonts w:hint="eastAsia" w:ascii="宋体" w:hAnsi="宋体"/>
          <w:sz w:val="24"/>
        </w:rPr>
        <w:t>甲方</w:t>
      </w:r>
      <w:r>
        <w:rPr>
          <w:rFonts w:hint="eastAsia" w:ascii="宋体" w:hAnsi="宋体"/>
          <w:color w:val="auto"/>
          <w:sz w:val="24"/>
        </w:rPr>
        <w:t>申请第一次付款，第一次付款按合同价3%支付。</w:t>
      </w:r>
    </w:p>
    <w:p>
      <w:pPr>
        <w:spacing w:line="360" w:lineRule="auto"/>
        <w:ind w:firstLine="480" w:firstLineChars="200"/>
        <w:rPr>
          <w:rFonts w:ascii="宋体" w:hAnsi="宋体"/>
          <w:color w:val="auto"/>
          <w:sz w:val="24"/>
        </w:rPr>
      </w:pPr>
      <w:r>
        <w:rPr>
          <w:rFonts w:hint="eastAsia" w:ascii="宋体" w:hAnsi="宋体"/>
          <w:color w:val="auto"/>
          <w:sz w:val="24"/>
        </w:rPr>
        <w:t>2、工程竣工验收合格后，</w:t>
      </w:r>
      <w:r>
        <w:rPr>
          <w:rFonts w:hint="eastAsia" w:ascii="宋体" w:hAnsi="宋体"/>
          <w:color w:val="auto"/>
          <w:sz w:val="24"/>
          <w:lang w:val="en-US" w:eastAsia="zh-CN"/>
        </w:rPr>
        <w:t>乙方</w:t>
      </w:r>
      <w:r>
        <w:rPr>
          <w:rFonts w:hint="eastAsia" w:ascii="宋体" w:hAnsi="宋体"/>
          <w:color w:val="auto"/>
          <w:sz w:val="24"/>
        </w:rPr>
        <w:t>凭验收合格证向</w:t>
      </w:r>
      <w:r>
        <w:rPr>
          <w:rFonts w:hint="eastAsia" w:ascii="宋体" w:hAnsi="宋体"/>
          <w:sz w:val="24"/>
        </w:rPr>
        <w:t>甲方</w:t>
      </w:r>
      <w:r>
        <w:rPr>
          <w:rFonts w:hint="eastAsia" w:ascii="宋体" w:hAnsi="宋体"/>
          <w:color w:val="auto"/>
          <w:sz w:val="24"/>
        </w:rPr>
        <w:t>申请第二次付款至合同价97%。</w:t>
      </w:r>
    </w:p>
    <w:p>
      <w:pPr>
        <w:autoSpaceDE w:val="0"/>
        <w:autoSpaceDN w:val="0"/>
        <w:adjustRightInd w:val="0"/>
        <w:spacing w:line="360" w:lineRule="auto"/>
        <w:ind w:left="280" w:leftChars="100" w:firstLine="241" w:firstLineChars="100"/>
        <w:jc w:val="left"/>
        <w:rPr>
          <w:rFonts w:ascii="宋体" w:hAnsi="宋体"/>
          <w:b/>
          <w:sz w:val="24"/>
        </w:rPr>
      </w:pPr>
      <w:r>
        <w:rPr>
          <w:rFonts w:hint="eastAsia" w:ascii="宋体" w:hAnsi="宋体"/>
          <w:b/>
          <w:sz w:val="24"/>
        </w:rPr>
        <w:t>六、质量标准：</w:t>
      </w:r>
      <w:r>
        <w:rPr>
          <w:rFonts w:hint="eastAsia" w:ascii="宋体" w:hAnsi="宋体"/>
          <w:sz w:val="24"/>
        </w:rPr>
        <w:t>合格</w:t>
      </w:r>
    </w:p>
    <w:p>
      <w:pPr>
        <w:autoSpaceDE w:val="0"/>
        <w:autoSpaceDN w:val="0"/>
        <w:adjustRightInd w:val="0"/>
        <w:spacing w:line="360" w:lineRule="auto"/>
        <w:ind w:left="280" w:leftChars="100" w:firstLine="241" w:firstLineChars="100"/>
        <w:jc w:val="left"/>
        <w:rPr>
          <w:rFonts w:ascii="宋体" w:hAnsi="宋体"/>
          <w:b/>
          <w:sz w:val="24"/>
        </w:rPr>
      </w:pPr>
      <w:r>
        <w:rPr>
          <w:rFonts w:hint="eastAsia" w:ascii="宋体" w:hAnsi="宋体"/>
          <w:b/>
          <w:sz w:val="24"/>
        </w:rPr>
        <w:t>七、双方责任</w:t>
      </w:r>
    </w:p>
    <w:p>
      <w:pPr>
        <w:spacing w:line="360" w:lineRule="auto"/>
        <w:ind w:firstLine="480" w:firstLineChars="200"/>
        <w:rPr>
          <w:rFonts w:ascii="宋体" w:hAnsi="宋体"/>
          <w:sz w:val="24"/>
        </w:rPr>
      </w:pPr>
      <w:r>
        <w:rPr>
          <w:rFonts w:hint="eastAsia" w:ascii="宋体" w:hAnsi="宋体"/>
          <w:sz w:val="24"/>
        </w:rPr>
        <w:t>1、乙方在规定的时间内逾期交货或逾期未安装完毕的，支付违约金人民币500元/天，逾期超过5日，甲方有权单方解除合同，甲方的一切损失由乙方承担。若因台风、地震、火灾、战争、封锁、暴动、罢工或其它非任何一方可合理控制之事件，致该方不能履行本合同时，应予免责，但应立即以书面通知对方，报告该事件影响本合约之程度及预估之持续期间。若产品质量不符合本合同要求，甲方可无条件退货；造成甲方的损失，乙方应承担赔偿相应损失。</w:t>
      </w:r>
    </w:p>
    <w:p>
      <w:pPr>
        <w:autoSpaceDE w:val="0"/>
        <w:autoSpaceDN w:val="0"/>
        <w:adjustRightInd w:val="0"/>
        <w:spacing w:line="360" w:lineRule="auto"/>
        <w:ind w:firstLine="480" w:firstLineChars="200"/>
        <w:jc w:val="left"/>
        <w:rPr>
          <w:rFonts w:ascii="宋体" w:hAnsi="宋体"/>
          <w:sz w:val="24"/>
        </w:rPr>
      </w:pPr>
      <w:r>
        <w:rPr>
          <w:rFonts w:hint="eastAsia" w:ascii="宋体" w:hAnsi="宋体"/>
          <w:sz w:val="24"/>
        </w:rPr>
        <w:t>2、甲方责任：甲方必须按合同规定及时验收货物和支付货款。产品运抵指定交货地点后，甲方应立即派员对产品进行签收及保管，甲方在核对产品时，如发现货物的数量、规格不符，应及时书面通知乙方，以查明产品缺损原因。</w:t>
      </w:r>
    </w:p>
    <w:p>
      <w:pPr>
        <w:autoSpaceDE w:val="0"/>
        <w:autoSpaceDN w:val="0"/>
        <w:adjustRightInd w:val="0"/>
        <w:spacing w:line="360" w:lineRule="auto"/>
        <w:ind w:firstLine="482" w:firstLineChars="200"/>
        <w:jc w:val="left"/>
        <w:rPr>
          <w:rFonts w:ascii="宋体" w:hAnsi="宋体"/>
          <w:b/>
          <w:sz w:val="24"/>
        </w:rPr>
      </w:pPr>
      <w:r>
        <w:rPr>
          <w:rFonts w:hint="eastAsia" w:ascii="宋体" w:hAnsi="宋体"/>
          <w:b/>
          <w:sz w:val="24"/>
        </w:rPr>
        <w:t>八、解决合同纠纷方式：</w:t>
      </w:r>
    </w:p>
    <w:p>
      <w:pPr>
        <w:autoSpaceDE w:val="0"/>
        <w:autoSpaceDN w:val="0"/>
        <w:adjustRightInd w:val="0"/>
        <w:spacing w:line="360" w:lineRule="auto"/>
        <w:ind w:firstLine="480" w:firstLineChars="200"/>
        <w:jc w:val="left"/>
        <w:rPr>
          <w:rFonts w:ascii="宋体" w:hAnsi="宋体"/>
          <w:sz w:val="24"/>
        </w:rPr>
      </w:pPr>
      <w:r>
        <w:rPr>
          <w:rFonts w:hint="eastAsia" w:ascii="宋体" w:hAnsi="宋体"/>
          <w:sz w:val="24"/>
        </w:rPr>
        <w:t>如有纠纷双方应友好协商，如协商未果则提交甲方所在地人民法院解决。</w:t>
      </w:r>
    </w:p>
    <w:p>
      <w:pPr>
        <w:autoSpaceDE w:val="0"/>
        <w:autoSpaceDN w:val="0"/>
        <w:adjustRightInd w:val="0"/>
        <w:spacing w:line="360" w:lineRule="auto"/>
        <w:ind w:firstLine="482" w:firstLineChars="200"/>
        <w:jc w:val="left"/>
        <w:rPr>
          <w:rFonts w:ascii="宋体" w:hAnsi="宋体"/>
          <w:sz w:val="24"/>
        </w:rPr>
      </w:pPr>
      <w:r>
        <w:rPr>
          <w:rFonts w:hint="eastAsia" w:ascii="宋体" w:hAnsi="宋体"/>
          <w:b/>
          <w:sz w:val="24"/>
        </w:rPr>
        <w:t>九、</w:t>
      </w:r>
      <w:r>
        <w:rPr>
          <w:rFonts w:hint="eastAsia" w:ascii="宋体" w:hAnsi="宋体"/>
          <w:sz w:val="24"/>
        </w:rPr>
        <w:t>本合同一式陆份，甲方执叁份，乙方执贰份，送采购代理机构备案壹份，具有同等法律效力。</w:t>
      </w:r>
    </w:p>
    <w:p>
      <w:pPr>
        <w:spacing w:line="360" w:lineRule="auto"/>
        <w:rPr>
          <w:rFonts w:ascii="宋体" w:hAnsi="宋体"/>
          <w:sz w:val="24"/>
        </w:rPr>
      </w:pPr>
      <w:r>
        <w:rPr>
          <w:rFonts w:hint="eastAsia" w:ascii="宋体" w:hAnsi="宋体"/>
          <w:sz w:val="24"/>
        </w:rPr>
        <w:t xml:space="preserve">甲方(盖章)：                       </w:t>
      </w:r>
      <w:r>
        <w:rPr>
          <w:rFonts w:hint="eastAsia" w:ascii="宋体" w:hAnsi="宋体"/>
          <w:sz w:val="24"/>
          <w:lang w:val="en-US" w:eastAsia="zh-CN"/>
        </w:rPr>
        <w:t xml:space="preserve"> </w:t>
      </w:r>
      <w:r>
        <w:rPr>
          <w:rFonts w:hint="eastAsia" w:ascii="宋体" w:hAnsi="宋体"/>
          <w:sz w:val="24"/>
        </w:rPr>
        <w:t xml:space="preserve"> 乙方（盖章）：                                     </w:t>
      </w:r>
    </w:p>
    <w:p>
      <w:pPr>
        <w:tabs>
          <w:tab w:val="center" w:pos="4153"/>
        </w:tabs>
        <w:spacing w:line="360" w:lineRule="auto"/>
        <w:rPr>
          <w:rFonts w:ascii="宋体" w:hAnsi="宋体"/>
          <w:sz w:val="24"/>
        </w:rPr>
      </w:pPr>
      <w:r>
        <w:rPr>
          <w:rFonts w:hint="eastAsia" w:ascii="宋体" w:hAnsi="宋体"/>
          <w:sz w:val="24"/>
        </w:rPr>
        <w:t xml:space="preserve">单位地址：                           单位地址： </w:t>
      </w:r>
    </w:p>
    <w:p>
      <w:pPr>
        <w:tabs>
          <w:tab w:val="center" w:pos="4153"/>
        </w:tabs>
        <w:spacing w:line="360" w:lineRule="auto"/>
        <w:rPr>
          <w:rFonts w:ascii="宋体" w:hAnsi="宋体"/>
          <w:sz w:val="24"/>
        </w:rPr>
      </w:pPr>
      <w:r>
        <w:rPr>
          <w:rFonts w:hint="eastAsia" w:ascii="宋体" w:hAnsi="宋体"/>
          <w:sz w:val="24"/>
        </w:rPr>
        <w:t>法定代表人：                         法定代表人：</w:t>
      </w:r>
    </w:p>
    <w:p>
      <w:pPr>
        <w:tabs>
          <w:tab w:val="center" w:pos="4153"/>
        </w:tabs>
        <w:spacing w:line="360" w:lineRule="auto"/>
        <w:rPr>
          <w:rFonts w:ascii="宋体" w:hAnsi="宋体"/>
          <w:sz w:val="24"/>
        </w:rPr>
      </w:pPr>
      <w:r>
        <w:rPr>
          <w:rFonts w:hint="eastAsia" w:ascii="宋体" w:hAnsi="宋体"/>
          <w:sz w:val="24"/>
        </w:rPr>
        <w:t>委托代理人：                         委托代理人：</w:t>
      </w:r>
    </w:p>
    <w:p>
      <w:pPr>
        <w:tabs>
          <w:tab w:val="center" w:pos="4153"/>
        </w:tabs>
        <w:spacing w:line="360" w:lineRule="auto"/>
        <w:rPr>
          <w:rFonts w:ascii="宋体" w:hAnsi="宋体"/>
          <w:sz w:val="24"/>
        </w:rPr>
      </w:pPr>
      <w:r>
        <w:rPr>
          <w:rFonts w:hint="eastAsia" w:ascii="宋体" w:hAnsi="宋体"/>
          <w:sz w:val="24"/>
        </w:rPr>
        <w:t>电话：                               开户银行：</w:t>
      </w:r>
    </w:p>
    <w:p>
      <w:pPr>
        <w:tabs>
          <w:tab w:val="center" w:pos="4153"/>
        </w:tabs>
        <w:spacing w:line="360" w:lineRule="auto"/>
        <w:rPr>
          <w:rFonts w:ascii="宋体" w:hAnsi="宋体"/>
          <w:sz w:val="24"/>
        </w:rPr>
      </w:pPr>
      <w:r>
        <w:rPr>
          <w:rFonts w:hint="eastAsia" w:ascii="宋体" w:hAnsi="宋体"/>
          <w:sz w:val="24"/>
        </w:rPr>
        <w:t>传真：                               帐户：</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签定日期：        年       月      日</w:t>
      </w:r>
    </w:p>
    <w:p>
      <w:pPr>
        <w:rPr>
          <w:rFonts w:ascii="宋体" w:hAnsi="宋体" w:cs="Arial"/>
          <w:sz w:val="24"/>
        </w:rPr>
      </w:pPr>
    </w:p>
    <w:p>
      <w:pPr>
        <w:spacing w:line="360" w:lineRule="auto"/>
        <w:rPr>
          <w:rFonts w:ascii="宋体" w:hAnsi="宋体"/>
          <w:b/>
          <w:sz w:val="72"/>
        </w:rPr>
      </w:pPr>
    </w:p>
    <w:p>
      <w:pPr>
        <w:rPr>
          <w:rFonts w:ascii="宋体" w:hAnsi="宋体" w:cs="Arial"/>
          <w:sz w:val="24"/>
        </w:rPr>
      </w:pPr>
    </w:p>
    <w:p>
      <w:pPr>
        <w:spacing w:line="360" w:lineRule="auto"/>
        <w:rPr>
          <w:rFonts w:ascii="宋体" w:hAnsi="宋体"/>
          <w:b/>
          <w:sz w:val="72"/>
        </w:rPr>
      </w:pPr>
    </w:p>
    <w:p>
      <w:pPr>
        <w:spacing w:line="360" w:lineRule="auto"/>
        <w:rPr>
          <w:rFonts w:ascii="宋体" w:hAnsi="宋体"/>
          <w:b/>
          <w:sz w:val="72"/>
        </w:rPr>
      </w:pPr>
    </w:p>
    <w:p>
      <w:pPr>
        <w:pStyle w:val="2"/>
        <w:pageBreakBefore/>
        <w:spacing w:before="0" w:after="0"/>
        <w:jc w:val="center"/>
        <w:rPr>
          <w:rFonts w:ascii="宋体" w:hAnsi="宋体"/>
          <w:sz w:val="28"/>
          <w:szCs w:val="28"/>
        </w:rPr>
      </w:pPr>
      <w:bookmarkStart w:id="213" w:name="_Toc531349553"/>
      <w:bookmarkStart w:id="214" w:name="_Toc422906630"/>
      <w:r>
        <w:rPr>
          <w:rFonts w:hint="eastAsia" w:ascii="宋体" w:hAnsi="宋体"/>
          <w:sz w:val="28"/>
          <w:szCs w:val="28"/>
        </w:rPr>
        <w:t>第五章  谈判响应文件格式</w:t>
      </w:r>
      <w:bookmarkEnd w:id="213"/>
      <w:bookmarkEnd w:id="214"/>
    </w:p>
    <w:tbl>
      <w:tblPr>
        <w:tblStyle w:val="39"/>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9180" w:type="dxa"/>
            <w:tcBorders>
              <w:top w:val="single" w:color="auto" w:sz="4" w:space="0"/>
              <w:left w:val="single" w:color="auto" w:sz="4" w:space="0"/>
              <w:bottom w:val="single" w:color="auto" w:sz="4" w:space="0"/>
              <w:right w:val="single" w:color="auto" w:sz="4" w:space="0"/>
            </w:tcBorders>
          </w:tcPr>
          <w:p>
            <w:pPr>
              <w:spacing w:before="120" w:line="360" w:lineRule="auto"/>
              <w:rPr>
                <w:rFonts w:ascii="宋体" w:hAnsi="宋体"/>
                <w:sz w:val="24"/>
              </w:rPr>
            </w:pPr>
            <w:r>
              <w:rPr>
                <w:rFonts w:hint="eastAsia" w:ascii="宋体" w:hAnsi="宋体"/>
                <w:sz w:val="24"/>
              </w:rPr>
              <w:t>注释： 《谈判响应文件格式》是谈判供应商的部分谈判响应文件格式和签订合同时所需文件的格式。谈判供应商应参照这些格式文件制作谈判响应文件，未提供格式的，谈判供应商可自拟。</w:t>
            </w:r>
          </w:p>
        </w:tc>
      </w:tr>
    </w:tbl>
    <w:p>
      <w:pPr>
        <w:pStyle w:val="69"/>
        <w:ind w:right="-42"/>
        <w:rPr>
          <w:rFonts w:hAnsi="宋体"/>
          <w:color w:val="auto"/>
        </w:rPr>
      </w:pPr>
    </w:p>
    <w:p>
      <w:pPr>
        <w:pStyle w:val="8"/>
        <w:snapToGrid w:val="0"/>
        <w:spacing w:line="420" w:lineRule="atLeast"/>
        <w:ind w:firstLine="0"/>
        <w:rPr>
          <w:rFonts w:hint="default" w:hAnsi="宋体"/>
          <w:b/>
          <w:bCs/>
          <w:szCs w:val="24"/>
        </w:rPr>
      </w:pPr>
    </w:p>
    <w:p>
      <w:pPr>
        <w:spacing w:line="360" w:lineRule="auto"/>
        <w:rPr>
          <w:rFonts w:ascii="宋体" w:hAnsi="宋体"/>
          <w:b/>
          <w:sz w:val="52"/>
          <w:szCs w:val="52"/>
        </w:rPr>
      </w:pPr>
    </w:p>
    <w:p>
      <w:pPr>
        <w:keepLines/>
        <w:pageBreakBefore/>
        <w:spacing w:line="360" w:lineRule="auto"/>
        <w:jc w:val="center"/>
        <w:rPr>
          <w:rFonts w:ascii="宋体" w:hAnsi="宋体"/>
          <w:b/>
          <w:sz w:val="72"/>
          <w:szCs w:val="72"/>
        </w:rPr>
      </w:pPr>
      <w:r>
        <w:rPr>
          <w:rFonts w:hint="eastAsia" w:ascii="宋体" w:hAnsi="宋体"/>
          <w:b/>
          <w:sz w:val="72"/>
          <w:szCs w:val="72"/>
        </w:rPr>
        <w:t>采 购 项 目</w:t>
      </w:r>
    </w:p>
    <w:p>
      <w:pPr>
        <w:spacing w:line="360" w:lineRule="auto"/>
        <w:jc w:val="center"/>
        <w:rPr>
          <w:rFonts w:ascii="宋体" w:hAnsi="宋体"/>
          <w:b/>
          <w:sz w:val="72"/>
          <w:szCs w:val="72"/>
        </w:rPr>
      </w:pPr>
      <w:r>
        <w:rPr>
          <w:rFonts w:hint="eastAsia" w:ascii="宋体" w:hAnsi="宋体"/>
          <w:b/>
          <w:sz w:val="72"/>
          <w:szCs w:val="72"/>
        </w:rPr>
        <w:t>谈判响应文件</w:t>
      </w:r>
    </w:p>
    <w:p>
      <w:pPr>
        <w:spacing w:line="360" w:lineRule="auto"/>
        <w:ind w:firstLine="1626" w:firstLineChars="450"/>
        <w:rPr>
          <w:rFonts w:ascii="宋体" w:hAnsi="宋体"/>
          <w:b/>
          <w:sz w:val="36"/>
        </w:rPr>
      </w:pPr>
    </w:p>
    <w:p>
      <w:pPr>
        <w:spacing w:line="360" w:lineRule="auto"/>
        <w:ind w:firstLine="1626" w:firstLineChars="450"/>
        <w:rPr>
          <w:rFonts w:ascii="宋体" w:hAnsi="宋体"/>
          <w:b/>
          <w:sz w:val="36"/>
        </w:rPr>
      </w:pPr>
    </w:p>
    <w:p>
      <w:pPr>
        <w:spacing w:line="360" w:lineRule="auto"/>
        <w:ind w:firstLine="1608" w:firstLineChars="445"/>
        <w:rPr>
          <w:rFonts w:ascii="宋体" w:hAnsi="宋体"/>
          <w:b/>
          <w:sz w:val="36"/>
          <w:u w:val="single"/>
        </w:rPr>
      </w:pPr>
      <w:r>
        <w:rPr>
          <w:rFonts w:hint="eastAsia" w:ascii="宋体" w:hAnsi="宋体"/>
          <w:b/>
          <w:sz w:val="36"/>
        </w:rPr>
        <w:t>项 目 名 称：</w:t>
      </w:r>
      <w:r>
        <w:rPr>
          <w:rFonts w:hint="eastAsia" w:ascii="宋体" w:hAnsi="宋体"/>
          <w:b/>
          <w:sz w:val="36"/>
          <w:u w:val="single"/>
        </w:rPr>
        <w:t xml:space="preserve">                    </w:t>
      </w:r>
    </w:p>
    <w:p>
      <w:pPr>
        <w:spacing w:line="360" w:lineRule="auto"/>
        <w:ind w:firstLine="1626" w:firstLineChars="450"/>
        <w:rPr>
          <w:rFonts w:ascii="宋体" w:hAnsi="宋体"/>
          <w:b/>
          <w:sz w:val="36"/>
          <w:u w:val="single"/>
        </w:rPr>
      </w:pPr>
      <w:r>
        <w:rPr>
          <w:rFonts w:hint="eastAsia" w:ascii="宋体" w:hAnsi="宋体"/>
          <w:b/>
          <w:sz w:val="36"/>
        </w:rPr>
        <w:t>项 目 编 号：</w:t>
      </w:r>
      <w:r>
        <w:rPr>
          <w:rFonts w:hint="eastAsia" w:ascii="宋体" w:hAnsi="宋体"/>
          <w:b/>
          <w:sz w:val="36"/>
          <w:u w:val="single"/>
        </w:rPr>
        <w:t xml:space="preserve">                    </w:t>
      </w: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u w:val="single"/>
        </w:rPr>
      </w:pPr>
      <w:r>
        <w:rPr>
          <w:rFonts w:hint="eastAsia" w:ascii="宋体" w:hAnsi="宋体"/>
          <w:b/>
          <w:sz w:val="36"/>
        </w:rPr>
        <w:t xml:space="preserve">          谈判响应供应商名称 ：</w:t>
      </w:r>
      <w:r>
        <w:rPr>
          <w:rFonts w:hint="eastAsia" w:ascii="宋体" w:hAnsi="宋体"/>
          <w:b/>
          <w:sz w:val="36"/>
          <w:u w:val="single"/>
        </w:rPr>
        <w:t xml:space="preserve">             </w:t>
      </w:r>
    </w:p>
    <w:p>
      <w:pPr>
        <w:spacing w:line="360" w:lineRule="auto"/>
        <w:rPr>
          <w:rFonts w:ascii="宋体" w:hAnsi="宋体"/>
          <w:b/>
          <w:sz w:val="36"/>
        </w:rPr>
      </w:pPr>
      <w:r>
        <w:rPr>
          <w:rFonts w:hint="eastAsia" w:ascii="宋体" w:hAnsi="宋体"/>
          <w:b/>
          <w:sz w:val="36"/>
        </w:rPr>
        <w:t xml:space="preserve">          日      期 ：</w:t>
      </w:r>
      <w:r>
        <w:rPr>
          <w:rFonts w:hint="eastAsia" w:ascii="宋体" w:hAnsi="宋体"/>
          <w:b/>
          <w:sz w:val="36"/>
          <w:u w:val="single"/>
        </w:rPr>
        <w:t xml:space="preserve">                     </w:t>
      </w:r>
    </w:p>
    <w:p>
      <w:pPr>
        <w:pStyle w:val="121"/>
        <w:spacing w:line="360" w:lineRule="auto"/>
        <w:jc w:val="left"/>
        <w:outlineLvl w:val="9"/>
        <w:rPr>
          <w:rFonts w:hint="default" w:hAnsi="宋体"/>
          <w:b/>
          <w:sz w:val="24"/>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3929" w:firstLineChars="1223"/>
        <w:rPr>
          <w:rFonts w:hint="default" w:hAnsi="宋体"/>
          <w:b/>
          <w:bCs/>
          <w:sz w:val="32"/>
          <w:szCs w:val="32"/>
        </w:rPr>
      </w:pPr>
      <w:r>
        <w:rPr>
          <w:rFonts w:hAnsi="宋体"/>
          <w:b/>
          <w:bCs/>
          <w:sz w:val="32"/>
          <w:szCs w:val="32"/>
        </w:rPr>
        <w:t>目    录</w:t>
      </w:r>
    </w:p>
    <w:p>
      <w:pPr>
        <w:spacing w:line="360" w:lineRule="auto"/>
        <w:ind w:firstLine="480" w:firstLineChars="200"/>
        <w:rPr>
          <w:rFonts w:ascii="宋体" w:hAnsi="宋体"/>
          <w:sz w:val="24"/>
        </w:rPr>
      </w:pPr>
      <w:bookmarkStart w:id="215" w:name="_Toc185762839"/>
      <w:bookmarkStart w:id="216" w:name="_Toc338926827"/>
      <w:bookmarkStart w:id="217" w:name="_Toc331778558"/>
      <w:bookmarkStart w:id="218" w:name="_Toc189832483"/>
      <w:bookmarkStart w:id="219" w:name="_Toc332809177"/>
      <w:bookmarkStart w:id="220" w:name="_Toc314838398"/>
      <w:bookmarkStart w:id="221" w:name="_Toc189829966"/>
      <w:r>
        <w:rPr>
          <w:rFonts w:hint="eastAsia" w:ascii="宋体" w:hAnsi="宋体"/>
          <w:sz w:val="24"/>
        </w:rPr>
        <w:t>(1) 谈判响应书</w:t>
      </w:r>
    </w:p>
    <w:p>
      <w:pPr>
        <w:spacing w:line="360" w:lineRule="auto"/>
        <w:ind w:firstLine="480" w:firstLineChars="200"/>
        <w:rPr>
          <w:rFonts w:ascii="宋体" w:hAnsi="宋体"/>
          <w:sz w:val="24"/>
        </w:rPr>
      </w:pPr>
      <w:r>
        <w:rPr>
          <w:rFonts w:hint="eastAsia" w:ascii="宋体" w:hAnsi="宋体"/>
          <w:sz w:val="24"/>
        </w:rPr>
        <w:t>(2) 谈判报价一览表</w:t>
      </w:r>
    </w:p>
    <w:p>
      <w:pPr>
        <w:spacing w:line="360" w:lineRule="auto"/>
        <w:ind w:firstLine="480" w:firstLineChars="200"/>
        <w:rPr>
          <w:rFonts w:ascii="宋体" w:hAnsi="宋体"/>
          <w:sz w:val="24"/>
        </w:rPr>
      </w:pPr>
      <w:r>
        <w:rPr>
          <w:rFonts w:hint="eastAsia" w:ascii="宋体" w:hAnsi="宋体"/>
          <w:sz w:val="24"/>
        </w:rPr>
        <w:t>(3) 谈判响应分项报价表</w:t>
      </w:r>
    </w:p>
    <w:p>
      <w:pPr>
        <w:spacing w:line="360" w:lineRule="auto"/>
        <w:ind w:firstLine="480" w:firstLineChars="200"/>
        <w:rPr>
          <w:rFonts w:ascii="宋体" w:hAnsi="宋体"/>
          <w:sz w:val="24"/>
        </w:rPr>
      </w:pPr>
      <w:r>
        <w:rPr>
          <w:rFonts w:hint="eastAsia" w:ascii="宋体" w:hAnsi="宋体"/>
          <w:sz w:val="24"/>
        </w:rPr>
        <w:t>(4) 货物说明一览表</w:t>
      </w:r>
    </w:p>
    <w:p>
      <w:pPr>
        <w:tabs>
          <w:tab w:val="left" w:pos="3744"/>
        </w:tabs>
        <w:spacing w:line="360" w:lineRule="auto"/>
        <w:ind w:firstLine="360" w:firstLineChars="150"/>
        <w:rPr>
          <w:rFonts w:ascii="宋体" w:hAnsi="宋体"/>
          <w:sz w:val="24"/>
        </w:rPr>
      </w:pPr>
      <w:r>
        <w:rPr>
          <w:rFonts w:hint="eastAsia" w:ascii="宋体" w:hAnsi="宋体"/>
          <w:sz w:val="24"/>
        </w:rPr>
        <w:t xml:space="preserve"> (5) 技术规格和商务偏离表</w:t>
      </w:r>
    </w:p>
    <w:p>
      <w:pPr>
        <w:tabs>
          <w:tab w:val="left" w:pos="3744"/>
        </w:tabs>
        <w:spacing w:line="360" w:lineRule="auto"/>
        <w:ind w:firstLine="360" w:firstLineChars="150"/>
        <w:rPr>
          <w:rFonts w:ascii="宋体" w:hAnsi="宋体"/>
          <w:sz w:val="24"/>
        </w:rPr>
      </w:pPr>
      <w:r>
        <w:rPr>
          <w:rFonts w:hint="eastAsia" w:ascii="宋体" w:hAnsi="宋体"/>
          <w:sz w:val="24"/>
        </w:rPr>
        <w:t xml:space="preserve"> (6) 供货安装组织方案</w:t>
      </w:r>
    </w:p>
    <w:p>
      <w:pPr>
        <w:tabs>
          <w:tab w:val="left" w:pos="3744"/>
        </w:tabs>
        <w:spacing w:line="360" w:lineRule="auto"/>
        <w:ind w:firstLine="360" w:firstLineChars="150"/>
        <w:rPr>
          <w:rFonts w:ascii="宋体" w:hAnsi="宋体"/>
          <w:sz w:val="24"/>
        </w:rPr>
      </w:pPr>
      <w:r>
        <w:rPr>
          <w:rFonts w:hint="eastAsia" w:ascii="宋体" w:hAnsi="宋体"/>
          <w:sz w:val="24"/>
        </w:rPr>
        <w:t xml:space="preserve"> (7) 售后服务承诺</w:t>
      </w:r>
    </w:p>
    <w:p>
      <w:pPr>
        <w:tabs>
          <w:tab w:val="left" w:pos="3744"/>
        </w:tabs>
        <w:spacing w:line="360" w:lineRule="auto"/>
        <w:ind w:firstLine="360" w:firstLineChars="150"/>
        <w:rPr>
          <w:rFonts w:ascii="宋体" w:hAnsi="宋体"/>
          <w:sz w:val="24"/>
        </w:rPr>
      </w:pPr>
      <w:r>
        <w:rPr>
          <w:rFonts w:hint="eastAsia" w:ascii="宋体" w:hAnsi="宋体"/>
          <w:sz w:val="24"/>
        </w:rPr>
        <w:t xml:space="preserve"> (8) 谈判响应供应商资格证明文件</w:t>
      </w:r>
    </w:p>
    <w:p>
      <w:pPr>
        <w:tabs>
          <w:tab w:val="left" w:pos="3744"/>
        </w:tabs>
        <w:spacing w:line="360" w:lineRule="auto"/>
        <w:ind w:firstLine="360" w:firstLineChars="150"/>
        <w:rPr>
          <w:rFonts w:ascii="宋体" w:hAnsi="宋体"/>
          <w:sz w:val="24"/>
        </w:rPr>
      </w:pPr>
      <w:r>
        <w:rPr>
          <w:rFonts w:hint="eastAsia" w:ascii="宋体" w:hAnsi="宋体"/>
          <w:sz w:val="24"/>
        </w:rPr>
        <w:t xml:space="preserve"> (9) 谈判响应供应商提交的其他资料</w:t>
      </w:r>
    </w:p>
    <w:p>
      <w:pPr>
        <w:tabs>
          <w:tab w:val="left" w:pos="3744"/>
        </w:tabs>
        <w:spacing w:line="360" w:lineRule="auto"/>
        <w:ind w:firstLine="360" w:firstLineChars="150"/>
        <w:rPr>
          <w:rFonts w:ascii="宋体" w:hAnsi="宋体"/>
          <w:sz w:val="24"/>
        </w:rPr>
      </w:pPr>
      <w:r>
        <w:rPr>
          <w:rFonts w:hint="eastAsia" w:ascii="宋体" w:hAnsi="宋体"/>
          <w:sz w:val="24"/>
        </w:rPr>
        <w:t>(10) 谈判成交服务费承诺书</w:t>
      </w:r>
    </w:p>
    <w:p>
      <w:pPr>
        <w:tabs>
          <w:tab w:val="left" w:pos="3744"/>
        </w:tabs>
        <w:spacing w:line="360" w:lineRule="auto"/>
        <w:ind w:firstLine="360" w:firstLineChars="150"/>
        <w:rPr>
          <w:rFonts w:ascii="宋体" w:hAnsi="宋体"/>
          <w:sz w:val="24"/>
        </w:rPr>
      </w:pPr>
      <w:r>
        <w:rPr>
          <w:rFonts w:ascii="宋体" w:hAnsi="宋体"/>
          <w:sz w:val="24"/>
        </w:rPr>
        <w:t>(1</w:t>
      </w:r>
      <w:r>
        <w:rPr>
          <w:rFonts w:hint="eastAsia" w:ascii="宋体" w:hAnsi="宋体"/>
          <w:sz w:val="24"/>
        </w:rPr>
        <w:t>1</w:t>
      </w:r>
      <w:r>
        <w:rPr>
          <w:rFonts w:ascii="宋体" w:hAnsi="宋体"/>
          <w:sz w:val="24"/>
        </w:rPr>
        <w:t>) 谈判响应保证金缴交凭证</w:t>
      </w:r>
    </w:p>
    <w:p>
      <w:pPr>
        <w:tabs>
          <w:tab w:val="left" w:pos="3744"/>
        </w:tabs>
        <w:spacing w:line="360" w:lineRule="auto"/>
        <w:ind w:firstLine="360" w:firstLineChars="150"/>
        <w:rPr>
          <w:rFonts w:ascii="宋体" w:hAnsi="宋体"/>
          <w:sz w:val="24"/>
        </w:rPr>
      </w:pPr>
      <w:r>
        <w:rPr>
          <w:rFonts w:ascii="宋体" w:hAnsi="宋体"/>
          <w:sz w:val="24"/>
        </w:rPr>
        <w:t>(1</w:t>
      </w:r>
      <w:r>
        <w:rPr>
          <w:rFonts w:hint="eastAsia" w:ascii="宋体" w:hAnsi="宋体"/>
          <w:sz w:val="24"/>
        </w:rPr>
        <w:t>2</w:t>
      </w:r>
      <w:r>
        <w:rPr>
          <w:rFonts w:ascii="宋体" w:hAnsi="宋体"/>
          <w:sz w:val="24"/>
        </w:rPr>
        <w:t>) 保证金退还申请书</w:t>
      </w:r>
    </w:p>
    <w:p>
      <w:pPr>
        <w:pStyle w:val="121"/>
        <w:spacing w:line="360" w:lineRule="auto"/>
        <w:ind w:firstLine="643" w:firstLineChars="200"/>
        <w:outlineLvl w:val="1"/>
        <w:rPr>
          <w:rFonts w:hint="default" w:hAnsi="宋体"/>
          <w:b/>
          <w:sz w:val="32"/>
          <w:szCs w:val="32"/>
        </w:rPr>
      </w:pPr>
    </w:p>
    <w:p>
      <w:pPr>
        <w:pStyle w:val="121"/>
        <w:spacing w:line="360" w:lineRule="auto"/>
        <w:ind w:firstLine="643" w:firstLineChars="200"/>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spacing w:line="360" w:lineRule="auto"/>
        <w:jc w:val="center"/>
        <w:outlineLvl w:val="1"/>
        <w:rPr>
          <w:rFonts w:hint="default" w:hAnsi="宋体"/>
          <w:b/>
          <w:sz w:val="32"/>
          <w:szCs w:val="32"/>
        </w:rPr>
      </w:pPr>
    </w:p>
    <w:p>
      <w:pPr>
        <w:pStyle w:val="121"/>
        <w:keepLines/>
        <w:pageBreakBefore/>
        <w:spacing w:line="360" w:lineRule="auto"/>
        <w:jc w:val="center"/>
        <w:outlineLvl w:val="1"/>
        <w:rPr>
          <w:rFonts w:hint="default" w:hAnsi="宋体"/>
          <w:sz w:val="32"/>
          <w:szCs w:val="32"/>
        </w:rPr>
      </w:pPr>
      <w:bookmarkStart w:id="222" w:name="_Toc531349554"/>
      <w:r>
        <w:rPr>
          <w:rFonts w:hAnsi="宋体"/>
          <w:b/>
          <w:sz w:val="32"/>
          <w:szCs w:val="32"/>
        </w:rPr>
        <w:t>谈 判 响 应 书</w:t>
      </w:r>
      <w:bookmarkEnd w:id="215"/>
      <w:bookmarkEnd w:id="216"/>
      <w:bookmarkEnd w:id="217"/>
      <w:bookmarkEnd w:id="218"/>
      <w:bookmarkEnd w:id="219"/>
      <w:bookmarkEnd w:id="220"/>
      <w:bookmarkEnd w:id="221"/>
      <w:bookmarkEnd w:id="222"/>
    </w:p>
    <w:p>
      <w:pPr>
        <w:spacing w:line="360" w:lineRule="auto"/>
        <w:rPr>
          <w:rFonts w:ascii="宋体" w:hAnsi="宋体"/>
          <w:sz w:val="24"/>
        </w:rPr>
      </w:pPr>
      <w:bookmarkStart w:id="223" w:name="_Toc185762840"/>
      <w:bookmarkStart w:id="224" w:name="_Toc314838399"/>
      <w:bookmarkStart w:id="225" w:name="_Toc338926828"/>
      <w:bookmarkStart w:id="226" w:name="_Toc189832484"/>
      <w:bookmarkStart w:id="227" w:name="_Toc331778559"/>
      <w:bookmarkStart w:id="228" w:name="_Toc189829967"/>
      <w:bookmarkStart w:id="229" w:name="_Toc332809178"/>
      <w:r>
        <w:rPr>
          <w:rFonts w:hint="eastAsia" w:ascii="宋体" w:hAnsi="宋体"/>
          <w:sz w:val="24"/>
        </w:rPr>
        <w:t>致：</w:t>
      </w:r>
      <w:r>
        <w:rPr>
          <w:rFonts w:hint="eastAsia" w:ascii="宋体" w:hAnsi="宋体"/>
          <w:sz w:val="24"/>
          <w:u w:val="single"/>
        </w:rPr>
        <w:t>厦门市华沧采购招标有限公司</w:t>
      </w:r>
    </w:p>
    <w:p>
      <w:pPr>
        <w:spacing w:line="360" w:lineRule="auto"/>
        <w:rPr>
          <w:rFonts w:ascii="宋体" w:hAnsi="宋体"/>
          <w:sz w:val="24"/>
        </w:rPr>
      </w:pPr>
      <w:r>
        <w:rPr>
          <w:rFonts w:hint="eastAsia" w:ascii="宋体" w:hAnsi="宋体"/>
          <w:sz w:val="24"/>
        </w:rPr>
        <w:t xml:space="preserve">   根据贵方为 </w:t>
      </w:r>
      <w:r>
        <w:rPr>
          <w:rFonts w:hint="eastAsia" w:ascii="宋体" w:hAnsi="宋体"/>
          <w:sz w:val="24"/>
          <w:u w:val="single"/>
        </w:rPr>
        <w:t xml:space="preserve">       </w:t>
      </w:r>
      <w:r>
        <w:rPr>
          <w:rFonts w:hint="eastAsia" w:ascii="宋体" w:hAnsi="宋体"/>
          <w:sz w:val="24"/>
        </w:rPr>
        <w:t>项目的谈判邀请（项目编号）</w:t>
      </w:r>
      <w:r>
        <w:rPr>
          <w:rFonts w:hint="eastAsia" w:ascii="宋体" w:hAnsi="宋体"/>
          <w:sz w:val="24"/>
          <w:lang w:eastAsia="zh-CN"/>
        </w:rPr>
        <w:t>：</w:t>
      </w:r>
      <w:r>
        <w:rPr>
          <w:rFonts w:hint="eastAsia" w:ascii="宋体" w:hAnsi="宋体"/>
          <w:sz w:val="24"/>
          <w:u w:val="single"/>
        </w:rPr>
        <w:t xml:space="preserve">        </w:t>
      </w:r>
      <w:r>
        <w:rPr>
          <w:rFonts w:hint="eastAsia" w:ascii="宋体" w:hAnsi="宋体"/>
          <w:sz w:val="24"/>
        </w:rPr>
        <w:t>，本签字代表______（全名、职务）</w:t>
      </w:r>
      <w:r>
        <w:rPr>
          <w:rFonts w:hint="eastAsia" w:ascii="宋体" w:hAnsi="宋体"/>
          <w:sz w:val="24"/>
          <w:lang w:val="en-US" w:eastAsia="zh-CN"/>
        </w:rPr>
        <w:t>已获得我方</w:t>
      </w:r>
      <w:r>
        <w:rPr>
          <w:rFonts w:hint="eastAsia" w:ascii="宋体" w:hAnsi="宋体"/>
          <w:sz w:val="24"/>
        </w:rPr>
        <w:t>正式授权并代表谈判供应商</w:t>
      </w:r>
      <w:r>
        <w:rPr>
          <w:rFonts w:hint="eastAsia" w:ascii="宋体" w:hAnsi="宋体"/>
          <w:sz w:val="24"/>
          <w:u w:val="single"/>
        </w:rPr>
        <w:t xml:space="preserve">        </w:t>
      </w:r>
      <w:r>
        <w:rPr>
          <w:rFonts w:hint="eastAsia" w:ascii="宋体" w:hAnsi="宋体"/>
          <w:sz w:val="24"/>
        </w:rPr>
        <w:t>（谈判供应商名称、地址）提交下述文件正本一份和副本一份。</w:t>
      </w:r>
    </w:p>
    <w:p>
      <w:pPr>
        <w:numPr>
          <w:ilvl w:val="0"/>
          <w:numId w:val="6"/>
        </w:numPr>
        <w:spacing w:line="360" w:lineRule="auto"/>
        <w:ind w:left="-182" w:leftChars="-65" w:firstLine="120" w:firstLineChars="50"/>
        <w:rPr>
          <w:rFonts w:ascii="宋体" w:hAnsi="宋体"/>
          <w:sz w:val="24"/>
        </w:rPr>
      </w:pPr>
      <w:r>
        <w:rPr>
          <w:rFonts w:hint="eastAsia" w:ascii="宋体" w:hAnsi="宋体"/>
          <w:sz w:val="24"/>
        </w:rPr>
        <w:t>报价一览表</w:t>
      </w: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p>
    <w:p>
      <w:pPr>
        <w:numPr>
          <w:ilvl w:val="0"/>
          <w:numId w:val="6"/>
        </w:numPr>
        <w:spacing w:line="360" w:lineRule="auto"/>
        <w:ind w:left="-182" w:leftChars="-65" w:firstLine="120" w:firstLineChars="50"/>
        <w:rPr>
          <w:rFonts w:ascii="宋体" w:hAnsi="宋体"/>
          <w:sz w:val="24"/>
        </w:rPr>
      </w:pPr>
      <w:r>
        <w:rPr>
          <w:rFonts w:hint="eastAsia" w:ascii="宋体" w:hAnsi="宋体"/>
          <w:sz w:val="24"/>
        </w:rPr>
        <w:t xml:space="preserve">以 </w:t>
      </w:r>
      <w:r>
        <w:rPr>
          <w:rFonts w:hint="eastAsia" w:ascii="宋体" w:hAnsi="宋体"/>
          <w:sz w:val="24"/>
          <w:u w:val="single"/>
        </w:rPr>
        <w:t xml:space="preserve">      </w:t>
      </w:r>
      <w:r>
        <w:rPr>
          <w:rFonts w:hint="eastAsia" w:ascii="宋体" w:hAnsi="宋体"/>
          <w:sz w:val="24"/>
        </w:rPr>
        <w:t>方式提供的金额为人民币</w:t>
      </w:r>
      <w:r>
        <w:rPr>
          <w:rFonts w:hint="eastAsia" w:ascii="宋体" w:hAnsi="宋体"/>
          <w:sz w:val="24"/>
          <w:u w:val="single"/>
        </w:rPr>
        <w:t xml:space="preserve">       </w:t>
      </w:r>
      <w:r>
        <w:rPr>
          <w:rFonts w:hint="eastAsia" w:ascii="宋体" w:hAnsi="宋体"/>
          <w:sz w:val="24"/>
        </w:rPr>
        <w:t>元的谈判响应保证金。</w:t>
      </w:r>
    </w:p>
    <w:p>
      <w:pPr>
        <w:spacing w:line="360" w:lineRule="auto"/>
        <w:rPr>
          <w:rFonts w:ascii="宋体" w:hAnsi="宋体"/>
          <w:sz w:val="24"/>
        </w:rPr>
      </w:pPr>
      <w:r>
        <w:rPr>
          <w:rFonts w:hint="eastAsia" w:ascii="宋体" w:hAnsi="宋体"/>
          <w:sz w:val="24"/>
        </w:rPr>
        <w:t xml:space="preserve">    据此函，签字代表宣布同意如下：</w:t>
      </w:r>
    </w:p>
    <w:p>
      <w:pPr>
        <w:spacing w:line="360" w:lineRule="auto"/>
        <w:rPr>
          <w:rFonts w:ascii="宋体" w:hAnsi="宋体"/>
          <w:sz w:val="24"/>
        </w:rPr>
      </w:pPr>
      <w:r>
        <w:rPr>
          <w:rFonts w:hint="eastAsia" w:ascii="宋体" w:hAnsi="宋体"/>
          <w:sz w:val="24"/>
        </w:rPr>
        <w:t xml:space="preserve">    1.所附详细报价表中规定的应提供和交付的货物及服务报价总价（国内现场交货价）为人民币 </w:t>
      </w:r>
      <w:r>
        <w:rPr>
          <w:rFonts w:hint="eastAsia" w:ascii="宋体" w:hAnsi="宋体"/>
          <w:sz w:val="24"/>
          <w:u w:val="single"/>
        </w:rPr>
        <w:t xml:space="preserve">       </w:t>
      </w:r>
      <w:r>
        <w:rPr>
          <w:rFonts w:hint="eastAsia" w:ascii="宋体" w:hAnsi="宋体"/>
          <w:sz w:val="24"/>
        </w:rPr>
        <w:t xml:space="preserve">，即 </w:t>
      </w:r>
      <w:r>
        <w:rPr>
          <w:rFonts w:hint="eastAsia" w:ascii="宋体" w:hAnsi="宋体"/>
          <w:sz w:val="24"/>
          <w:u w:val="single"/>
        </w:rPr>
        <w:t xml:space="preserve">            </w:t>
      </w:r>
      <w:r>
        <w:rPr>
          <w:rFonts w:hint="eastAsia" w:ascii="宋体" w:hAnsi="宋体"/>
          <w:sz w:val="24"/>
        </w:rPr>
        <w:t>（中文表述）。</w:t>
      </w:r>
    </w:p>
    <w:p>
      <w:pPr>
        <w:spacing w:line="360" w:lineRule="auto"/>
        <w:ind w:firstLine="480" w:firstLineChars="200"/>
        <w:rPr>
          <w:rFonts w:ascii="宋体" w:hAnsi="宋体"/>
          <w:sz w:val="24"/>
        </w:rPr>
      </w:pPr>
      <w:r>
        <w:rPr>
          <w:rFonts w:hint="eastAsia" w:ascii="宋体" w:hAnsi="宋体"/>
          <w:sz w:val="24"/>
        </w:rPr>
        <w:t>2.谈判供应商已详细审查全部谈判文件，包括修改文件（如有的话）和有关附件，将自行承担因对全部谈判文件理解不正确或误解而产生的相应后果。</w:t>
      </w:r>
    </w:p>
    <w:p>
      <w:pPr>
        <w:spacing w:line="360" w:lineRule="auto"/>
        <w:rPr>
          <w:rFonts w:ascii="宋体" w:hAnsi="宋体"/>
          <w:sz w:val="24"/>
        </w:rPr>
      </w:pPr>
      <w:r>
        <w:rPr>
          <w:rFonts w:hint="eastAsia" w:ascii="宋体" w:hAnsi="宋体"/>
          <w:sz w:val="24"/>
        </w:rPr>
        <w:t xml:space="preserve">    3.谈判供应商保证遵守谈判文件的全部规定，谈判供应商所提交的材料中所含的信息均为真实、准确、完整，且不具有任何误导性。</w:t>
      </w:r>
    </w:p>
    <w:p>
      <w:pPr>
        <w:spacing w:line="360" w:lineRule="auto"/>
        <w:rPr>
          <w:rFonts w:ascii="宋体" w:hAnsi="宋体"/>
          <w:sz w:val="24"/>
        </w:rPr>
      </w:pPr>
      <w:r>
        <w:rPr>
          <w:rFonts w:hint="eastAsia" w:ascii="宋体" w:hAnsi="宋体"/>
          <w:sz w:val="24"/>
        </w:rPr>
        <w:t xml:space="preserve">    4.谈判供应商将按谈判响应文件的规定和谈判代表所作的最后澄清及承诺履行合同责任和义务。</w:t>
      </w:r>
    </w:p>
    <w:p>
      <w:pPr>
        <w:spacing w:line="360" w:lineRule="auto"/>
        <w:rPr>
          <w:rFonts w:ascii="宋体" w:hAnsi="宋体"/>
          <w:sz w:val="24"/>
        </w:rPr>
      </w:pPr>
      <w:r>
        <w:rPr>
          <w:rFonts w:hint="eastAsia" w:ascii="宋体" w:hAnsi="宋体"/>
          <w:sz w:val="24"/>
        </w:rPr>
        <w:t xml:space="preserve">    5.本谈判响应文件自谈判截止日起谈判有效期为：在谈判文件谈判供应商须知前附表第3项所规定的期限内保持有效。</w:t>
      </w:r>
    </w:p>
    <w:p>
      <w:pPr>
        <w:spacing w:line="360" w:lineRule="auto"/>
        <w:rPr>
          <w:rFonts w:ascii="宋体" w:hAnsi="宋体"/>
          <w:sz w:val="24"/>
        </w:rPr>
      </w:pPr>
      <w:r>
        <w:rPr>
          <w:rFonts w:hint="eastAsia" w:ascii="宋体" w:hAnsi="宋体"/>
          <w:sz w:val="24"/>
        </w:rPr>
        <w:t xml:space="preserve">    6.如果发生谈判文件第二章谈判供应商须知第12条所述情况，则同意采购代理机构不予退还谈判响应保证金。</w:t>
      </w:r>
    </w:p>
    <w:p>
      <w:pPr>
        <w:spacing w:line="360" w:lineRule="auto"/>
        <w:ind w:firstLine="480" w:firstLineChars="200"/>
        <w:rPr>
          <w:rFonts w:ascii="宋体" w:hAnsi="宋体"/>
          <w:sz w:val="24"/>
        </w:rPr>
      </w:pPr>
      <w:r>
        <w:rPr>
          <w:rFonts w:hint="eastAsia" w:ascii="宋体" w:hAnsi="宋体"/>
          <w:sz w:val="24"/>
        </w:rPr>
        <w:t>7. 谈判供应商同意提供按照谈判采购单位可能要求的与其谈判响应有关的一切数据或资料，完全理解贵方不一定要接受最低的报价或收到的任何谈判响应。</w:t>
      </w:r>
    </w:p>
    <w:p>
      <w:pPr>
        <w:spacing w:line="360" w:lineRule="auto"/>
        <w:ind w:firstLine="480" w:firstLineChars="200"/>
        <w:rPr>
          <w:rFonts w:ascii="宋体" w:hAnsi="宋体"/>
          <w:sz w:val="24"/>
        </w:rPr>
      </w:pPr>
      <w:r>
        <w:rPr>
          <w:rFonts w:hint="eastAsia" w:ascii="宋体" w:hAnsi="宋体"/>
          <w:sz w:val="24"/>
        </w:rPr>
        <w:t>8. 与本谈判有关的一切正式往来通讯请寄：</w:t>
      </w:r>
    </w:p>
    <w:p>
      <w:pPr>
        <w:spacing w:line="360" w:lineRule="auto"/>
        <w:rPr>
          <w:rFonts w:ascii="宋体" w:hAnsi="宋体"/>
          <w:sz w:val="24"/>
          <w:u w:val="single"/>
        </w:rPr>
      </w:pPr>
      <w:r>
        <w:rPr>
          <w:rFonts w:hint="eastAsia" w:ascii="宋体" w:hAnsi="宋体"/>
          <w:sz w:val="24"/>
        </w:rPr>
        <w:t xml:space="preserve">      地址： </w:t>
      </w:r>
      <w:r>
        <w:rPr>
          <w:rFonts w:hint="eastAsia" w:ascii="宋体" w:hAnsi="宋体"/>
          <w:sz w:val="24"/>
          <w:u w:val="single"/>
        </w:rPr>
        <w:t xml:space="preserve">                </w:t>
      </w:r>
      <w:r>
        <w:rPr>
          <w:rFonts w:hint="eastAsia" w:ascii="宋体" w:hAnsi="宋体"/>
          <w:sz w:val="24"/>
        </w:rPr>
        <w:t xml:space="preserve"> 邮编：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电话： </w:t>
      </w:r>
      <w:r>
        <w:rPr>
          <w:rFonts w:hint="eastAsia" w:ascii="宋体" w:hAnsi="宋体"/>
          <w:sz w:val="24"/>
          <w:u w:val="single"/>
        </w:rPr>
        <w:t xml:space="preserve">                </w:t>
      </w:r>
      <w:r>
        <w:rPr>
          <w:rFonts w:hint="eastAsia" w:ascii="宋体" w:hAnsi="宋体"/>
          <w:sz w:val="24"/>
        </w:rPr>
        <w:t xml:space="preserve"> 传真：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谈判供应商代表签字：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 xml:space="preserve">      谈判供应商（全称并加盖公章）：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 xml:space="preserve">      日  期： </w:t>
      </w:r>
      <w:r>
        <w:rPr>
          <w:rFonts w:hint="eastAsia" w:ascii="宋体" w:hAnsi="宋体"/>
          <w:sz w:val="24"/>
          <w:u w:val="single"/>
        </w:rPr>
        <w:t xml:space="preserve">    </w:t>
      </w:r>
      <w:r>
        <w:rPr>
          <w:rFonts w:hint="eastAsia" w:ascii="宋体" w:hAnsi="宋体"/>
          <w:sz w:val="24"/>
        </w:rPr>
        <w:t xml:space="preserve">年 </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日</w:t>
      </w:r>
    </w:p>
    <w:bookmarkEnd w:id="223"/>
    <w:bookmarkEnd w:id="224"/>
    <w:bookmarkEnd w:id="225"/>
    <w:bookmarkEnd w:id="226"/>
    <w:bookmarkEnd w:id="227"/>
    <w:bookmarkEnd w:id="228"/>
    <w:bookmarkEnd w:id="229"/>
    <w:p>
      <w:pPr>
        <w:pStyle w:val="121"/>
        <w:pageBreakBefore/>
        <w:spacing w:line="360" w:lineRule="auto"/>
        <w:jc w:val="center"/>
        <w:outlineLvl w:val="1"/>
        <w:rPr>
          <w:rFonts w:hint="default" w:hAnsi="宋体"/>
          <w:b/>
          <w:sz w:val="32"/>
          <w:szCs w:val="32"/>
        </w:rPr>
      </w:pPr>
      <w:bookmarkStart w:id="230" w:name="_Toc531349555"/>
      <w:bookmarkStart w:id="231" w:name="_Toc397611861"/>
      <w:r>
        <w:rPr>
          <w:rFonts w:hAnsi="宋体"/>
          <w:b/>
          <w:sz w:val="32"/>
          <w:szCs w:val="32"/>
        </w:rPr>
        <w:t>谈判报价一览表</w:t>
      </w:r>
      <w:bookmarkEnd w:id="230"/>
      <w:bookmarkEnd w:id="231"/>
    </w:p>
    <w:p>
      <w:pPr>
        <w:spacing w:line="360" w:lineRule="auto"/>
        <w:rPr>
          <w:rFonts w:ascii="宋体" w:hAnsi="宋体"/>
          <w:sz w:val="24"/>
        </w:rPr>
      </w:pPr>
      <w:r>
        <w:rPr>
          <w:rFonts w:hint="eastAsia" w:ascii="宋体" w:hAnsi="宋体"/>
          <w:sz w:val="24"/>
        </w:rPr>
        <w:t>谈判响应供应商（全称并加盖公章）：            项目编号</w:t>
      </w:r>
      <w:r>
        <w:rPr>
          <w:rFonts w:hint="eastAsia" w:ascii="宋体" w:hAnsi="宋体"/>
          <w:sz w:val="24"/>
          <w:lang w:eastAsia="zh-CN"/>
        </w:rPr>
        <w:t>：</w:t>
      </w:r>
      <w:r>
        <w:rPr>
          <w:rFonts w:hint="eastAsia" w:ascii="宋体" w:hAnsi="宋体"/>
          <w:sz w:val="24"/>
        </w:rPr>
        <w:t xml:space="preserve">         货币单位：元</w:t>
      </w:r>
    </w:p>
    <w:tbl>
      <w:tblPr>
        <w:tblStyle w:val="39"/>
        <w:tblW w:w="98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1"/>
        <w:gridCol w:w="1274"/>
        <w:gridCol w:w="2851"/>
        <w:gridCol w:w="1262"/>
        <w:gridCol w:w="1408"/>
        <w:gridCol w:w="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2311" w:type="dxa"/>
            <w:vAlign w:val="center"/>
          </w:tcPr>
          <w:p>
            <w:pPr>
              <w:spacing w:line="360" w:lineRule="auto"/>
              <w:jc w:val="center"/>
              <w:rPr>
                <w:rFonts w:ascii="宋体" w:hAnsi="宋体"/>
                <w:sz w:val="24"/>
              </w:rPr>
            </w:pPr>
            <w:r>
              <w:rPr>
                <w:rFonts w:hint="eastAsia" w:ascii="宋体" w:hAnsi="宋体"/>
                <w:sz w:val="24"/>
              </w:rPr>
              <w:t>项目名称</w:t>
            </w:r>
          </w:p>
        </w:tc>
        <w:tc>
          <w:tcPr>
            <w:tcW w:w="1274" w:type="dxa"/>
            <w:vAlign w:val="center"/>
          </w:tcPr>
          <w:p>
            <w:pPr>
              <w:spacing w:line="360" w:lineRule="auto"/>
              <w:jc w:val="center"/>
              <w:rPr>
                <w:rFonts w:ascii="宋体" w:hAnsi="宋体"/>
                <w:sz w:val="24"/>
              </w:rPr>
            </w:pPr>
            <w:r>
              <w:rPr>
                <w:rFonts w:hint="eastAsia" w:ascii="宋体" w:hAnsi="宋体"/>
                <w:sz w:val="24"/>
              </w:rPr>
              <w:t>数量</w:t>
            </w:r>
          </w:p>
        </w:tc>
        <w:tc>
          <w:tcPr>
            <w:tcW w:w="2851" w:type="dxa"/>
            <w:vAlign w:val="center"/>
          </w:tcPr>
          <w:p>
            <w:pPr>
              <w:spacing w:line="360" w:lineRule="auto"/>
              <w:jc w:val="center"/>
              <w:rPr>
                <w:rFonts w:ascii="宋体" w:hAnsi="宋体"/>
                <w:sz w:val="24"/>
              </w:rPr>
            </w:pPr>
            <w:r>
              <w:rPr>
                <w:rFonts w:hint="eastAsia" w:ascii="宋体" w:hAnsi="宋体"/>
                <w:sz w:val="24"/>
              </w:rPr>
              <w:t>综合</w:t>
            </w:r>
            <w:r>
              <w:rPr>
                <w:rFonts w:hint="eastAsia" w:ascii="宋体" w:hAnsi="宋体"/>
                <w:sz w:val="24"/>
                <w:lang w:val="en-US" w:eastAsia="zh-CN"/>
              </w:rPr>
              <w:t>单价</w:t>
            </w:r>
          </w:p>
        </w:tc>
        <w:tc>
          <w:tcPr>
            <w:tcW w:w="1262" w:type="dxa"/>
            <w:vAlign w:val="center"/>
          </w:tcPr>
          <w:p>
            <w:pPr>
              <w:spacing w:line="360" w:lineRule="auto"/>
              <w:jc w:val="center"/>
              <w:rPr>
                <w:rFonts w:ascii="宋体" w:hAnsi="宋体"/>
                <w:sz w:val="24"/>
              </w:rPr>
            </w:pPr>
            <w:r>
              <w:rPr>
                <w:rFonts w:hint="eastAsia" w:ascii="宋体" w:hAnsi="宋体" w:eastAsia="宋体"/>
                <w:sz w:val="24"/>
              </w:rPr>
              <w:t>交付期</w:t>
            </w:r>
          </w:p>
        </w:tc>
        <w:tc>
          <w:tcPr>
            <w:tcW w:w="1408" w:type="dxa"/>
            <w:vAlign w:val="center"/>
          </w:tcPr>
          <w:p>
            <w:pPr>
              <w:spacing w:line="360" w:lineRule="auto"/>
              <w:jc w:val="center"/>
              <w:rPr>
                <w:rFonts w:ascii="宋体" w:hAnsi="宋体"/>
                <w:sz w:val="24"/>
              </w:rPr>
            </w:pPr>
            <w:r>
              <w:rPr>
                <w:rFonts w:hint="eastAsia" w:ascii="宋体" w:hAnsi="宋体"/>
                <w:sz w:val="24"/>
              </w:rPr>
              <w:t>谈判响应保证金</w:t>
            </w:r>
          </w:p>
        </w:tc>
        <w:tc>
          <w:tcPr>
            <w:tcW w:w="741" w:type="dxa"/>
            <w:vAlign w:val="center"/>
          </w:tcPr>
          <w:p>
            <w:pPr>
              <w:spacing w:line="360"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5" w:hRule="atLeast"/>
          <w:jc w:val="center"/>
        </w:trPr>
        <w:tc>
          <w:tcPr>
            <w:tcW w:w="2311" w:type="dxa"/>
            <w:vAlign w:val="center"/>
          </w:tcPr>
          <w:p>
            <w:pPr>
              <w:pStyle w:val="22"/>
              <w:jc w:val="center"/>
              <w:rPr>
                <w:rFonts w:hAnsi="宋体"/>
                <w:sz w:val="24"/>
                <w:szCs w:val="24"/>
              </w:rPr>
            </w:pPr>
            <w:r>
              <w:rPr>
                <w:rFonts w:hint="eastAsia" w:hAnsi="宋体"/>
                <w:sz w:val="24"/>
                <w:szCs w:val="24"/>
                <w:lang w:eastAsia="zh-CN"/>
              </w:rPr>
              <w:t>中沧公寓楼破损栏杆更换工程</w:t>
            </w:r>
            <w:r>
              <w:rPr>
                <w:rFonts w:hint="eastAsia" w:hAnsi="宋体"/>
                <w:sz w:val="24"/>
                <w:szCs w:val="24"/>
              </w:rPr>
              <w:t xml:space="preserve">   </w:t>
            </w:r>
          </w:p>
        </w:tc>
        <w:tc>
          <w:tcPr>
            <w:tcW w:w="1274" w:type="dxa"/>
            <w:vAlign w:val="center"/>
          </w:tcPr>
          <w:p>
            <w:pPr>
              <w:pStyle w:val="22"/>
              <w:jc w:val="center"/>
              <w:rPr>
                <w:rFonts w:hAnsi="宋体"/>
                <w:sz w:val="24"/>
                <w:szCs w:val="24"/>
              </w:rPr>
            </w:pPr>
          </w:p>
        </w:tc>
        <w:tc>
          <w:tcPr>
            <w:tcW w:w="2851" w:type="dxa"/>
            <w:vAlign w:val="center"/>
          </w:tcPr>
          <w:p>
            <w:pPr>
              <w:spacing w:line="360" w:lineRule="auto"/>
              <w:jc w:val="center"/>
              <w:rPr>
                <w:rFonts w:ascii="宋体" w:hAnsi="宋体"/>
                <w:b/>
                <w:sz w:val="24"/>
              </w:rPr>
            </w:pPr>
            <w:r>
              <w:rPr>
                <w:rFonts w:hint="eastAsia" w:ascii="宋体" w:hAnsi="宋体"/>
                <w:sz w:val="24"/>
                <w:u w:val="single"/>
                <w:lang w:val="en-US" w:eastAsia="zh-CN"/>
              </w:rPr>
              <w:t xml:space="preserve">     </w:t>
            </w:r>
            <w:r>
              <w:rPr>
                <w:rFonts w:hint="eastAsia" w:ascii="宋体" w:hAnsi="宋体"/>
                <w:sz w:val="24"/>
              </w:rPr>
              <w:t>元/米</w:t>
            </w:r>
          </w:p>
        </w:tc>
        <w:tc>
          <w:tcPr>
            <w:tcW w:w="1262" w:type="dxa"/>
            <w:vAlign w:val="center"/>
          </w:tcPr>
          <w:p>
            <w:pPr>
              <w:spacing w:line="360" w:lineRule="auto"/>
              <w:jc w:val="center"/>
              <w:rPr>
                <w:rFonts w:ascii="宋体" w:hAnsi="宋体"/>
                <w:b/>
                <w:sz w:val="24"/>
              </w:rPr>
            </w:pPr>
          </w:p>
        </w:tc>
        <w:tc>
          <w:tcPr>
            <w:tcW w:w="1408" w:type="dxa"/>
            <w:vAlign w:val="center"/>
          </w:tcPr>
          <w:p>
            <w:pPr>
              <w:spacing w:line="360" w:lineRule="auto"/>
              <w:jc w:val="center"/>
              <w:rPr>
                <w:rFonts w:ascii="宋体" w:hAnsi="宋体"/>
                <w:b/>
                <w:sz w:val="24"/>
              </w:rPr>
            </w:pPr>
          </w:p>
        </w:tc>
        <w:tc>
          <w:tcPr>
            <w:tcW w:w="741" w:type="dxa"/>
            <w:tcBorders>
              <w:bottom w:val="single" w:color="auto" w:sz="4" w:space="0"/>
            </w:tcBorders>
            <w:vAlign w:val="center"/>
          </w:tcPr>
          <w:p>
            <w:pPr>
              <w:spacing w:line="360" w:lineRule="auto"/>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jc w:val="center"/>
        </w:trPr>
        <w:tc>
          <w:tcPr>
            <w:tcW w:w="9847" w:type="dxa"/>
            <w:gridSpan w:val="6"/>
            <w:vAlign w:val="center"/>
          </w:tcPr>
          <w:p>
            <w:pPr>
              <w:spacing w:line="360" w:lineRule="auto"/>
              <w:rPr>
                <w:rFonts w:ascii="宋体" w:hAnsi="宋体"/>
                <w:b/>
                <w:sz w:val="24"/>
              </w:rPr>
            </w:pPr>
            <w:r>
              <w:rPr>
                <w:rFonts w:hint="eastAsia" w:ascii="宋体" w:hAnsi="宋体"/>
                <w:sz w:val="24"/>
              </w:rPr>
              <w:t>谈判响应总价</w:t>
            </w:r>
            <w:r>
              <w:rPr>
                <w:rFonts w:hint="eastAsia" w:ascii="宋体" w:hAnsi="宋体"/>
                <w:sz w:val="24"/>
                <w:lang w:eastAsia="zh-CN"/>
              </w:rPr>
              <w:t>：</w:t>
            </w:r>
            <w:r>
              <w:rPr>
                <w:rFonts w:hint="eastAsia" w:ascii="宋体" w:hAnsi="宋体"/>
                <w:sz w:val="24"/>
              </w:rPr>
              <w:t>（大写）                                       小写：￥</w:t>
            </w:r>
          </w:p>
        </w:tc>
      </w:tr>
    </w:tbl>
    <w:p>
      <w:pPr>
        <w:tabs>
          <w:tab w:val="left" w:pos="13000"/>
        </w:tabs>
        <w:spacing w:line="360" w:lineRule="auto"/>
        <w:rPr>
          <w:rFonts w:ascii="宋体" w:hAnsi="宋体"/>
          <w:sz w:val="24"/>
        </w:rPr>
      </w:pPr>
      <w:r>
        <w:rPr>
          <w:rFonts w:hint="eastAsia" w:ascii="宋体" w:hAnsi="宋体"/>
          <w:sz w:val="24"/>
        </w:rPr>
        <w:t>注：1、详细报价清单应另纸详列，且标明所报各种货物的数量、规格和金额。</w:t>
      </w:r>
    </w:p>
    <w:p>
      <w:pPr>
        <w:spacing w:line="500" w:lineRule="exact"/>
        <w:ind w:firstLine="480" w:firstLineChars="200"/>
        <w:rPr>
          <w:rFonts w:ascii="宋体" w:hAnsi="宋体"/>
          <w:sz w:val="24"/>
        </w:rPr>
      </w:pPr>
      <w:r>
        <w:rPr>
          <w:rFonts w:hint="eastAsia" w:ascii="宋体" w:hAnsi="宋体"/>
          <w:sz w:val="24"/>
        </w:rPr>
        <w:t>2、谈判响应供应商若为联合体谈判响应的，则此报价一览表必须加盖联合体双方公章。</w:t>
      </w: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21"/>
        <w:pageBreakBefore/>
        <w:spacing w:line="360" w:lineRule="auto"/>
        <w:jc w:val="center"/>
        <w:outlineLvl w:val="1"/>
        <w:rPr>
          <w:rFonts w:hint="default" w:hAnsi="宋体"/>
          <w:szCs w:val="28"/>
        </w:rPr>
      </w:pPr>
      <w:bookmarkStart w:id="232" w:name="_Toc531349556"/>
      <w:bookmarkStart w:id="233" w:name="_Toc349054664"/>
      <w:r>
        <w:rPr>
          <w:rFonts w:hAnsi="宋体"/>
          <w:b/>
          <w:sz w:val="32"/>
          <w:szCs w:val="32"/>
        </w:rPr>
        <w:t>谈判响应分项报价表</w:t>
      </w:r>
      <w:bookmarkEnd w:id="232"/>
      <w:bookmarkEnd w:id="233"/>
    </w:p>
    <w:p>
      <w:pPr>
        <w:spacing w:line="360" w:lineRule="auto"/>
        <w:rPr>
          <w:rFonts w:ascii="宋体" w:hAnsi="宋体"/>
          <w:sz w:val="24"/>
        </w:rPr>
      </w:pPr>
      <w:r>
        <w:rPr>
          <w:rFonts w:hint="eastAsia" w:ascii="宋体" w:hAnsi="宋体"/>
          <w:sz w:val="24"/>
        </w:rPr>
        <w:t xml:space="preserve">谈判响应供应商（全称并加盖公章）：        项目编号：           货币单位： 元 </w:t>
      </w:r>
    </w:p>
    <w:tbl>
      <w:tblPr>
        <w:tblStyle w:val="39"/>
        <w:tblW w:w="90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90"/>
        <w:gridCol w:w="1417"/>
        <w:gridCol w:w="2610"/>
        <w:gridCol w:w="1076"/>
        <w:gridCol w:w="992"/>
        <w:gridCol w:w="1169"/>
        <w:gridCol w:w="10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jc w:val="center"/>
              <w:rPr>
                <w:rFonts w:ascii="宋体" w:hAnsi="宋体"/>
                <w:sz w:val="24"/>
              </w:rPr>
            </w:pPr>
            <w:r>
              <w:rPr>
                <w:rFonts w:hint="eastAsia" w:ascii="宋体" w:hAnsi="宋体"/>
                <w:sz w:val="24"/>
              </w:rPr>
              <w:t>序号</w:t>
            </w:r>
          </w:p>
        </w:tc>
        <w:tc>
          <w:tcPr>
            <w:tcW w:w="1417" w:type="dxa"/>
            <w:vAlign w:val="center"/>
          </w:tcPr>
          <w:p>
            <w:pPr>
              <w:jc w:val="center"/>
              <w:rPr>
                <w:rFonts w:ascii="宋体" w:hAnsi="宋体"/>
                <w:sz w:val="24"/>
              </w:rPr>
            </w:pPr>
            <w:r>
              <w:rPr>
                <w:rFonts w:hint="eastAsia" w:ascii="宋体" w:hAnsi="宋体"/>
                <w:sz w:val="24"/>
              </w:rPr>
              <w:t>货物名称</w:t>
            </w:r>
          </w:p>
        </w:tc>
        <w:tc>
          <w:tcPr>
            <w:tcW w:w="2610" w:type="dxa"/>
            <w:vAlign w:val="center"/>
          </w:tcPr>
          <w:p>
            <w:pPr>
              <w:jc w:val="center"/>
              <w:rPr>
                <w:rFonts w:ascii="宋体" w:hAnsi="宋体"/>
                <w:sz w:val="24"/>
              </w:rPr>
            </w:pPr>
            <w:r>
              <w:rPr>
                <w:rFonts w:hint="eastAsia" w:ascii="宋体" w:hAnsi="宋体"/>
                <w:sz w:val="24"/>
              </w:rPr>
              <w:t>规格</w:t>
            </w:r>
          </w:p>
        </w:tc>
        <w:tc>
          <w:tcPr>
            <w:tcW w:w="1076" w:type="dxa"/>
            <w:vAlign w:val="center"/>
          </w:tcPr>
          <w:p>
            <w:pPr>
              <w:jc w:val="center"/>
              <w:rPr>
                <w:rFonts w:ascii="宋体" w:hAnsi="宋体"/>
                <w:sz w:val="24"/>
              </w:rPr>
            </w:pPr>
            <w:r>
              <w:rPr>
                <w:rFonts w:hint="eastAsia" w:ascii="宋体" w:hAnsi="宋体"/>
                <w:sz w:val="24"/>
              </w:rPr>
              <w:t>数量</w:t>
            </w:r>
          </w:p>
        </w:tc>
        <w:tc>
          <w:tcPr>
            <w:tcW w:w="992" w:type="dxa"/>
            <w:vAlign w:val="center"/>
          </w:tcPr>
          <w:p>
            <w:pPr>
              <w:jc w:val="center"/>
              <w:rPr>
                <w:rFonts w:ascii="宋体" w:hAnsi="宋体"/>
                <w:sz w:val="24"/>
              </w:rPr>
            </w:pPr>
            <w:r>
              <w:rPr>
                <w:rFonts w:hint="eastAsia" w:ascii="宋体" w:hAnsi="宋体"/>
                <w:sz w:val="24"/>
              </w:rPr>
              <w:t>单价</w:t>
            </w:r>
          </w:p>
        </w:tc>
        <w:tc>
          <w:tcPr>
            <w:tcW w:w="1169" w:type="dxa"/>
            <w:vAlign w:val="center"/>
          </w:tcPr>
          <w:p>
            <w:pPr>
              <w:jc w:val="center"/>
              <w:rPr>
                <w:rFonts w:ascii="宋体" w:hAnsi="宋体"/>
                <w:sz w:val="24"/>
              </w:rPr>
            </w:pPr>
            <w:r>
              <w:rPr>
                <w:rFonts w:hint="eastAsia" w:ascii="宋体" w:hAnsi="宋体"/>
                <w:sz w:val="24"/>
              </w:rPr>
              <w:t>小计</w:t>
            </w:r>
          </w:p>
        </w:tc>
        <w:tc>
          <w:tcPr>
            <w:tcW w:w="1004" w:type="dxa"/>
            <w:vAlign w:val="center"/>
          </w:tcPr>
          <w:p>
            <w:pPr>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4"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790" w:type="dxa"/>
            <w:vAlign w:val="center"/>
          </w:tcPr>
          <w:p>
            <w:pPr>
              <w:spacing w:line="360" w:lineRule="auto"/>
              <w:jc w:val="center"/>
              <w:rPr>
                <w:rFonts w:ascii="宋体" w:hAnsi="宋体"/>
                <w:sz w:val="24"/>
              </w:rPr>
            </w:pPr>
          </w:p>
        </w:tc>
        <w:tc>
          <w:tcPr>
            <w:tcW w:w="1417" w:type="dxa"/>
            <w:vAlign w:val="center"/>
          </w:tcPr>
          <w:p>
            <w:pPr>
              <w:spacing w:line="360" w:lineRule="auto"/>
              <w:jc w:val="center"/>
              <w:rPr>
                <w:rFonts w:ascii="宋体" w:hAnsi="宋体"/>
                <w:sz w:val="24"/>
              </w:rPr>
            </w:pPr>
          </w:p>
        </w:tc>
        <w:tc>
          <w:tcPr>
            <w:tcW w:w="2610" w:type="dxa"/>
            <w:vAlign w:val="center"/>
          </w:tcPr>
          <w:p>
            <w:pPr>
              <w:spacing w:line="360" w:lineRule="auto"/>
              <w:jc w:val="center"/>
              <w:rPr>
                <w:rFonts w:ascii="宋体" w:hAnsi="宋体"/>
                <w:sz w:val="24"/>
              </w:rPr>
            </w:pPr>
          </w:p>
        </w:tc>
        <w:tc>
          <w:tcPr>
            <w:tcW w:w="1076" w:type="dxa"/>
            <w:vAlign w:val="center"/>
          </w:tcPr>
          <w:p>
            <w:pPr>
              <w:spacing w:line="360" w:lineRule="auto"/>
              <w:jc w:val="center"/>
              <w:rPr>
                <w:rFonts w:ascii="宋体" w:hAnsi="宋体"/>
                <w:sz w:val="24"/>
              </w:rPr>
            </w:pPr>
          </w:p>
        </w:tc>
        <w:tc>
          <w:tcPr>
            <w:tcW w:w="992" w:type="dxa"/>
            <w:vAlign w:val="center"/>
          </w:tcPr>
          <w:p>
            <w:pPr>
              <w:spacing w:line="360" w:lineRule="auto"/>
              <w:jc w:val="center"/>
              <w:rPr>
                <w:rFonts w:ascii="宋体" w:hAnsi="宋体"/>
                <w:sz w:val="24"/>
              </w:rPr>
            </w:pPr>
          </w:p>
        </w:tc>
        <w:tc>
          <w:tcPr>
            <w:tcW w:w="1169" w:type="dxa"/>
            <w:vAlign w:val="center"/>
          </w:tcPr>
          <w:p>
            <w:pPr>
              <w:spacing w:line="360" w:lineRule="auto"/>
              <w:jc w:val="center"/>
              <w:rPr>
                <w:rFonts w:ascii="宋体" w:hAnsi="宋体"/>
                <w:sz w:val="24"/>
              </w:rPr>
            </w:pPr>
          </w:p>
        </w:tc>
        <w:tc>
          <w:tcPr>
            <w:tcW w:w="1004"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23" w:hRule="atLeast"/>
          <w:jc w:val="center"/>
        </w:trPr>
        <w:tc>
          <w:tcPr>
            <w:tcW w:w="9058" w:type="dxa"/>
            <w:gridSpan w:val="7"/>
            <w:vAlign w:val="center"/>
          </w:tcPr>
          <w:p>
            <w:pPr>
              <w:rPr>
                <w:rFonts w:ascii="宋体" w:hAnsi="宋体"/>
                <w:sz w:val="24"/>
              </w:rPr>
            </w:pPr>
            <w:r>
              <w:rPr>
                <w:rFonts w:hint="eastAsia" w:ascii="宋体" w:hAnsi="宋体"/>
                <w:sz w:val="24"/>
              </w:rPr>
              <w:t>谈判响应总报价：（大写）                                 小写：￥</w:t>
            </w:r>
          </w:p>
        </w:tc>
      </w:tr>
    </w:tbl>
    <w:p>
      <w:pPr>
        <w:spacing w:line="360" w:lineRule="auto"/>
        <w:rPr>
          <w:rFonts w:ascii="宋体" w:hAnsi="宋体"/>
          <w:sz w:val="24"/>
        </w:rPr>
      </w:pPr>
    </w:p>
    <w:p>
      <w:pPr>
        <w:spacing w:line="360" w:lineRule="auto"/>
        <w:rPr>
          <w:rFonts w:ascii="宋体" w:hAnsi="宋体"/>
          <w:sz w:val="24"/>
        </w:rPr>
      </w:pPr>
      <w:r>
        <w:rPr>
          <w:rFonts w:hint="eastAsia" w:ascii="宋体" w:hAnsi="宋体"/>
          <w:sz w:val="24"/>
        </w:rPr>
        <w:t xml:space="preserve"> 注：1、此表第谈判响应总价若与谈判货物一览表有出入，以谈判货物一览表谈判响应价格为准。</w:t>
      </w:r>
    </w:p>
    <w:p>
      <w:pPr>
        <w:spacing w:line="360" w:lineRule="auto"/>
        <w:ind w:firstLine="600" w:firstLineChars="250"/>
        <w:rPr>
          <w:rFonts w:ascii="宋体" w:hAnsi="宋体"/>
          <w:sz w:val="24"/>
        </w:rPr>
      </w:pPr>
      <w:r>
        <w:rPr>
          <w:rFonts w:hint="eastAsia" w:ascii="宋体" w:hAnsi="宋体"/>
          <w:sz w:val="24"/>
        </w:rPr>
        <w:t>2、若未详细分项报价将被视为没有实质性响应谈判文件。</w:t>
      </w: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spacing w:line="360" w:lineRule="auto"/>
        <w:ind w:firstLine="480" w:firstLineChars="200"/>
        <w:rPr>
          <w:rFonts w:ascii="宋体" w:hAnsi="宋体"/>
          <w:sz w:val="24"/>
        </w:rPr>
        <w:sectPr>
          <w:pgSz w:w="11907" w:h="16840"/>
          <w:pgMar w:top="1418" w:right="1287" w:bottom="1418" w:left="1440" w:header="851" w:footer="992" w:gutter="0"/>
          <w:cols w:space="720" w:num="1"/>
          <w:docGrid w:linePitch="381" w:charSpace="0"/>
        </w:sect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80" w:lineRule="exact"/>
        <w:jc w:val="center"/>
        <w:outlineLvl w:val="1"/>
        <w:rPr>
          <w:rFonts w:ascii="宋体" w:hAnsi="宋体"/>
          <w:szCs w:val="28"/>
        </w:rPr>
      </w:pPr>
      <w:bookmarkStart w:id="234" w:name="_Toc531349557"/>
      <w:r>
        <w:rPr>
          <w:rFonts w:hint="eastAsia" w:ascii="宋体" w:hAnsi="宋体"/>
          <w:b/>
          <w:szCs w:val="28"/>
        </w:rPr>
        <w:t>货物说明一览表</w:t>
      </w:r>
      <w:bookmarkEnd w:id="234"/>
    </w:p>
    <w:p>
      <w:pPr>
        <w:spacing w:line="380" w:lineRule="exact"/>
        <w:rPr>
          <w:rFonts w:ascii="宋体" w:hAnsi="宋体"/>
          <w:sz w:val="24"/>
        </w:rPr>
      </w:pPr>
      <w:r>
        <w:rPr>
          <w:rFonts w:hint="eastAsia" w:ascii="宋体" w:hAnsi="宋体"/>
          <w:sz w:val="24"/>
        </w:rPr>
        <w:t>谈判响应供应商（全称并加盖公章）:                                      项目编号</w:t>
      </w:r>
      <w:r>
        <w:rPr>
          <w:rFonts w:hint="eastAsia" w:ascii="宋体" w:hAnsi="宋体"/>
          <w:sz w:val="24"/>
          <w:lang w:eastAsia="zh-CN"/>
        </w:rPr>
        <w:t>：</w:t>
      </w:r>
      <w:r>
        <w:rPr>
          <w:rFonts w:hint="eastAsia" w:ascii="宋体" w:hAnsi="宋体"/>
          <w:sz w:val="24"/>
        </w:rPr>
        <w:t xml:space="preserve">                </w:t>
      </w:r>
    </w:p>
    <w:tbl>
      <w:tblPr>
        <w:tblStyle w:val="39"/>
        <w:tblW w:w="139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5"/>
        <w:gridCol w:w="2523"/>
        <w:gridCol w:w="1080"/>
        <w:gridCol w:w="1800"/>
        <w:gridCol w:w="1440"/>
        <w:gridCol w:w="1620"/>
        <w:gridCol w:w="126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54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r>
              <w:rPr>
                <w:rFonts w:hint="eastAsia" w:ascii="宋体" w:hAnsi="宋体"/>
                <w:sz w:val="24"/>
              </w:rPr>
              <w:t>货物名称</w:t>
            </w:r>
          </w:p>
        </w:tc>
        <w:tc>
          <w:tcPr>
            <w:tcW w:w="2523"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r>
              <w:rPr>
                <w:rFonts w:hint="eastAsia" w:ascii="宋体" w:hAnsi="宋体"/>
                <w:sz w:val="24"/>
              </w:rPr>
              <w:t>产地</w:t>
            </w:r>
          </w:p>
        </w:tc>
        <w:tc>
          <w:tcPr>
            <w:tcW w:w="1800"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r>
              <w:rPr>
                <w:rFonts w:hint="eastAsia" w:ascii="宋体" w:hAnsi="宋体"/>
                <w:sz w:val="24"/>
              </w:rPr>
              <w:t>品牌型号</w:t>
            </w:r>
          </w:p>
        </w:tc>
        <w:tc>
          <w:tcPr>
            <w:tcW w:w="1620"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宋体" w:hAnsi="宋体"/>
                <w:sz w:val="24"/>
              </w:rPr>
            </w:pPr>
            <w:r>
              <w:rPr>
                <w:rFonts w:hint="eastAsia" w:ascii="宋体" w:hAnsi="宋体"/>
                <w:sz w:val="24"/>
              </w:rPr>
              <w:t>数量</w:t>
            </w:r>
          </w:p>
        </w:tc>
        <w:tc>
          <w:tcPr>
            <w:tcW w:w="2700"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2" w:hRule="atLeast"/>
        </w:trPr>
        <w:tc>
          <w:tcPr>
            <w:tcW w:w="13968" w:type="dxa"/>
            <w:gridSpan w:val="8"/>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详细参数说明</w:t>
            </w:r>
          </w:p>
        </w:tc>
      </w:tr>
    </w:tbl>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21"/>
        <w:keepLines/>
        <w:pageBreakBefore/>
        <w:spacing w:line="360" w:lineRule="auto"/>
        <w:jc w:val="center"/>
        <w:outlineLvl w:val="1"/>
        <w:rPr>
          <w:rFonts w:hint="default" w:hAnsi="宋体"/>
          <w:b/>
          <w:sz w:val="32"/>
          <w:szCs w:val="32"/>
        </w:rPr>
        <w:sectPr>
          <w:pgSz w:w="16840" w:h="11907" w:orient="landscape"/>
          <w:pgMar w:top="1440" w:right="1418" w:bottom="1287" w:left="1418" w:header="851" w:footer="992" w:gutter="0"/>
          <w:cols w:space="720" w:num="1"/>
        </w:sectPr>
      </w:pPr>
      <w:bookmarkStart w:id="235" w:name="_Toc397611865"/>
    </w:p>
    <w:bookmarkEnd w:id="235"/>
    <w:p>
      <w:pPr>
        <w:pStyle w:val="121"/>
        <w:spacing w:line="360" w:lineRule="auto"/>
        <w:ind w:firstLine="361"/>
        <w:jc w:val="center"/>
        <w:rPr>
          <w:rFonts w:hint="default" w:hAnsi="宋体"/>
          <w:szCs w:val="28"/>
        </w:rPr>
      </w:pPr>
      <w:bookmarkStart w:id="236" w:name="_Toc338772334"/>
      <w:bookmarkStart w:id="237" w:name="_Toc198608087"/>
      <w:bookmarkStart w:id="238" w:name="_Toc317262578"/>
      <w:bookmarkStart w:id="239" w:name="_Toc317519705"/>
      <w:bookmarkStart w:id="240" w:name="_Toc318815835"/>
      <w:bookmarkStart w:id="241" w:name="_Toc185762842"/>
      <w:bookmarkStart w:id="242" w:name="_Toc319570625"/>
      <w:bookmarkStart w:id="243" w:name="_Toc410045825"/>
      <w:bookmarkStart w:id="244" w:name="_Toc467591989"/>
      <w:bookmarkStart w:id="245" w:name="_Toc435518474"/>
      <w:bookmarkStart w:id="246" w:name="_Toc509408013"/>
      <w:bookmarkStart w:id="247" w:name="_Toc420577599"/>
      <w:bookmarkStart w:id="248" w:name="_Toc531349558"/>
      <w:bookmarkStart w:id="249" w:name="_Toc407189376"/>
      <w:bookmarkStart w:id="250" w:name="_Toc410144310"/>
      <w:r>
        <w:rPr>
          <w:rFonts w:hAnsi="宋体"/>
          <w:b/>
          <w:szCs w:val="28"/>
        </w:rPr>
        <w:t>技术规格和商务偏离表</w:t>
      </w:r>
      <w:bookmarkEnd w:id="236"/>
      <w:bookmarkEnd w:id="237"/>
      <w:bookmarkEnd w:id="238"/>
      <w:bookmarkEnd w:id="239"/>
      <w:bookmarkEnd w:id="240"/>
      <w:bookmarkEnd w:id="241"/>
      <w:bookmarkEnd w:id="242"/>
      <w:r>
        <w:rPr>
          <w:rFonts w:hAnsi="宋体"/>
          <w:szCs w:val="28"/>
        </w:rPr>
        <w:cr/>
      </w:r>
      <w:r>
        <w:rPr>
          <w:rFonts w:hAnsi="宋体"/>
          <w:sz w:val="24"/>
        </w:rPr>
        <w:t>谈判响应供应商名称(全称并加盖公章)：                  项目编号</w:t>
      </w:r>
      <w:bookmarkEnd w:id="243"/>
      <w:bookmarkEnd w:id="244"/>
      <w:bookmarkEnd w:id="245"/>
      <w:bookmarkEnd w:id="246"/>
      <w:bookmarkEnd w:id="247"/>
      <w:bookmarkEnd w:id="248"/>
      <w:r>
        <w:rPr>
          <w:rFonts w:hint="eastAsia" w:hAnsi="宋体"/>
          <w:sz w:val="24"/>
          <w:lang w:eastAsia="zh-CN"/>
        </w:rPr>
        <w:t>：</w:t>
      </w:r>
      <w:r>
        <w:rPr>
          <w:rFonts w:hAnsi="宋体"/>
          <w:sz w:val="24"/>
        </w:rPr>
        <w:tab/>
      </w:r>
    </w:p>
    <w:tbl>
      <w:tblPr>
        <w:tblStyle w:val="39"/>
        <w:tblW w:w="9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1687"/>
        <w:gridCol w:w="1715"/>
        <w:gridCol w:w="1789"/>
        <w:gridCol w:w="1516"/>
        <w:gridCol w:w="1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1432" w:type="dxa"/>
            <w:vAlign w:val="center"/>
          </w:tcPr>
          <w:p>
            <w:pPr>
              <w:jc w:val="center"/>
              <w:rPr>
                <w:rFonts w:ascii="宋体" w:hAnsi="宋体"/>
                <w:sz w:val="24"/>
              </w:rPr>
            </w:pPr>
            <w:r>
              <w:rPr>
                <w:rFonts w:hint="eastAsia" w:ascii="宋体" w:hAnsi="宋体"/>
                <w:sz w:val="24"/>
              </w:rPr>
              <w:t>序号</w:t>
            </w:r>
          </w:p>
        </w:tc>
        <w:tc>
          <w:tcPr>
            <w:tcW w:w="1687" w:type="dxa"/>
            <w:vAlign w:val="center"/>
          </w:tcPr>
          <w:p>
            <w:pPr>
              <w:jc w:val="center"/>
              <w:rPr>
                <w:rFonts w:ascii="宋体" w:hAnsi="宋体"/>
                <w:sz w:val="24"/>
              </w:rPr>
            </w:pPr>
            <w:r>
              <w:rPr>
                <w:rFonts w:hint="eastAsia" w:ascii="宋体" w:hAnsi="宋体"/>
                <w:sz w:val="24"/>
              </w:rPr>
              <w:t>货物名称</w:t>
            </w:r>
          </w:p>
        </w:tc>
        <w:tc>
          <w:tcPr>
            <w:tcW w:w="1715" w:type="dxa"/>
            <w:vAlign w:val="center"/>
          </w:tcPr>
          <w:p>
            <w:pPr>
              <w:jc w:val="center"/>
              <w:rPr>
                <w:rFonts w:ascii="宋体" w:hAnsi="宋体"/>
                <w:sz w:val="24"/>
              </w:rPr>
            </w:pPr>
            <w:r>
              <w:rPr>
                <w:rFonts w:hint="eastAsia" w:ascii="宋体" w:hAnsi="宋体"/>
                <w:sz w:val="24"/>
              </w:rPr>
              <w:t>谈判文件要求</w:t>
            </w:r>
          </w:p>
        </w:tc>
        <w:tc>
          <w:tcPr>
            <w:tcW w:w="1789" w:type="dxa"/>
            <w:vAlign w:val="center"/>
          </w:tcPr>
          <w:p>
            <w:pPr>
              <w:jc w:val="center"/>
              <w:rPr>
                <w:rFonts w:ascii="宋体" w:hAnsi="宋体"/>
                <w:sz w:val="24"/>
              </w:rPr>
            </w:pPr>
            <w:r>
              <w:rPr>
                <w:rFonts w:hint="eastAsia" w:ascii="宋体" w:hAnsi="宋体"/>
                <w:sz w:val="24"/>
              </w:rPr>
              <w:t>谈判响应</w:t>
            </w:r>
          </w:p>
        </w:tc>
        <w:tc>
          <w:tcPr>
            <w:tcW w:w="1516" w:type="dxa"/>
            <w:vAlign w:val="center"/>
          </w:tcPr>
          <w:p>
            <w:pPr>
              <w:jc w:val="center"/>
              <w:rPr>
                <w:rFonts w:ascii="宋体" w:hAnsi="宋体"/>
                <w:sz w:val="24"/>
              </w:rPr>
            </w:pPr>
            <w:r>
              <w:rPr>
                <w:rFonts w:hint="eastAsia" w:ascii="宋体" w:hAnsi="宋体"/>
                <w:sz w:val="24"/>
              </w:rPr>
              <w:t>偏离说明</w:t>
            </w:r>
          </w:p>
        </w:tc>
        <w:tc>
          <w:tcPr>
            <w:tcW w:w="1516" w:type="dxa"/>
            <w:vAlign w:val="center"/>
          </w:tcPr>
          <w:p>
            <w:pPr>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bl>
    <w:p>
      <w:pPr>
        <w:spacing w:line="360" w:lineRule="auto"/>
        <w:rPr>
          <w:rFonts w:ascii="宋体" w:hAnsi="宋体"/>
          <w:sz w:val="24"/>
        </w:rPr>
      </w:pPr>
      <w:r>
        <w:rPr>
          <w:rFonts w:hint="eastAsia" w:ascii="宋体" w:hAnsi="宋体"/>
          <w:sz w:val="24"/>
        </w:rPr>
        <w:t>注：谈判响应供应商提交的谈判响应文件中与谈判文件的技术、商务部分的要求有不同时，应逐条列在偏离表中，否则将认为谈判响应供应商接受谈判文件的要求。谈判响应供应商存在弄虚作假行为的，将依法承担相应的法律责任。</w:t>
      </w: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pStyle w:val="22"/>
        <w:snapToGrid w:val="0"/>
        <w:spacing w:line="360" w:lineRule="auto"/>
        <w:jc w:val="left"/>
        <w:rPr>
          <w:rFonts w:hAnsi="宋体"/>
          <w:sz w:val="24"/>
          <w:szCs w:val="24"/>
          <w:u w:val="single"/>
        </w:rPr>
      </w:pPr>
      <w:r>
        <w:rPr>
          <w:rFonts w:hint="eastAsia" w:hAnsi="宋体"/>
          <w:sz w:val="24"/>
        </w:rPr>
        <w:t>日  期：</w:t>
      </w:r>
      <w:r>
        <w:rPr>
          <w:rFonts w:hint="eastAsia" w:hAnsi="宋体"/>
          <w:sz w:val="24"/>
          <w:u w:val="single"/>
        </w:rPr>
        <w:t xml:space="preserve">   </w:t>
      </w:r>
      <w:r>
        <w:rPr>
          <w:rFonts w:hint="eastAsia" w:hAnsi="宋体"/>
          <w:sz w:val="24"/>
        </w:rPr>
        <w:t>年</w:t>
      </w:r>
      <w:r>
        <w:rPr>
          <w:rFonts w:hint="eastAsia" w:hAnsi="宋体"/>
          <w:sz w:val="24"/>
          <w:u w:val="single"/>
        </w:rPr>
        <w:t xml:space="preserve">   </w:t>
      </w:r>
      <w:r>
        <w:rPr>
          <w:rFonts w:hint="eastAsia" w:hAnsi="宋体"/>
          <w:sz w:val="24"/>
        </w:rPr>
        <w:t>月</w:t>
      </w:r>
      <w:r>
        <w:rPr>
          <w:rFonts w:hint="eastAsia" w:hAnsi="宋体"/>
          <w:sz w:val="24"/>
          <w:u w:val="single"/>
        </w:rPr>
        <w:t xml:space="preserve">   </w:t>
      </w:r>
      <w:r>
        <w:rPr>
          <w:rFonts w:hint="eastAsia" w:hAnsi="宋体"/>
          <w:sz w:val="24"/>
        </w:rPr>
        <w:t>日</w:t>
      </w:r>
    </w:p>
    <w:p>
      <w:pPr>
        <w:keepLines/>
        <w:pageBreakBefore/>
        <w:spacing w:line="360" w:lineRule="auto"/>
        <w:jc w:val="center"/>
        <w:outlineLvl w:val="1"/>
        <w:rPr>
          <w:rFonts w:ascii="宋体" w:hAnsi="宋体" w:cs="仿宋"/>
          <w:b/>
          <w:szCs w:val="28"/>
        </w:rPr>
      </w:pPr>
      <w:bookmarkStart w:id="251" w:name="_Toc435518475"/>
      <w:bookmarkStart w:id="252" w:name="_Toc531349559"/>
      <w:bookmarkStart w:id="253" w:name="_Toc415084417"/>
      <w:r>
        <w:rPr>
          <w:rFonts w:hint="eastAsia" w:ascii="宋体" w:hAnsi="宋体" w:cs="仿宋"/>
          <w:b/>
          <w:szCs w:val="28"/>
        </w:rPr>
        <w:t>供货安装组织方案</w:t>
      </w:r>
      <w:bookmarkEnd w:id="251"/>
      <w:bookmarkEnd w:id="252"/>
      <w:bookmarkEnd w:id="253"/>
    </w:p>
    <w:p>
      <w:pPr>
        <w:pStyle w:val="24"/>
        <w:tabs>
          <w:tab w:val="left" w:pos="900"/>
        </w:tabs>
        <w:spacing w:line="360" w:lineRule="auto"/>
        <w:rPr>
          <w:rFonts w:ascii="宋体" w:hAnsi="宋体" w:cs="仿宋_GB2312"/>
          <w:szCs w:val="24"/>
        </w:rPr>
      </w:pPr>
      <w:r>
        <w:rPr>
          <w:rFonts w:hint="eastAsia" w:ascii="宋体" w:hAnsi="宋体" w:cs="仿宋_GB2312"/>
          <w:szCs w:val="24"/>
        </w:rPr>
        <w:t>致：厦门市华沧采购招标有限公司</w:t>
      </w:r>
    </w:p>
    <w:p>
      <w:pPr>
        <w:spacing w:line="360" w:lineRule="auto"/>
        <w:ind w:firstLine="480" w:firstLineChars="200"/>
        <w:rPr>
          <w:rFonts w:ascii="宋体" w:hAnsi="宋体" w:cs="仿宋"/>
          <w:sz w:val="24"/>
        </w:rPr>
      </w:pPr>
      <w:r>
        <w:rPr>
          <w:rFonts w:hint="eastAsia" w:ascii="宋体" w:hAnsi="宋体" w:cs="仿宋"/>
          <w:sz w:val="24"/>
        </w:rPr>
        <w:t>根据贵方</w:t>
      </w:r>
      <w:r>
        <w:rPr>
          <w:rFonts w:hint="eastAsia" w:ascii="宋体" w:hAnsi="宋体" w:cs="仿宋"/>
          <w:sz w:val="24"/>
          <w:u w:val="single"/>
        </w:rPr>
        <w:t xml:space="preserve">                  </w:t>
      </w:r>
      <w:r>
        <w:rPr>
          <w:rFonts w:hint="eastAsia" w:ascii="宋体" w:hAnsi="宋体" w:cs="仿宋"/>
          <w:sz w:val="24"/>
        </w:rPr>
        <w:t>谈判项目的谈判邀请，我司对该项目供货安装组织具体承诺如下：</w:t>
      </w:r>
    </w:p>
    <w:p>
      <w:pPr>
        <w:spacing w:line="360" w:lineRule="auto"/>
        <w:ind w:firstLine="480" w:firstLineChars="200"/>
        <w:rPr>
          <w:rFonts w:ascii="宋体" w:hAnsi="宋体" w:cs="仿宋"/>
          <w:sz w:val="24"/>
        </w:rPr>
      </w:pPr>
    </w:p>
    <w:p>
      <w:pPr>
        <w:spacing w:line="380" w:lineRule="exact"/>
        <w:jc w:val="center"/>
        <w:outlineLvl w:val="1"/>
        <w:rPr>
          <w:rFonts w:ascii="宋体" w:hAnsi="宋体" w:cs="仿宋"/>
          <w:b/>
          <w:sz w:val="24"/>
        </w:rPr>
      </w:pPr>
      <w:bookmarkStart w:id="254" w:name="_Toc404779619"/>
      <w:bookmarkStart w:id="255" w:name="_Toc405819622"/>
      <w:bookmarkStart w:id="256" w:name="_Toc405820983"/>
      <w:bookmarkStart w:id="257" w:name="_Toc405897548"/>
    </w:p>
    <w:p>
      <w:pPr>
        <w:spacing w:line="380" w:lineRule="exact"/>
        <w:jc w:val="center"/>
        <w:outlineLvl w:val="1"/>
        <w:rPr>
          <w:rFonts w:ascii="宋体" w:hAnsi="宋体" w:cs="仿宋"/>
          <w:b/>
          <w:sz w:val="24"/>
        </w:rPr>
      </w:pPr>
    </w:p>
    <w:p>
      <w:pPr>
        <w:spacing w:line="380" w:lineRule="exact"/>
        <w:jc w:val="center"/>
        <w:outlineLvl w:val="1"/>
        <w:rPr>
          <w:rFonts w:ascii="宋体" w:hAnsi="宋体" w:cs="仿宋"/>
          <w:b/>
          <w:sz w:val="24"/>
        </w:rPr>
      </w:pPr>
    </w:p>
    <w:p>
      <w:pPr>
        <w:spacing w:line="380" w:lineRule="exact"/>
        <w:jc w:val="center"/>
        <w:outlineLvl w:val="1"/>
        <w:rPr>
          <w:rFonts w:ascii="宋体" w:hAnsi="宋体" w:cs="仿宋"/>
          <w:b/>
          <w:sz w:val="24"/>
        </w:rPr>
      </w:pPr>
    </w:p>
    <w:p>
      <w:pPr>
        <w:spacing w:line="380" w:lineRule="exact"/>
        <w:jc w:val="center"/>
        <w:outlineLvl w:val="1"/>
        <w:rPr>
          <w:rFonts w:ascii="宋体" w:hAnsi="宋体" w:cs="仿宋"/>
          <w:b/>
          <w:sz w:val="24"/>
        </w:rPr>
      </w:pPr>
      <w:bookmarkStart w:id="258" w:name="_Toc492492895"/>
      <w:bookmarkStart w:id="259" w:name="_Toc466045725"/>
      <w:bookmarkStart w:id="260" w:name="_Toc433531552"/>
      <w:bookmarkStart w:id="261" w:name="_Toc467591991"/>
      <w:bookmarkStart w:id="262" w:name="_Toc435518476"/>
      <w:bookmarkStart w:id="263" w:name="_Toc462647079"/>
      <w:bookmarkStart w:id="264" w:name="_Toc440899534"/>
      <w:bookmarkStart w:id="265" w:name="_Toc445901151"/>
      <w:bookmarkStart w:id="266" w:name="_Toc445748283"/>
      <w:bookmarkStart w:id="267" w:name="_Toc457383246"/>
      <w:bookmarkStart w:id="268" w:name="_Toc415084418"/>
      <w:bookmarkStart w:id="269" w:name="_Toc449373794"/>
      <w:bookmarkStart w:id="270" w:name="_Toc441500090"/>
      <w:bookmarkStart w:id="271" w:name="_Toc445991625"/>
      <w:bookmarkStart w:id="272" w:name="_Toc444614444"/>
      <w:bookmarkStart w:id="273" w:name="_Toc531349085"/>
      <w:bookmarkStart w:id="274" w:name="_Toc441224355"/>
      <w:bookmarkStart w:id="275" w:name="_Toc406155488"/>
      <w:bookmarkStart w:id="276" w:name="_Toc502839713"/>
      <w:bookmarkStart w:id="277" w:name="_Toc449635701"/>
      <w:bookmarkStart w:id="278" w:name="_Toc509408015"/>
      <w:bookmarkStart w:id="279" w:name="_Toc519357498"/>
      <w:bookmarkStart w:id="280" w:name="_Toc415071979"/>
      <w:bookmarkStart w:id="281" w:name="_Toc531349560"/>
      <w:r>
        <w:rPr>
          <w:rFonts w:hint="eastAsia" w:ascii="宋体" w:hAnsi="宋体" w:cs="仿宋"/>
          <w:b/>
          <w:sz w:val="24"/>
        </w:rPr>
        <w:t>（内容根据谈判文件要求自拟）</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60" w:lineRule="auto"/>
        <w:rPr>
          <w:rFonts w:ascii="宋体" w:hAnsi="宋体"/>
          <w:sz w:val="24"/>
        </w:rPr>
      </w:pPr>
      <w:r>
        <w:rPr>
          <w:rFonts w:hint="eastAsia" w:ascii="宋体" w:hAnsi="宋体"/>
          <w:sz w:val="24"/>
        </w:rPr>
        <w:t>谈判响应供应商（全称并加盖公章）：</w:t>
      </w:r>
      <w:r>
        <w:rPr>
          <w:rFonts w:hint="eastAsia" w:ascii="宋体" w:hAnsi="宋体"/>
          <w:sz w:val="24"/>
          <w:u w:val="single"/>
        </w:rPr>
        <w:t xml:space="preserve">                 </w:t>
      </w:r>
    </w:p>
    <w:p>
      <w:pPr>
        <w:spacing w:line="360" w:lineRule="auto"/>
        <w:rPr>
          <w:rFonts w:ascii="宋体" w:hAnsi="宋体"/>
          <w:b/>
          <w:sz w:val="21"/>
        </w:rPr>
      </w:pPr>
      <w:r>
        <w:rPr>
          <w:rFonts w:hint="eastAsia" w:ascii="宋体" w:hAnsi="宋体"/>
          <w:sz w:val="24"/>
        </w:rPr>
        <w:t xml:space="preserve">谈判响应供应商代表签字：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none"/>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 xml:space="preserve"> 日</w:t>
      </w:r>
    </w:p>
    <w:p>
      <w:pPr>
        <w:pStyle w:val="121"/>
        <w:spacing w:line="360" w:lineRule="auto"/>
        <w:outlineLvl w:val="1"/>
        <w:rPr>
          <w:rFonts w:hint="default" w:hAnsi="宋体"/>
          <w:b/>
        </w:rPr>
      </w:pPr>
    </w:p>
    <w:p>
      <w:pPr>
        <w:pStyle w:val="121"/>
        <w:spacing w:line="360" w:lineRule="auto"/>
        <w:jc w:val="center"/>
        <w:outlineLvl w:val="1"/>
        <w:rPr>
          <w:rFonts w:hint="default" w:hAnsi="宋体"/>
          <w:b/>
        </w:rPr>
      </w:pPr>
    </w:p>
    <w:p>
      <w:pPr>
        <w:pStyle w:val="121"/>
        <w:spacing w:line="360" w:lineRule="auto"/>
        <w:jc w:val="center"/>
        <w:outlineLvl w:val="1"/>
        <w:rPr>
          <w:rFonts w:hint="default" w:hAnsi="宋体"/>
          <w:b/>
        </w:rPr>
      </w:pPr>
    </w:p>
    <w:p>
      <w:pPr>
        <w:pStyle w:val="121"/>
        <w:spacing w:line="360" w:lineRule="auto"/>
        <w:jc w:val="center"/>
        <w:outlineLvl w:val="1"/>
        <w:rPr>
          <w:rFonts w:hint="default" w:hAnsi="宋体"/>
          <w:b/>
        </w:rPr>
      </w:pPr>
    </w:p>
    <w:p>
      <w:pPr>
        <w:keepLines/>
        <w:pageBreakBefore/>
        <w:spacing w:line="360" w:lineRule="auto"/>
        <w:jc w:val="center"/>
        <w:outlineLvl w:val="1"/>
        <w:rPr>
          <w:rFonts w:ascii="宋体" w:hAnsi="宋体" w:cs="仿宋"/>
          <w:b/>
          <w:szCs w:val="28"/>
        </w:rPr>
      </w:pPr>
      <w:bookmarkStart w:id="282" w:name="_Toc531349561"/>
      <w:r>
        <w:rPr>
          <w:rFonts w:hint="eastAsia" w:ascii="宋体" w:hAnsi="宋体" w:cs="仿宋"/>
          <w:b/>
          <w:szCs w:val="28"/>
        </w:rPr>
        <w:t>售后服务承诺书</w:t>
      </w:r>
      <w:bookmarkEnd w:id="249"/>
      <w:bookmarkEnd w:id="250"/>
      <w:bookmarkEnd w:id="282"/>
    </w:p>
    <w:p>
      <w:pPr>
        <w:pStyle w:val="24"/>
        <w:tabs>
          <w:tab w:val="left" w:pos="900"/>
        </w:tabs>
        <w:spacing w:line="360" w:lineRule="auto"/>
        <w:rPr>
          <w:rFonts w:ascii="宋体" w:hAnsi="宋体" w:cs="仿宋_GB2312"/>
          <w:szCs w:val="24"/>
        </w:rPr>
      </w:pPr>
      <w:r>
        <w:rPr>
          <w:rFonts w:hint="eastAsia" w:ascii="宋体" w:hAnsi="宋体" w:cs="仿宋_GB2312"/>
          <w:szCs w:val="24"/>
        </w:rPr>
        <w:t>致：厦门市华沧采购招标有限公司</w:t>
      </w:r>
    </w:p>
    <w:p>
      <w:pPr>
        <w:spacing w:line="360" w:lineRule="auto"/>
        <w:ind w:firstLine="480" w:firstLineChars="200"/>
        <w:rPr>
          <w:rFonts w:ascii="宋体" w:hAnsi="宋体" w:cs="仿宋"/>
          <w:sz w:val="24"/>
        </w:rPr>
      </w:pPr>
      <w:r>
        <w:rPr>
          <w:rFonts w:hint="eastAsia" w:ascii="宋体" w:hAnsi="宋体" w:cs="仿宋"/>
          <w:sz w:val="24"/>
        </w:rPr>
        <w:t>我司参加贵司组织的</w:t>
      </w:r>
      <w:r>
        <w:rPr>
          <w:rFonts w:hint="eastAsia" w:ascii="宋体" w:hAnsi="宋体" w:cs="仿宋"/>
          <w:sz w:val="24"/>
          <w:u w:val="single"/>
        </w:rPr>
        <w:t xml:space="preserve">                  </w:t>
      </w:r>
      <w:r>
        <w:rPr>
          <w:rFonts w:hint="eastAsia" w:ascii="宋体" w:hAnsi="宋体" w:cs="仿宋"/>
          <w:sz w:val="24"/>
        </w:rPr>
        <w:t>谈判项目，我司对该项目的售后服务具体承诺如下：</w:t>
      </w:r>
    </w:p>
    <w:p>
      <w:pPr>
        <w:spacing w:line="360" w:lineRule="auto"/>
        <w:ind w:firstLine="480" w:firstLineChars="200"/>
        <w:rPr>
          <w:rFonts w:ascii="宋体" w:hAnsi="宋体" w:cs="仿宋"/>
          <w:sz w:val="24"/>
        </w:rPr>
      </w:pPr>
    </w:p>
    <w:p>
      <w:pPr>
        <w:spacing w:line="360" w:lineRule="auto"/>
        <w:ind w:firstLine="480" w:firstLineChars="200"/>
        <w:rPr>
          <w:rFonts w:ascii="宋体" w:hAnsi="宋体" w:cs="仿宋"/>
          <w:sz w:val="24"/>
        </w:rPr>
      </w:pPr>
    </w:p>
    <w:p>
      <w:pPr>
        <w:spacing w:line="360" w:lineRule="auto"/>
        <w:ind w:firstLine="480" w:firstLineChars="200"/>
        <w:rPr>
          <w:rFonts w:ascii="宋体" w:hAnsi="宋体" w:cs="仿宋"/>
          <w:sz w:val="24"/>
        </w:rPr>
      </w:pPr>
    </w:p>
    <w:p>
      <w:pPr>
        <w:spacing w:line="360" w:lineRule="auto"/>
        <w:ind w:firstLine="480" w:firstLineChars="200"/>
        <w:rPr>
          <w:rFonts w:ascii="宋体" w:hAnsi="宋体" w:cs="仿宋"/>
          <w:sz w:val="24"/>
        </w:rPr>
      </w:pPr>
    </w:p>
    <w:p>
      <w:pPr>
        <w:spacing w:line="360" w:lineRule="auto"/>
        <w:ind w:firstLine="480" w:firstLineChars="200"/>
        <w:rPr>
          <w:rFonts w:ascii="宋体" w:hAnsi="宋体" w:cs="仿宋"/>
          <w:sz w:val="24"/>
        </w:rPr>
      </w:pPr>
    </w:p>
    <w:p>
      <w:pPr>
        <w:spacing w:line="360" w:lineRule="auto"/>
        <w:ind w:firstLine="480" w:firstLineChars="200"/>
        <w:rPr>
          <w:rFonts w:ascii="宋体" w:hAnsi="宋体" w:cs="仿宋"/>
          <w:sz w:val="24"/>
        </w:rPr>
      </w:pPr>
    </w:p>
    <w:p>
      <w:pPr>
        <w:spacing w:line="360" w:lineRule="auto"/>
        <w:ind w:firstLine="480" w:firstLineChars="200"/>
        <w:rPr>
          <w:rFonts w:ascii="宋体" w:hAnsi="宋体" w:cs="仿宋"/>
          <w:sz w:val="24"/>
        </w:rPr>
      </w:pPr>
    </w:p>
    <w:p>
      <w:pPr>
        <w:spacing w:line="360" w:lineRule="auto"/>
        <w:ind w:firstLine="480" w:firstLineChars="200"/>
        <w:rPr>
          <w:rFonts w:ascii="宋体" w:hAnsi="宋体" w:cs="仿宋"/>
          <w:sz w:val="24"/>
        </w:rPr>
      </w:pPr>
    </w:p>
    <w:p>
      <w:pPr>
        <w:spacing w:line="380" w:lineRule="exact"/>
        <w:jc w:val="center"/>
        <w:outlineLvl w:val="1"/>
        <w:rPr>
          <w:rFonts w:ascii="宋体" w:hAnsi="宋体" w:cs="仿宋"/>
          <w:b/>
          <w:sz w:val="24"/>
        </w:rPr>
      </w:pPr>
      <w:bookmarkStart w:id="283" w:name="_Toc519357500"/>
      <w:bookmarkStart w:id="284" w:name="_Toc423555523"/>
      <w:bookmarkStart w:id="285" w:name="_Toc449635703"/>
      <w:bookmarkStart w:id="286" w:name="_Toc407189377"/>
      <w:bookmarkStart w:id="287" w:name="_Toc445991627"/>
      <w:bookmarkStart w:id="288" w:name="_Toc467591993"/>
      <w:bookmarkStart w:id="289" w:name="_Toc445901153"/>
      <w:bookmarkStart w:id="290" w:name="_Toc440899536"/>
      <w:bookmarkStart w:id="291" w:name="_Toc445748285"/>
      <w:bookmarkStart w:id="292" w:name="_Toc441224357"/>
      <w:bookmarkStart w:id="293" w:name="_Toc502839715"/>
      <w:bookmarkStart w:id="294" w:name="_Toc457383248"/>
      <w:bookmarkStart w:id="295" w:name="_Toc404779621"/>
      <w:bookmarkStart w:id="296" w:name="_Toc531349087"/>
      <w:bookmarkStart w:id="297" w:name="_Toc405819624"/>
      <w:bookmarkStart w:id="298" w:name="_Toc462647081"/>
      <w:bookmarkStart w:id="299" w:name="_Toc444614446"/>
      <w:bookmarkStart w:id="300" w:name="_Toc411418404"/>
      <w:bookmarkStart w:id="301" w:name="_Toc441500092"/>
      <w:bookmarkStart w:id="302" w:name="_Toc439661750"/>
      <w:bookmarkStart w:id="303" w:name="_Toc423969534"/>
      <w:bookmarkStart w:id="304" w:name="_Toc425266343"/>
      <w:bookmarkStart w:id="305" w:name="_Toc405820991"/>
      <w:bookmarkStart w:id="306" w:name="_Toc531349562"/>
      <w:bookmarkStart w:id="307" w:name="_Toc410144311"/>
      <w:bookmarkStart w:id="308" w:name="_Toc449373796"/>
      <w:bookmarkStart w:id="309" w:name="_Toc410377939"/>
      <w:bookmarkStart w:id="310" w:name="_Toc492492897"/>
      <w:bookmarkStart w:id="311" w:name="_Toc410045829"/>
      <w:bookmarkStart w:id="312" w:name="_Toc466045727"/>
      <w:bookmarkStart w:id="313" w:name="_Toc509408017"/>
      <w:r>
        <w:rPr>
          <w:rFonts w:hint="eastAsia" w:ascii="宋体" w:hAnsi="宋体" w:cs="仿宋"/>
          <w:b/>
          <w:sz w:val="24"/>
        </w:rPr>
        <w:t>（内容根据谈判文件要求自拟）</w:t>
      </w:r>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80" w:lineRule="exact"/>
        <w:outlineLvl w:val="1"/>
        <w:rPr>
          <w:rFonts w:ascii="宋体" w:hAnsi="宋体"/>
          <w:b/>
          <w:szCs w:val="28"/>
        </w:rPr>
      </w:pPr>
    </w:p>
    <w:p>
      <w:pPr>
        <w:spacing w:line="360" w:lineRule="auto"/>
        <w:rPr>
          <w:rFonts w:ascii="宋体" w:hAnsi="宋体"/>
          <w:sz w:val="24"/>
        </w:rPr>
      </w:pPr>
      <w:r>
        <w:rPr>
          <w:rFonts w:hint="eastAsia" w:ascii="宋体" w:hAnsi="宋体"/>
          <w:sz w:val="24"/>
        </w:rPr>
        <w:t>谈判响应供应商名称（全称并加盖公章）：</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谈判响应供应商代表签字</w:t>
      </w:r>
      <w:r>
        <w:rPr>
          <w:rFonts w:hint="eastAsia" w:ascii="宋体" w:hAnsi="宋体"/>
          <w:sz w:val="24"/>
          <w:lang w:eastAsia="zh-CN"/>
        </w:rPr>
        <w:t>：</w:t>
      </w:r>
      <w:r>
        <w:rPr>
          <w:rFonts w:hint="eastAsia" w:ascii="宋体" w:hAnsi="宋体"/>
          <w:sz w:val="24"/>
          <w:u w:val="single"/>
        </w:rPr>
        <w:t xml:space="preserve">                 </w:t>
      </w:r>
    </w:p>
    <w:p>
      <w:pPr>
        <w:spacing w:line="380" w:lineRule="exact"/>
        <w:outlineLvl w:val="1"/>
        <w:rPr>
          <w:rFonts w:ascii="宋体" w:hAnsi="宋体"/>
          <w:b/>
          <w:sz w:val="32"/>
          <w:szCs w:val="32"/>
        </w:rPr>
      </w:pPr>
      <w:bookmarkStart w:id="314" w:name="_Toc519357501"/>
      <w:bookmarkStart w:id="315" w:name="_Toc509408018"/>
      <w:bookmarkStart w:id="316" w:name="_Toc531349088"/>
      <w:bookmarkStart w:id="317" w:name="_Toc531349563"/>
      <w:bookmarkStart w:id="318" w:name="_Toc502839716"/>
      <w:bookmarkStart w:id="319" w:name="_Toc467591994"/>
      <w:bookmarkStart w:id="320" w:name="_Toc492492898"/>
      <w:r>
        <w:rPr>
          <w:rFonts w:hint="eastAsia" w:ascii="宋体" w:hAnsi="宋体"/>
          <w:sz w:val="24"/>
        </w:rPr>
        <w:t>日   期</w:t>
      </w:r>
      <w:r>
        <w:rPr>
          <w:rFonts w:hint="eastAsia" w:ascii="宋体" w:hAnsi="宋体"/>
          <w:sz w:val="24"/>
          <w:lang w:eastAsia="zh-CN"/>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bookmarkEnd w:id="314"/>
      <w:bookmarkEnd w:id="315"/>
      <w:bookmarkEnd w:id="316"/>
      <w:bookmarkEnd w:id="317"/>
      <w:bookmarkEnd w:id="318"/>
      <w:bookmarkEnd w:id="319"/>
      <w:bookmarkEnd w:id="320"/>
    </w:p>
    <w:p>
      <w:pPr>
        <w:keepLines/>
        <w:pageBreakBefore/>
        <w:spacing w:line="380" w:lineRule="exact"/>
        <w:jc w:val="center"/>
        <w:outlineLvl w:val="1"/>
        <w:rPr>
          <w:rFonts w:ascii="宋体" w:hAnsi="宋体"/>
          <w:sz w:val="32"/>
          <w:szCs w:val="32"/>
        </w:rPr>
      </w:pPr>
      <w:bookmarkStart w:id="321" w:name="_Toc531349565"/>
      <w:bookmarkStart w:id="322" w:name="_Toc423969535"/>
      <w:r>
        <w:rPr>
          <w:rFonts w:hint="eastAsia" w:ascii="宋体" w:hAnsi="宋体"/>
          <w:b/>
          <w:sz w:val="32"/>
          <w:szCs w:val="32"/>
        </w:rPr>
        <w:t>谈判响应供应商的资格证明文件</w:t>
      </w:r>
      <w:bookmarkEnd w:id="321"/>
      <w:bookmarkEnd w:id="322"/>
    </w:p>
    <w:p>
      <w:pPr>
        <w:spacing w:line="0" w:lineRule="atLeast"/>
        <w:rPr>
          <w:rFonts w:ascii="宋体" w:hAnsi="宋体"/>
          <w:sz w:val="32"/>
          <w:szCs w:val="32"/>
        </w:rPr>
      </w:pPr>
    </w:p>
    <w:p>
      <w:pPr>
        <w:spacing w:line="380" w:lineRule="exact"/>
        <w:jc w:val="center"/>
        <w:rPr>
          <w:rFonts w:ascii="宋体" w:hAnsi="宋体"/>
          <w:sz w:val="32"/>
          <w:szCs w:val="32"/>
        </w:rPr>
      </w:pPr>
      <w:r>
        <w:rPr>
          <w:rFonts w:hint="eastAsia" w:ascii="宋体" w:hAnsi="宋体"/>
          <w:b/>
          <w:sz w:val="32"/>
          <w:szCs w:val="32"/>
        </w:rPr>
        <w:t>关于资格的声明函</w:t>
      </w:r>
    </w:p>
    <w:p>
      <w:pPr>
        <w:spacing w:line="380" w:lineRule="exact"/>
        <w:jc w:val="center"/>
        <w:rPr>
          <w:rFonts w:ascii="宋体" w:hAnsi="宋体"/>
          <w:sz w:val="24"/>
        </w:rPr>
      </w:pPr>
    </w:p>
    <w:p>
      <w:pPr>
        <w:spacing w:line="380" w:lineRule="exact"/>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关于贵方</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日第</w:t>
      </w:r>
      <w:r>
        <w:rPr>
          <w:rFonts w:hint="eastAsia" w:ascii="宋体" w:hAnsi="宋体"/>
          <w:sz w:val="24"/>
          <w:u w:val="single"/>
        </w:rPr>
        <w:t xml:space="preserve">     </w:t>
      </w:r>
      <w:r>
        <w:rPr>
          <w:rFonts w:hint="eastAsia" w:ascii="宋体" w:hAnsi="宋体"/>
          <w:sz w:val="24"/>
        </w:rPr>
        <w:t xml:space="preserve"> （项目编号）谈判邀请，本签字人愿意参加谈判，提供谈判文件中规定的</w:t>
      </w:r>
      <w:r>
        <w:rPr>
          <w:rFonts w:hint="eastAsia" w:ascii="宋体" w:hAnsi="宋体"/>
          <w:sz w:val="24"/>
          <w:u w:val="single"/>
        </w:rPr>
        <w:t xml:space="preserve">                  </w:t>
      </w:r>
      <w:r>
        <w:rPr>
          <w:rFonts w:hint="eastAsia" w:ascii="宋体" w:hAnsi="宋体"/>
          <w:sz w:val="24"/>
        </w:rPr>
        <w:t>（项目名称），并证明提交的下列文件和说明是准确的和真实的。</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1．本签字人确认资格文件中的说明以及谈判响应文件中所有提交的文件和材料是真实的、准确的。</w:t>
      </w:r>
    </w:p>
    <w:p>
      <w:pPr>
        <w:spacing w:line="360" w:lineRule="auto"/>
        <w:ind w:firstLine="480" w:firstLineChars="200"/>
        <w:rPr>
          <w:rFonts w:ascii="宋体" w:hAnsi="宋体"/>
          <w:sz w:val="24"/>
        </w:rPr>
      </w:pPr>
      <w:r>
        <w:rPr>
          <w:rFonts w:hint="eastAsia" w:ascii="宋体" w:hAnsi="宋体"/>
          <w:sz w:val="24"/>
        </w:rPr>
        <w:t>2．我方的资格声明正本</w:t>
      </w:r>
      <w:r>
        <w:rPr>
          <w:rFonts w:hint="eastAsia" w:ascii="宋体" w:hAnsi="宋体"/>
          <w:sz w:val="24"/>
          <w:u w:val="single"/>
        </w:rPr>
        <w:t xml:space="preserve">   </w:t>
      </w:r>
      <w:r>
        <w:rPr>
          <w:rFonts w:hint="eastAsia" w:ascii="宋体" w:hAnsi="宋体"/>
          <w:sz w:val="24"/>
        </w:rPr>
        <w:t>份，副本</w:t>
      </w:r>
      <w:r>
        <w:rPr>
          <w:rFonts w:hint="eastAsia" w:ascii="宋体" w:hAnsi="宋体"/>
          <w:sz w:val="24"/>
          <w:u w:val="single"/>
        </w:rPr>
        <w:t xml:space="preserve">   </w:t>
      </w:r>
      <w:r>
        <w:rPr>
          <w:rFonts w:hint="eastAsia" w:ascii="宋体" w:hAnsi="宋体"/>
          <w:sz w:val="24"/>
        </w:rPr>
        <w:t>份，随谈判响应文件一同递交。</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谈判供应商（全称并加盖公章）：</w:t>
      </w:r>
      <w:r>
        <w:rPr>
          <w:rFonts w:hint="eastAsia" w:ascii="宋体" w:hAnsi="宋体"/>
          <w:sz w:val="24"/>
          <w:u w:val="single"/>
        </w:rPr>
        <w:t xml:space="preserve">                        </w:t>
      </w:r>
    </w:p>
    <w:p>
      <w:pPr>
        <w:rPr>
          <w:rFonts w:ascii="宋体" w:hAnsi="宋体"/>
          <w:sz w:val="24"/>
          <w:u w:val="single"/>
        </w:rPr>
      </w:pPr>
      <w:r>
        <w:rPr>
          <w:rFonts w:hint="eastAsia" w:ascii="宋体" w:hAnsi="宋体"/>
          <w:sz w:val="24"/>
        </w:rPr>
        <w:t xml:space="preserve">谈判供应商代表签字：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地     址：</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邮     编：</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电 话/传 真：</w:t>
      </w:r>
      <w:r>
        <w:rPr>
          <w:rFonts w:hint="eastAsia" w:ascii="宋体" w:hAnsi="宋体"/>
          <w:sz w:val="24"/>
          <w:u w:val="single"/>
        </w:rPr>
        <w:t xml:space="preserve">                       </w:t>
      </w:r>
    </w:p>
    <w:p>
      <w:pPr>
        <w:rPr>
          <w:rFonts w:ascii="宋体" w:hAnsi="宋体"/>
          <w:sz w:val="24"/>
        </w:rPr>
      </w:pPr>
      <w:r>
        <w:rPr>
          <w:rFonts w:hint="eastAsia" w:ascii="宋体" w:hAnsi="宋体"/>
          <w:sz w:val="24"/>
        </w:rPr>
        <w:t>日   期</w:t>
      </w:r>
      <w:r>
        <w:rPr>
          <w:rFonts w:hint="eastAsia" w:ascii="宋体" w:hAnsi="宋体"/>
          <w:sz w:val="24"/>
          <w:lang w:eastAsia="zh-CN"/>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keepLines/>
        <w:pageBreakBefore/>
        <w:jc w:val="center"/>
        <w:rPr>
          <w:rFonts w:ascii="宋体" w:hAnsi="宋体"/>
          <w:sz w:val="24"/>
        </w:rPr>
      </w:pPr>
      <w:r>
        <w:rPr>
          <w:rFonts w:hint="eastAsia" w:ascii="宋体" w:hAnsi="宋体"/>
          <w:b/>
          <w:sz w:val="32"/>
          <w:szCs w:val="32"/>
        </w:rPr>
        <w:t>谈判响应供应商的资格声明</w:t>
      </w:r>
      <w:r>
        <w:rPr>
          <w:rFonts w:hint="eastAsia" w:ascii="宋体" w:hAnsi="宋体"/>
          <w:sz w:val="32"/>
          <w:szCs w:val="32"/>
        </w:rPr>
        <w:cr/>
      </w:r>
    </w:p>
    <w:p>
      <w:pPr>
        <w:spacing w:line="380" w:lineRule="exact"/>
        <w:rPr>
          <w:rFonts w:ascii="宋体" w:hAnsi="宋体"/>
          <w:sz w:val="24"/>
        </w:rPr>
      </w:pPr>
      <w:r>
        <w:rPr>
          <w:rFonts w:hint="eastAsia" w:ascii="宋体" w:hAnsi="宋体"/>
          <w:sz w:val="24"/>
        </w:rPr>
        <w:t xml:space="preserve">1．谈判响应供应商概况：                                   </w:t>
      </w:r>
    </w:p>
    <w:p>
      <w:pPr>
        <w:spacing w:line="380" w:lineRule="exact"/>
        <w:rPr>
          <w:rFonts w:ascii="宋体" w:hAnsi="宋体"/>
          <w:sz w:val="24"/>
          <w:u w:val="single"/>
        </w:rPr>
      </w:pPr>
      <w:r>
        <w:rPr>
          <w:rFonts w:hint="eastAsia" w:ascii="宋体" w:hAnsi="宋体"/>
          <w:sz w:val="24"/>
        </w:rPr>
        <w:t xml:space="preserve">        Ａ．谈判响应供应商名称：</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Ｂ．注册地址：</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传真：</w:t>
      </w:r>
      <w:r>
        <w:rPr>
          <w:rFonts w:hint="eastAsia" w:ascii="宋体" w:hAnsi="宋体"/>
          <w:sz w:val="24"/>
          <w:u w:val="single"/>
        </w:rPr>
        <w:t xml:space="preserve">           </w:t>
      </w:r>
      <w:r>
        <w:rPr>
          <w:rFonts w:hint="eastAsia" w:ascii="宋体" w:hAnsi="宋体"/>
          <w:sz w:val="24"/>
        </w:rPr>
        <w:t>电话：</w:t>
      </w:r>
      <w:r>
        <w:rPr>
          <w:rFonts w:hint="eastAsia" w:ascii="宋体" w:hAnsi="宋体"/>
          <w:sz w:val="24"/>
          <w:u w:val="single"/>
        </w:rPr>
        <w:t xml:space="preserve">         </w:t>
      </w:r>
      <w:r>
        <w:rPr>
          <w:rFonts w:hint="eastAsia" w:ascii="宋体" w:hAnsi="宋体"/>
          <w:sz w:val="24"/>
        </w:rPr>
        <w:t xml:space="preserve">  邮编：</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Ｃ．成立或注册日期：</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Ｄ．法定代表人：</w:t>
      </w:r>
      <w:r>
        <w:rPr>
          <w:rFonts w:hint="eastAsia" w:ascii="宋体" w:hAnsi="宋体"/>
          <w:sz w:val="24"/>
          <w:u w:val="single"/>
        </w:rPr>
        <w:t xml:space="preserve">                   </w:t>
      </w:r>
      <w:r>
        <w:rPr>
          <w:rFonts w:hint="eastAsia" w:ascii="宋体" w:hAnsi="宋体"/>
          <w:sz w:val="24"/>
        </w:rPr>
        <w:t>（姓名、职务）</w:t>
      </w:r>
    </w:p>
    <w:p>
      <w:pPr>
        <w:spacing w:line="380" w:lineRule="exact"/>
        <w:rPr>
          <w:rFonts w:ascii="宋体" w:hAnsi="宋体"/>
          <w:sz w:val="24"/>
          <w:u w:val="single"/>
        </w:rPr>
      </w:pPr>
      <w:r>
        <w:rPr>
          <w:rFonts w:hint="eastAsia" w:ascii="宋体" w:hAnsi="宋体"/>
          <w:sz w:val="24"/>
        </w:rPr>
        <w:t xml:space="preserve">        实收资本：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其中 国家资本：</w:t>
      </w:r>
      <w:r>
        <w:rPr>
          <w:rFonts w:hint="eastAsia" w:ascii="宋体" w:hAnsi="宋体"/>
          <w:sz w:val="24"/>
          <w:u w:val="single"/>
        </w:rPr>
        <w:t xml:space="preserve">             </w:t>
      </w:r>
      <w:r>
        <w:rPr>
          <w:rFonts w:hint="eastAsia" w:ascii="宋体" w:hAnsi="宋体"/>
          <w:sz w:val="24"/>
        </w:rPr>
        <w:t xml:space="preserve"> 法人资本：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个人资本：</w:t>
      </w:r>
      <w:r>
        <w:rPr>
          <w:rFonts w:hint="eastAsia" w:ascii="宋体" w:hAnsi="宋体"/>
          <w:sz w:val="24"/>
          <w:u w:val="single"/>
        </w:rPr>
        <w:t xml:space="preserve">             </w:t>
      </w:r>
      <w:r>
        <w:rPr>
          <w:rFonts w:hint="eastAsia" w:ascii="宋体" w:hAnsi="宋体"/>
          <w:sz w:val="24"/>
        </w:rPr>
        <w:t xml:space="preserve"> 外商资本：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Ｅ．最近资产负债表（到 </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日为止）。</w:t>
      </w:r>
    </w:p>
    <w:p>
      <w:pPr>
        <w:spacing w:line="380" w:lineRule="exact"/>
        <w:rPr>
          <w:rFonts w:ascii="宋体" w:hAnsi="宋体"/>
          <w:sz w:val="24"/>
          <w:u w:val="single"/>
        </w:rPr>
      </w:pPr>
      <w:r>
        <w:rPr>
          <w:rFonts w:hint="eastAsia" w:ascii="宋体" w:hAnsi="宋体"/>
          <w:sz w:val="24"/>
        </w:rPr>
        <w:t xml:space="preserve">        (1)固定资产合计: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(2)流动资产合计: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(3)长期负债合计: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(4)流动负债合计: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Ｆ．最近损益表（到</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日为止）。</w:t>
      </w:r>
    </w:p>
    <w:p>
      <w:pPr>
        <w:spacing w:line="380" w:lineRule="exact"/>
        <w:rPr>
          <w:rFonts w:ascii="宋体" w:hAnsi="宋体"/>
          <w:sz w:val="24"/>
          <w:u w:val="single"/>
        </w:rPr>
      </w:pPr>
      <w:r>
        <w:rPr>
          <w:rFonts w:hint="eastAsia" w:ascii="宋体" w:hAnsi="宋体"/>
          <w:sz w:val="24"/>
        </w:rPr>
        <w:t>(1)本年（期）利润总额累计：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(2)本年（期）净利润累计： </w:t>
      </w:r>
      <w:r>
        <w:rPr>
          <w:rFonts w:hint="eastAsia" w:ascii="宋体" w:hAnsi="宋体"/>
          <w:sz w:val="24"/>
          <w:u w:val="single"/>
        </w:rPr>
        <w:t xml:space="preserve">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2．我方在此声明，我方具备并满足下列各项条款的规定。本声明如有虚假或不实之处，我方将失去合格谈判响应供应商资格且我方的谈判响应保证金将不予退还。</w:t>
      </w:r>
    </w:p>
    <w:p>
      <w:pPr>
        <w:rPr>
          <w:rFonts w:ascii="宋体" w:hAnsi="宋体"/>
          <w:sz w:val="24"/>
        </w:rPr>
      </w:pPr>
      <w:r>
        <w:rPr>
          <w:rFonts w:hint="eastAsia" w:ascii="宋体" w:hAnsi="宋体"/>
          <w:sz w:val="24"/>
        </w:rPr>
        <w:t xml:space="preserve">（1）具有独立承担民事责任的能力； </w:t>
      </w:r>
    </w:p>
    <w:p>
      <w:pPr>
        <w:rPr>
          <w:rFonts w:ascii="宋体" w:hAnsi="宋体"/>
          <w:sz w:val="24"/>
        </w:rPr>
      </w:pPr>
      <w:r>
        <w:rPr>
          <w:rFonts w:hint="eastAsia" w:ascii="宋体" w:hAnsi="宋体"/>
          <w:sz w:val="24"/>
        </w:rPr>
        <w:t xml:space="preserve">（2）具有良好的商业信誉和健全的财务会计制度； </w:t>
      </w:r>
    </w:p>
    <w:p>
      <w:pPr>
        <w:rPr>
          <w:rFonts w:ascii="宋体" w:hAnsi="宋体"/>
          <w:sz w:val="24"/>
        </w:rPr>
      </w:pPr>
      <w:r>
        <w:rPr>
          <w:rFonts w:hint="eastAsia" w:ascii="宋体" w:hAnsi="宋体"/>
          <w:sz w:val="24"/>
        </w:rPr>
        <w:t xml:space="preserve">（3）具有履行合同所必需的设备和专业技术能力； </w:t>
      </w:r>
    </w:p>
    <w:p>
      <w:pPr>
        <w:rPr>
          <w:rFonts w:ascii="宋体" w:hAnsi="宋体"/>
          <w:sz w:val="24"/>
        </w:rPr>
      </w:pPr>
      <w:r>
        <w:rPr>
          <w:rFonts w:hint="eastAsia" w:ascii="宋体" w:hAnsi="宋体"/>
          <w:sz w:val="24"/>
        </w:rPr>
        <w:t xml:space="preserve">（4）有依法缴纳税收和社会保障资金的良好记录； </w:t>
      </w:r>
    </w:p>
    <w:p>
      <w:pPr>
        <w:rPr>
          <w:rFonts w:ascii="宋体" w:hAnsi="宋体"/>
          <w:sz w:val="24"/>
        </w:rPr>
      </w:pPr>
      <w:r>
        <w:rPr>
          <w:rFonts w:hint="eastAsia" w:ascii="宋体" w:hAnsi="宋体"/>
          <w:sz w:val="24"/>
        </w:rPr>
        <w:t xml:space="preserve">（5）近三年内，在经营活动中没有重大违法记录。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3．最近三年谈判响应货物在国内主要采购人的名称和地址：</w:t>
      </w:r>
    </w:p>
    <w:tbl>
      <w:tblPr>
        <w:tblStyle w:val="39"/>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7"/>
        <w:gridCol w:w="2299"/>
        <w:gridCol w:w="1045"/>
        <w:gridCol w:w="1463"/>
        <w:gridCol w:w="14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采购人名称和地址</w:t>
            </w: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销售货物名称、规格</w:t>
            </w: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数量</w:t>
            </w: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交货日期</w:t>
            </w: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运行状况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bl>
    <w:p>
      <w:pPr>
        <w:spacing w:line="380" w:lineRule="exact"/>
        <w:ind w:firstLine="240" w:firstLineChars="100"/>
        <w:rPr>
          <w:rFonts w:ascii="宋体" w:hAnsi="宋体"/>
          <w:sz w:val="24"/>
        </w:rPr>
      </w:pPr>
      <w:r>
        <w:rPr>
          <w:rFonts w:hint="eastAsia" w:ascii="宋体" w:hAnsi="宋体"/>
          <w:sz w:val="24"/>
        </w:rPr>
        <w:t>4. 法人营业执照见附件。</w:t>
      </w:r>
    </w:p>
    <w:p>
      <w:pPr>
        <w:spacing w:line="380" w:lineRule="exact"/>
        <w:rPr>
          <w:rFonts w:ascii="宋体" w:hAnsi="宋体"/>
          <w:sz w:val="24"/>
        </w:rPr>
      </w:pPr>
    </w:p>
    <w:p>
      <w:pPr>
        <w:spacing w:line="380" w:lineRule="exact"/>
        <w:ind w:firstLine="480" w:firstLineChars="200"/>
        <w:rPr>
          <w:rFonts w:ascii="宋体" w:hAnsi="宋体"/>
          <w:sz w:val="24"/>
        </w:rPr>
      </w:pPr>
      <w:r>
        <w:rPr>
          <w:rFonts w:hint="eastAsia" w:ascii="宋体" w:hAnsi="宋体"/>
          <w:sz w:val="24"/>
        </w:rPr>
        <w:t>就我方全部所知，兹证明上述声明是真实、正确的，并已提供了全部现有资料和数据，我方同意根据贵方要求出示文件予以证实。</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 xml:space="preserve">    谈判响应供应商（全称并加盖公章）：</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谈判响应供应商代表签字：</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 xml:space="preserve"> 日</w:t>
      </w:r>
    </w:p>
    <w:p>
      <w:pPr>
        <w:spacing w:line="380" w:lineRule="exact"/>
        <w:ind w:firstLine="480" w:firstLineChars="200"/>
        <w:rPr>
          <w:rFonts w:ascii="宋体" w:hAnsi="宋体"/>
          <w:sz w:val="24"/>
        </w:rPr>
      </w:pPr>
      <w:r>
        <w:rPr>
          <w:rFonts w:hint="eastAsia" w:ascii="宋体" w:hAnsi="宋体"/>
          <w:sz w:val="24"/>
        </w:rPr>
        <w:t>传      真：</w:t>
      </w:r>
      <w:r>
        <w:rPr>
          <w:rFonts w:hint="eastAsia" w:ascii="宋体" w:hAnsi="宋体"/>
          <w:sz w:val="24"/>
          <w:u w:val="single"/>
        </w:rPr>
        <w:t xml:space="preserve">                </w:t>
      </w:r>
    </w:p>
    <w:p>
      <w:pPr>
        <w:spacing w:line="380" w:lineRule="exact"/>
        <w:ind w:firstLine="480" w:firstLineChars="200"/>
        <w:rPr>
          <w:rFonts w:ascii="宋体" w:hAnsi="宋体"/>
          <w:sz w:val="24"/>
        </w:rPr>
      </w:pPr>
      <w:r>
        <w:rPr>
          <w:rFonts w:hint="eastAsia" w:ascii="宋体" w:hAnsi="宋体"/>
          <w:sz w:val="24"/>
        </w:rPr>
        <w:t>电      话：</w:t>
      </w:r>
      <w:r>
        <w:rPr>
          <w:rFonts w:hint="eastAsia" w:ascii="宋体" w:hAnsi="宋体"/>
          <w:sz w:val="24"/>
          <w:u w:val="single"/>
        </w:rPr>
        <w:t xml:space="preserve">                </w:t>
      </w:r>
    </w:p>
    <w:p>
      <w:pPr>
        <w:pStyle w:val="121"/>
        <w:spacing w:line="360" w:lineRule="auto"/>
        <w:jc w:val="center"/>
        <w:outlineLvl w:val="9"/>
        <w:rPr>
          <w:rFonts w:hint="default" w:hAnsi="宋体"/>
          <w:sz w:val="32"/>
          <w:szCs w:val="32"/>
        </w:rPr>
      </w:pPr>
      <w:r>
        <w:rPr>
          <w:rFonts w:hAnsi="宋体"/>
        </w:rPr>
        <w:br w:type="page"/>
      </w:r>
      <w:bookmarkStart w:id="323" w:name="_Toc531349566"/>
      <w:bookmarkStart w:id="324" w:name="_Toc338926829"/>
      <w:bookmarkStart w:id="325" w:name="_Toc189832486"/>
      <w:bookmarkStart w:id="326" w:name="_Toc189829969"/>
      <w:bookmarkStart w:id="327" w:name="_Toc314838400"/>
      <w:bookmarkStart w:id="328" w:name="_Toc185762843"/>
      <w:bookmarkStart w:id="329" w:name="_Toc331778560"/>
      <w:bookmarkStart w:id="330" w:name="_Toc332809179"/>
      <w:r>
        <w:rPr>
          <w:rFonts w:hAnsi="宋体"/>
          <w:b/>
          <w:sz w:val="32"/>
          <w:szCs w:val="32"/>
        </w:rPr>
        <w:t>法定代表人授权书</w:t>
      </w:r>
      <w:bookmarkEnd w:id="323"/>
      <w:bookmarkEnd w:id="324"/>
      <w:bookmarkEnd w:id="325"/>
      <w:bookmarkEnd w:id="326"/>
      <w:bookmarkEnd w:id="327"/>
      <w:bookmarkEnd w:id="328"/>
      <w:bookmarkEnd w:id="329"/>
      <w:bookmarkEnd w:id="330"/>
    </w:p>
    <w:p>
      <w:pPr>
        <w:pStyle w:val="113"/>
        <w:numPr>
          <w:ilvl w:val="0"/>
          <w:numId w:val="0"/>
        </w:numPr>
        <w:tabs>
          <w:tab w:val="left" w:pos="1260"/>
        </w:tabs>
        <w:adjustRightInd/>
        <w:spacing w:before="0" w:line="360" w:lineRule="auto"/>
        <w:outlineLvl w:val="9"/>
        <w:rPr>
          <w:rFonts w:ascii="宋体" w:hAnsi="宋体" w:eastAsia="宋体"/>
          <w:sz w:val="21"/>
          <w:szCs w:val="21"/>
        </w:rPr>
      </w:pPr>
    </w:p>
    <w:p>
      <w:pPr>
        <w:spacing w:line="360" w:lineRule="auto"/>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pStyle w:val="22"/>
        <w:snapToGrid w:val="0"/>
        <w:spacing w:line="360" w:lineRule="auto"/>
        <w:ind w:firstLine="480" w:firstLineChars="200"/>
        <w:jc w:val="left"/>
        <w:rPr>
          <w:rFonts w:hAnsi="宋体"/>
          <w:sz w:val="24"/>
          <w:szCs w:val="24"/>
        </w:rPr>
      </w:pPr>
      <w:r>
        <w:rPr>
          <w:rFonts w:hint="eastAsia" w:hAnsi="宋体"/>
          <w:sz w:val="24"/>
          <w:szCs w:val="24"/>
          <w:u w:val="single"/>
        </w:rPr>
        <w:t>（谈判供应商全称）</w:t>
      </w:r>
      <w:r>
        <w:rPr>
          <w:rFonts w:hint="eastAsia" w:hAnsi="宋体"/>
          <w:sz w:val="24"/>
          <w:szCs w:val="24"/>
        </w:rPr>
        <w:t>法定代表人</w:t>
      </w:r>
      <w:r>
        <w:rPr>
          <w:rFonts w:hint="eastAsia" w:hAnsi="宋体"/>
          <w:sz w:val="24"/>
          <w:szCs w:val="24"/>
          <w:u w:val="single"/>
        </w:rPr>
        <w:t xml:space="preserve">        </w:t>
      </w:r>
      <w:r>
        <w:rPr>
          <w:rFonts w:hint="eastAsia" w:hAnsi="宋体"/>
          <w:sz w:val="24"/>
          <w:szCs w:val="24"/>
        </w:rPr>
        <w:t xml:space="preserve"> 授权</w:t>
      </w:r>
      <w:r>
        <w:rPr>
          <w:rFonts w:hint="eastAsia" w:hAnsi="宋体"/>
          <w:sz w:val="24"/>
          <w:szCs w:val="24"/>
          <w:u w:val="single"/>
        </w:rPr>
        <w:t xml:space="preserve">  （谈判供应商代表姓名）</w:t>
      </w:r>
      <w:r>
        <w:rPr>
          <w:rFonts w:hint="eastAsia" w:hAnsi="宋体"/>
          <w:sz w:val="24"/>
          <w:szCs w:val="24"/>
        </w:rPr>
        <w:t>为谈判供应商代表，代表本公司参加贵司组织的</w:t>
      </w:r>
      <w:r>
        <w:rPr>
          <w:rFonts w:hint="eastAsia" w:hAnsi="宋体"/>
          <w:sz w:val="24"/>
          <w:szCs w:val="24"/>
          <w:u w:val="single"/>
        </w:rPr>
        <w:t xml:space="preserve">            </w:t>
      </w:r>
      <w:r>
        <w:rPr>
          <w:rFonts w:hint="eastAsia" w:hAnsi="宋体"/>
          <w:sz w:val="24"/>
          <w:szCs w:val="24"/>
        </w:rPr>
        <w:t>项目（项目编号</w:t>
      </w:r>
      <w:r>
        <w:rPr>
          <w:rFonts w:hint="eastAsia" w:hAnsi="宋体"/>
          <w:sz w:val="24"/>
          <w:szCs w:val="24"/>
          <w:u w:val="single"/>
        </w:rPr>
        <w:t xml:space="preserve">       </w:t>
      </w:r>
      <w:r>
        <w:rPr>
          <w:rFonts w:hint="eastAsia" w:hAnsi="宋体"/>
          <w:sz w:val="24"/>
          <w:szCs w:val="24"/>
        </w:rPr>
        <w:t>）谈判活动，全权代表本公司处理谈判过程的一切事宜，包括但不限于：谈判、参与谈判、澄清、承诺、签约等。谈判供应商代表在谈判过程中所签署的一切文件和处理与之有关的一切事务，本公司均予以认可并对此承担责任。谈判供应商代表无转委权。特此授权。</w:t>
      </w:r>
    </w:p>
    <w:p>
      <w:pPr>
        <w:pStyle w:val="22"/>
        <w:snapToGrid w:val="0"/>
        <w:spacing w:line="360" w:lineRule="auto"/>
        <w:ind w:firstLine="480" w:firstLineChars="200"/>
        <w:jc w:val="left"/>
        <w:rPr>
          <w:rFonts w:hAnsi="宋体"/>
          <w:sz w:val="24"/>
          <w:szCs w:val="24"/>
        </w:rPr>
      </w:pPr>
      <w:r>
        <w:rPr>
          <w:rFonts w:hint="eastAsia" w:hAnsi="宋体"/>
          <w:sz w:val="24"/>
          <w:szCs w:val="24"/>
        </w:rPr>
        <w:t>本授权书自出具之日起生效。</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谈判供应商代表：</w:t>
      </w:r>
      <w:r>
        <w:rPr>
          <w:rFonts w:hint="eastAsia" w:ascii="宋体" w:hAnsi="宋体"/>
          <w:sz w:val="24"/>
          <w:u w:val="single"/>
        </w:rPr>
        <w:t xml:space="preserve">            </w:t>
      </w:r>
      <w:r>
        <w:rPr>
          <w:rFonts w:hint="eastAsia" w:ascii="宋体" w:hAnsi="宋体"/>
          <w:sz w:val="24"/>
        </w:rPr>
        <w:t xml:space="preserve">  性别：</w:t>
      </w:r>
      <w:r>
        <w:rPr>
          <w:rFonts w:hint="eastAsia" w:ascii="宋体" w:hAnsi="宋体"/>
          <w:sz w:val="24"/>
          <w:u w:val="single"/>
        </w:rPr>
        <w:t xml:space="preserve">       </w:t>
      </w:r>
      <w:r>
        <w:rPr>
          <w:rFonts w:hint="eastAsia" w:ascii="宋体" w:hAnsi="宋体"/>
          <w:sz w:val="24"/>
        </w:rPr>
        <w:t>身份证号：</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单位：</w:t>
      </w:r>
      <w:r>
        <w:rPr>
          <w:rFonts w:hint="eastAsia" w:ascii="宋体" w:hAnsi="宋体"/>
          <w:sz w:val="24"/>
          <w:u w:val="single"/>
        </w:rPr>
        <w:t xml:space="preserve">                  </w:t>
      </w:r>
      <w:r>
        <w:rPr>
          <w:rFonts w:hint="eastAsia" w:ascii="宋体" w:hAnsi="宋体"/>
          <w:sz w:val="24"/>
        </w:rPr>
        <w:t xml:space="preserve">  部门：</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详细通讯地址：</w:t>
      </w:r>
      <w:r>
        <w:rPr>
          <w:rFonts w:hint="eastAsia" w:ascii="宋体" w:hAnsi="宋体"/>
          <w:sz w:val="24"/>
          <w:u w:val="single"/>
        </w:rPr>
        <w:t xml:space="preserve">          </w:t>
      </w:r>
      <w:r>
        <w:rPr>
          <w:rFonts w:hint="eastAsia" w:ascii="宋体" w:hAnsi="宋体"/>
          <w:sz w:val="24"/>
        </w:rPr>
        <w:t xml:space="preserve"> </w:t>
      </w:r>
      <w:r>
        <w:rPr>
          <w:rFonts w:hint="eastAsia" w:ascii="宋体" w:hAnsi="宋体"/>
          <w:b/>
          <w:bCs/>
          <w:sz w:val="24"/>
        </w:rPr>
        <w:t xml:space="preserve"> </w:t>
      </w:r>
      <w:r>
        <w:rPr>
          <w:rFonts w:hint="eastAsia" w:ascii="宋体" w:hAnsi="宋体"/>
          <w:sz w:val="24"/>
        </w:rPr>
        <w:t>邮政编码:</w:t>
      </w:r>
      <w:r>
        <w:rPr>
          <w:rFonts w:hint="eastAsia" w:ascii="宋体" w:hAnsi="宋体"/>
          <w:sz w:val="24"/>
          <w:u w:val="single"/>
        </w:rPr>
        <w:t xml:space="preserve">           </w:t>
      </w:r>
      <w:r>
        <w:rPr>
          <w:rFonts w:hint="eastAsia" w:ascii="宋体" w:hAnsi="宋体"/>
          <w:sz w:val="24"/>
        </w:rPr>
        <w:t xml:space="preserve"> 电话：</w:t>
      </w:r>
      <w:r>
        <w:rPr>
          <w:rFonts w:hint="eastAsia" w:ascii="宋体" w:hAnsi="宋体"/>
          <w:sz w:val="24"/>
          <w:u w:val="single"/>
        </w:rPr>
        <w:t xml:space="preserve">              </w:t>
      </w:r>
    </w:p>
    <w:p>
      <w:pPr>
        <w:spacing w:line="360" w:lineRule="auto"/>
        <w:rPr>
          <w:rFonts w:ascii="宋体" w:hAnsi="宋体"/>
          <w:sz w:val="24"/>
        </w:rPr>
      </w:pPr>
    </w:p>
    <w:p>
      <w:pPr>
        <w:spacing w:line="360" w:lineRule="auto"/>
        <w:rPr>
          <w:rFonts w:ascii="宋体" w:hAnsi="宋体"/>
          <w:sz w:val="24"/>
        </w:rPr>
      </w:pPr>
      <w:r>
        <w:rPr>
          <w:rFonts w:hint="eastAsia" w:ascii="宋体" w:hAnsi="宋体"/>
          <w:b/>
          <w:bCs/>
          <w:sz w:val="24"/>
        </w:rPr>
        <w:t>附：被授权人身份证有效复印件</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授权方</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谈判供应商（全称并加盖公章）：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法定代表人签字：</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hint="eastAsia" w:ascii="宋体" w:hAnsi="宋体"/>
          <w:sz w:val="24"/>
          <w:lang w:eastAsia="zh-CN"/>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接受授权方</w:t>
      </w:r>
    </w:p>
    <w:p>
      <w:pPr>
        <w:spacing w:line="360" w:lineRule="auto"/>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hint="eastAsia" w:ascii="宋体" w:hAnsi="宋体"/>
          <w:sz w:val="24"/>
          <w:lang w:eastAsia="zh-CN"/>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21"/>
        <w:jc w:val="center"/>
        <w:outlineLvl w:val="9"/>
        <w:rPr>
          <w:rFonts w:hint="default" w:hAnsi="宋体"/>
          <w:sz w:val="24"/>
        </w:rPr>
      </w:pPr>
      <w:bookmarkStart w:id="331" w:name="_Toc428203759"/>
      <w:bookmarkStart w:id="332" w:name="_Toc421181121"/>
      <w:bookmarkStart w:id="333" w:name="_Toc436913788"/>
      <w:bookmarkStart w:id="334" w:name="_Toc531349567"/>
      <w:bookmarkStart w:id="335" w:name="_Toc7136"/>
      <w:bookmarkStart w:id="336" w:name="_Toc531349091"/>
      <w:bookmarkStart w:id="337" w:name="_Toc421181083"/>
      <w:bookmarkStart w:id="338" w:name="_Toc11851"/>
      <w:bookmarkStart w:id="339" w:name="_Toc428444439"/>
      <w:bookmarkStart w:id="340" w:name="_Toc435518480"/>
      <w:bookmarkStart w:id="341" w:name="_Toc445748288"/>
      <w:bookmarkStart w:id="342" w:name="_Toc457383251"/>
      <w:bookmarkStart w:id="343" w:name="_Toc449373799"/>
      <w:bookmarkStart w:id="344" w:name="_Toc509408021"/>
      <w:bookmarkStart w:id="345" w:name="_Toc519357504"/>
      <w:bookmarkStart w:id="346" w:name="_Toc466045730"/>
      <w:bookmarkStart w:id="347" w:name="_Toc445901156"/>
      <w:bookmarkStart w:id="348" w:name="_Toc433531561"/>
      <w:bookmarkStart w:id="349" w:name="_Toc492492901"/>
      <w:bookmarkStart w:id="350" w:name="_Toc445991630"/>
      <w:bookmarkStart w:id="351" w:name="_Toc462647084"/>
      <w:bookmarkStart w:id="352" w:name="_Toc449635706"/>
      <w:r>
        <w:rPr>
          <w:rFonts w:hAnsi="宋体"/>
          <w:sz w:val="24"/>
        </w:rPr>
        <w:t>（谈判响应供应商为联合体的，联合体各方均须对同一谈判代表签署本授权书）</w:t>
      </w:r>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p>
    <w:p>
      <w:pPr>
        <w:spacing w:line="360" w:lineRule="auto"/>
        <w:rPr>
          <w:rFonts w:ascii="宋体" w:hAnsi="宋体"/>
          <w:sz w:val="24"/>
        </w:rPr>
      </w:pPr>
    </w:p>
    <w:p>
      <w:pPr>
        <w:pStyle w:val="121"/>
        <w:spacing w:line="360" w:lineRule="auto"/>
        <w:jc w:val="center"/>
        <w:outlineLvl w:val="9"/>
        <w:rPr>
          <w:rFonts w:hint="default" w:hAnsi="宋体"/>
          <w:b/>
          <w:sz w:val="32"/>
          <w:szCs w:val="32"/>
        </w:rPr>
      </w:pPr>
      <w:r>
        <w:rPr>
          <w:rFonts w:hAnsi="宋体"/>
          <w:sz w:val="24"/>
          <w:szCs w:val="24"/>
        </w:rPr>
        <w:br w:type="page"/>
      </w:r>
      <w:bookmarkStart w:id="353" w:name="_Toc329766446"/>
      <w:bookmarkStart w:id="354" w:name="_Toc312853783"/>
      <w:bookmarkStart w:id="355" w:name="_Toc316021598"/>
      <w:bookmarkStart w:id="356" w:name="_Toc445901158"/>
      <w:bookmarkStart w:id="357" w:name="_Toc449635707"/>
      <w:bookmarkStart w:id="358" w:name="_Toc422345262"/>
      <w:bookmarkStart w:id="359" w:name="_Toc440899540"/>
      <w:bookmarkStart w:id="360" w:name="_Toc318730732"/>
      <w:bookmarkStart w:id="361" w:name="_Toc441500096"/>
      <w:bookmarkStart w:id="362" w:name="_Toc457383252"/>
      <w:bookmarkStart w:id="363" w:name="_Toc462647085"/>
      <w:bookmarkStart w:id="364" w:name="_Toc445991632"/>
      <w:bookmarkStart w:id="365" w:name="_Toc466045732"/>
      <w:bookmarkStart w:id="366" w:name="_Toc445748290"/>
      <w:bookmarkStart w:id="367" w:name="_Toc423555527"/>
      <w:bookmarkStart w:id="368" w:name="_Toc441224361"/>
      <w:bookmarkStart w:id="369" w:name="_Toc531349568"/>
      <w:bookmarkStart w:id="370" w:name="_Toc444614450"/>
      <w:bookmarkStart w:id="371" w:name="_Toc423555526"/>
      <w:bookmarkStart w:id="372" w:name="_Toc449373800"/>
      <w:r>
        <w:rPr>
          <w:rFonts w:hAnsi="宋体"/>
          <w:b/>
          <w:sz w:val="32"/>
          <w:szCs w:val="32"/>
        </w:rPr>
        <w:t>法人营业执照</w:t>
      </w:r>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p>
    <w:p>
      <w:pPr>
        <w:pStyle w:val="121"/>
        <w:spacing w:line="360" w:lineRule="auto"/>
        <w:jc w:val="center"/>
        <w:outlineLvl w:val="9"/>
        <w:rPr>
          <w:rFonts w:hint="default" w:hAnsi="宋体"/>
        </w:rPr>
      </w:pPr>
    </w:p>
    <w:p>
      <w:pPr>
        <w:spacing w:line="360" w:lineRule="auto"/>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现附上由</w:t>
      </w:r>
      <w:r>
        <w:rPr>
          <w:rFonts w:hint="eastAsia" w:ascii="宋体" w:hAnsi="宋体"/>
          <w:sz w:val="24"/>
          <w:u w:val="single"/>
        </w:rPr>
        <w:t xml:space="preserve">                         </w:t>
      </w:r>
      <w:r>
        <w:rPr>
          <w:rFonts w:hint="eastAsia" w:ascii="宋体" w:hAnsi="宋体"/>
          <w:sz w:val="24"/>
        </w:rPr>
        <w:t>（签发机关名称）签发的我方法人营业执照复印件，</w:t>
      </w:r>
      <w:r>
        <w:rPr>
          <w:rFonts w:ascii="宋体" w:hAnsi="宋体" w:cs="宋体"/>
          <w:kern w:val="0"/>
          <w:sz w:val="24"/>
        </w:rPr>
        <w:t>该证件真实有效。</w:t>
      </w:r>
    </w:p>
    <w:p>
      <w:pPr>
        <w:spacing w:line="360" w:lineRule="auto"/>
        <w:rPr>
          <w:rFonts w:ascii="宋体" w:hAnsi="宋体"/>
          <w:sz w:val="24"/>
        </w:rPr>
      </w:pPr>
    </w:p>
    <w:p>
      <w:pPr>
        <w:pStyle w:val="17"/>
        <w:spacing w:line="360" w:lineRule="auto"/>
        <w:ind w:firstLine="480" w:firstLineChars="200"/>
        <w:rPr>
          <w:rFonts w:ascii="宋体" w:hAnsi="宋体"/>
          <w:sz w:val="24"/>
          <w:szCs w:val="24"/>
        </w:rPr>
      </w:pPr>
      <w:r>
        <w:rPr>
          <w:rFonts w:hint="eastAsia" w:ascii="宋体" w:hAnsi="宋体"/>
          <w:sz w:val="24"/>
          <w:szCs w:val="24"/>
        </w:rPr>
        <w:t>（注：各谈判响应供应商须提供有效法人营业执照有效复印件并加盖谈判响应供应商公章。）</w:t>
      </w:r>
    </w:p>
    <w:p>
      <w:pPr>
        <w:pStyle w:val="17"/>
        <w:spacing w:line="360" w:lineRule="auto"/>
        <w:ind w:firstLine="480" w:firstLineChars="200"/>
        <w:rPr>
          <w:rFonts w:ascii="宋体" w:hAnsi="宋体"/>
          <w:sz w:val="24"/>
          <w:szCs w:val="24"/>
        </w:rPr>
      </w:pPr>
    </w:p>
    <w:p>
      <w:pPr>
        <w:pStyle w:val="17"/>
        <w:spacing w:line="360" w:lineRule="auto"/>
        <w:ind w:firstLine="480" w:firstLineChars="200"/>
        <w:rPr>
          <w:rFonts w:ascii="宋体" w:hAnsi="宋体"/>
          <w:sz w:val="24"/>
          <w:szCs w:val="24"/>
        </w:rPr>
      </w:pPr>
    </w:p>
    <w:p>
      <w:pPr>
        <w:pStyle w:val="121"/>
        <w:spacing w:line="360" w:lineRule="auto"/>
        <w:jc w:val="center"/>
        <w:outlineLvl w:val="9"/>
        <w:rPr>
          <w:rFonts w:hint="default"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谈判响应供应商名称：（全称并加盖公章）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授权谈判响应代表签名：</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ascii="宋体" w:hAnsi="宋体"/>
          <w:sz w:val="24"/>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80" w:lineRule="exact"/>
        <w:rPr>
          <w:rFonts w:ascii="宋体" w:hAnsi="宋体"/>
          <w:sz w:val="24"/>
        </w:rPr>
      </w:pPr>
    </w:p>
    <w:p>
      <w:pPr>
        <w:spacing w:line="380" w:lineRule="exact"/>
        <w:rPr>
          <w:rFonts w:ascii="宋体" w:hAnsi="宋体"/>
          <w:sz w:val="24"/>
        </w:rPr>
      </w:pPr>
    </w:p>
    <w:p>
      <w:pPr>
        <w:spacing w:line="360" w:lineRule="auto"/>
        <w:rPr>
          <w:rFonts w:ascii="宋体" w:hAnsi="宋体"/>
          <w:sz w:val="24"/>
        </w:rPr>
      </w:pPr>
    </w:p>
    <w:p>
      <w:pPr>
        <w:pStyle w:val="121"/>
        <w:spacing w:line="360" w:lineRule="auto"/>
        <w:jc w:val="center"/>
        <w:outlineLvl w:val="1"/>
        <w:rPr>
          <w:rFonts w:hint="default" w:hAnsi="宋体"/>
          <w:b/>
          <w:szCs w:val="28"/>
        </w:rPr>
      </w:pPr>
      <w:bookmarkStart w:id="373" w:name="_Toc314838402"/>
      <w:bookmarkStart w:id="374" w:name="_Toc332809182"/>
      <w:bookmarkStart w:id="375" w:name="_Toc331778563"/>
      <w:bookmarkStart w:id="376" w:name="_Toc338926832"/>
    </w:p>
    <w:p>
      <w:pPr>
        <w:pStyle w:val="121"/>
        <w:keepLines/>
        <w:pageBreakBefore/>
        <w:spacing w:line="360" w:lineRule="auto"/>
        <w:jc w:val="center"/>
        <w:outlineLvl w:val="1"/>
        <w:rPr>
          <w:rFonts w:hint="default" w:hAnsi="宋体"/>
          <w:b/>
          <w:sz w:val="32"/>
          <w:szCs w:val="32"/>
        </w:rPr>
      </w:pPr>
      <w:bookmarkStart w:id="377" w:name="_Toc531349569"/>
      <w:r>
        <w:rPr>
          <w:rFonts w:hAnsi="宋体"/>
          <w:b/>
          <w:sz w:val="32"/>
          <w:szCs w:val="32"/>
        </w:rPr>
        <w:t>谈判响应供应商提交的其它资料</w:t>
      </w:r>
      <w:bookmarkEnd w:id="373"/>
      <w:bookmarkEnd w:id="374"/>
      <w:bookmarkEnd w:id="375"/>
      <w:bookmarkEnd w:id="376"/>
      <w:bookmarkEnd w:id="377"/>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jc w:val="center"/>
        <w:rPr>
          <w:rFonts w:ascii="宋体" w:hAnsi="宋体"/>
          <w:b/>
          <w:sz w:val="36"/>
        </w:rPr>
      </w:pPr>
      <w:r>
        <w:rPr>
          <w:rFonts w:hint="eastAsia" w:ascii="宋体" w:hAnsi="宋体"/>
          <w:sz w:val="24"/>
        </w:rPr>
        <w:t>谈判供应商认为应提交的其他材料, 可在此附件中提交。</w:t>
      </w:r>
    </w:p>
    <w:p>
      <w:pPr>
        <w:spacing w:line="380" w:lineRule="exact"/>
        <w:rPr>
          <w:rFonts w:ascii="宋体" w:hAnsi="宋体"/>
          <w:sz w:val="24"/>
        </w:rPr>
      </w:pPr>
    </w:p>
    <w:p>
      <w:pPr>
        <w:spacing w:line="380" w:lineRule="exact"/>
        <w:rPr>
          <w:rFonts w:ascii="宋体" w:hAnsi="宋体"/>
          <w:sz w:val="24"/>
        </w:rPr>
      </w:pPr>
    </w:p>
    <w:p>
      <w:pPr>
        <w:spacing w:line="380" w:lineRule="exact"/>
        <w:rPr>
          <w:rFonts w:ascii="宋体" w:hAnsi="宋体"/>
          <w:sz w:val="24"/>
        </w:rPr>
      </w:pPr>
    </w:p>
    <w:p>
      <w:pPr>
        <w:pStyle w:val="22"/>
        <w:snapToGrid w:val="0"/>
        <w:spacing w:line="440" w:lineRule="exact"/>
        <w:jc w:val="left"/>
        <w:rPr>
          <w:rFonts w:hAnsi="宋体"/>
          <w:sz w:val="24"/>
          <w:szCs w:val="24"/>
        </w:rPr>
      </w:pPr>
    </w:p>
    <w:p>
      <w:pPr>
        <w:pStyle w:val="22"/>
        <w:snapToGrid w:val="0"/>
        <w:spacing w:line="440" w:lineRule="exact"/>
        <w:jc w:val="left"/>
        <w:rPr>
          <w:rFonts w:hAnsi="宋体"/>
          <w:sz w:val="24"/>
          <w:szCs w:val="24"/>
        </w:rPr>
      </w:pPr>
    </w:p>
    <w:p>
      <w:pPr>
        <w:pStyle w:val="22"/>
        <w:snapToGrid w:val="0"/>
        <w:spacing w:line="440" w:lineRule="exact"/>
        <w:jc w:val="left"/>
        <w:rPr>
          <w:rFonts w:hAnsi="宋体"/>
          <w:sz w:val="24"/>
          <w:szCs w:val="24"/>
        </w:rPr>
      </w:pPr>
    </w:p>
    <w:p>
      <w:pPr>
        <w:pStyle w:val="121"/>
        <w:outlineLvl w:val="9"/>
        <w:rPr>
          <w:rFonts w:hint="default" w:hAnsi="宋体"/>
          <w:sz w:val="24"/>
          <w:szCs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spacing w:line="360" w:lineRule="auto"/>
        <w:rPr>
          <w:rFonts w:ascii="宋体" w:hAnsi="宋体"/>
          <w:sz w:val="24"/>
          <w:u w:val="single"/>
        </w:rPr>
      </w:pPr>
      <w:r>
        <w:rPr>
          <w:rFonts w:hint="eastAsia" w:ascii="宋体" w:hAnsi="宋体"/>
          <w:sz w:val="24"/>
        </w:rPr>
        <w:t>谈判响应供应商名称：（全称并加盖公章）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授权谈判响应代表签名：</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ascii="宋体" w:hAnsi="宋体"/>
          <w:sz w:val="24"/>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21"/>
        <w:keepLines/>
        <w:pageBreakBefore/>
        <w:spacing w:line="360" w:lineRule="auto"/>
        <w:jc w:val="center"/>
        <w:outlineLvl w:val="1"/>
        <w:rPr>
          <w:rFonts w:hint="default" w:hAnsi="宋体"/>
          <w:b/>
          <w:sz w:val="32"/>
          <w:szCs w:val="32"/>
        </w:rPr>
      </w:pPr>
      <w:bookmarkStart w:id="378" w:name="_Toc331778564"/>
      <w:bookmarkStart w:id="379" w:name="_Toc338926833"/>
      <w:bookmarkStart w:id="380" w:name="_Toc314838403"/>
      <w:bookmarkStart w:id="381" w:name="_Toc531349571"/>
      <w:bookmarkStart w:id="382" w:name="_Toc332809183"/>
      <w:r>
        <w:rPr>
          <w:rFonts w:hAnsi="宋体"/>
          <w:b/>
          <w:sz w:val="32"/>
          <w:szCs w:val="32"/>
        </w:rPr>
        <w:t>谈判成交服务费承诺书</w:t>
      </w:r>
      <w:bookmarkEnd w:id="378"/>
      <w:bookmarkEnd w:id="379"/>
      <w:bookmarkEnd w:id="380"/>
      <w:bookmarkEnd w:id="381"/>
      <w:bookmarkEnd w:id="382"/>
    </w:p>
    <w:p>
      <w:pPr>
        <w:pStyle w:val="121"/>
        <w:spacing w:line="360" w:lineRule="auto"/>
        <w:jc w:val="center"/>
        <w:outlineLvl w:val="9"/>
        <w:rPr>
          <w:rFonts w:hint="default" w:hAnsi="宋体"/>
          <w:sz w:val="21"/>
        </w:rPr>
      </w:pPr>
    </w:p>
    <w:p>
      <w:pPr>
        <w:spacing w:line="360" w:lineRule="auto"/>
        <w:rPr>
          <w:rFonts w:ascii="宋体" w:hAnsi="宋体"/>
          <w:sz w:val="24"/>
        </w:rPr>
      </w:pPr>
      <w:r>
        <w:rPr>
          <w:rFonts w:hint="eastAsia" w:ascii="宋体" w:hAnsi="宋体"/>
          <w:sz w:val="24"/>
        </w:rPr>
        <w:t>致：</w:t>
      </w:r>
      <w:r>
        <w:rPr>
          <w:rFonts w:hint="eastAsia" w:ascii="宋体" w:hAnsi="宋体"/>
          <w:sz w:val="24"/>
          <w:u w:val="single"/>
        </w:rPr>
        <w:t>厦门市华沧采购招标有限公司</w:t>
      </w:r>
    </w:p>
    <w:p>
      <w:pPr>
        <w:spacing w:line="360" w:lineRule="auto"/>
        <w:ind w:firstLine="480" w:firstLineChars="200"/>
        <w:rPr>
          <w:rFonts w:ascii="宋体" w:hAnsi="宋体"/>
          <w:sz w:val="24"/>
        </w:rPr>
      </w:pPr>
      <w:r>
        <w:rPr>
          <w:rFonts w:hint="eastAsia" w:ascii="宋体" w:hAnsi="宋体"/>
          <w:sz w:val="24"/>
        </w:rPr>
        <w:t>我们在贵公司组织的</w:t>
      </w:r>
      <w:r>
        <w:rPr>
          <w:rFonts w:hint="eastAsia" w:ascii="宋体" w:hAnsi="宋体"/>
          <w:sz w:val="24"/>
          <w:u w:val="single"/>
        </w:rPr>
        <w:t xml:space="preserve">                           </w:t>
      </w:r>
      <w:r>
        <w:rPr>
          <w:rFonts w:hint="eastAsia" w:ascii="宋体" w:hAnsi="宋体"/>
          <w:sz w:val="24"/>
        </w:rPr>
        <w:t>项目谈判邀请中谈判响应（项目编号：</w:t>
      </w:r>
      <w:r>
        <w:rPr>
          <w:rFonts w:hint="eastAsia" w:ascii="宋体" w:hAnsi="宋体"/>
          <w:sz w:val="24"/>
          <w:u w:val="single"/>
        </w:rPr>
        <w:t xml:space="preserve">          </w:t>
      </w:r>
      <w:r>
        <w:rPr>
          <w:rFonts w:hint="eastAsia" w:ascii="宋体" w:hAnsi="宋体"/>
          <w:sz w:val="24"/>
        </w:rPr>
        <w:t>），如获成交，我们保证按谈判文件的规定，以转账、汇款或经贵公司认可的其他付款方式，向贵公司缴交谈判成交服务费。</w:t>
      </w:r>
    </w:p>
    <w:p>
      <w:pPr>
        <w:spacing w:line="360" w:lineRule="auto"/>
        <w:ind w:firstLine="480" w:firstLineChars="200"/>
        <w:rPr>
          <w:rFonts w:ascii="宋体" w:hAnsi="宋体"/>
          <w:sz w:val="24"/>
        </w:rPr>
      </w:pPr>
      <w:r>
        <w:rPr>
          <w:rFonts w:hint="eastAsia" w:ascii="宋体" w:hAnsi="宋体"/>
          <w:sz w:val="24"/>
        </w:rPr>
        <w:t>我方如违反上述承诺，所提交的上述项目的谈判响应保证金将不予退还我方，我方对此无异议。</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特此承诺！</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 xml:space="preserve">谈判供应商（全称并加盖公章）：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邮 编：电 话：</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传 真：</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rPr>
          <w:rFonts w:ascii="宋体" w:hAnsi="宋体"/>
          <w:sz w:val="24"/>
          <w:u w:val="single"/>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pStyle w:val="121"/>
        <w:keepLines/>
        <w:pageBreakBefore/>
        <w:spacing w:line="360" w:lineRule="auto"/>
        <w:jc w:val="center"/>
        <w:outlineLvl w:val="1"/>
        <w:rPr>
          <w:rFonts w:hint="default" w:hAnsi="宋体"/>
          <w:b/>
          <w:sz w:val="32"/>
          <w:szCs w:val="32"/>
        </w:rPr>
      </w:pPr>
      <w:bookmarkStart w:id="383" w:name="_Toc531349572"/>
      <w:r>
        <w:rPr>
          <w:rFonts w:hAnsi="宋体"/>
          <w:b/>
          <w:sz w:val="32"/>
          <w:szCs w:val="32"/>
        </w:rPr>
        <w:t>采购保证金退还申请书（参考格式）</w:t>
      </w:r>
      <w:bookmarkEnd w:id="383"/>
    </w:p>
    <w:p>
      <w:pPr>
        <w:spacing w:line="360" w:lineRule="auto"/>
        <w:jc w:val="center"/>
        <w:rPr>
          <w:rFonts w:ascii="宋体" w:hAnsi="宋体"/>
          <w:sz w:val="24"/>
        </w:rPr>
      </w:pPr>
    </w:p>
    <w:p>
      <w:pPr>
        <w:spacing w:line="360" w:lineRule="auto"/>
        <w:rPr>
          <w:rFonts w:ascii="宋体" w:hAnsi="宋体"/>
          <w:sz w:val="24"/>
          <w:u w:val="single"/>
        </w:rPr>
      </w:pPr>
      <w:r>
        <w:rPr>
          <w:rFonts w:hint="eastAsia" w:ascii="宋体" w:hAnsi="宋体"/>
          <w:sz w:val="24"/>
          <w:u w:val="single"/>
        </w:rPr>
        <w:t>厦门市华沧采购招标有限公司：</w:t>
      </w:r>
    </w:p>
    <w:p>
      <w:pPr>
        <w:spacing w:line="360" w:lineRule="auto"/>
        <w:ind w:firstLine="600"/>
        <w:rPr>
          <w:rFonts w:ascii="宋体" w:hAnsi="宋体"/>
          <w:sz w:val="24"/>
        </w:rPr>
      </w:pPr>
      <w:r>
        <w:rPr>
          <w:rFonts w:hint="eastAsia" w:ascii="宋体" w:hAnsi="宋体"/>
          <w:sz w:val="24"/>
        </w:rPr>
        <w:t>我单位为</w:t>
      </w:r>
      <w:r>
        <w:rPr>
          <w:rFonts w:hint="eastAsia" w:ascii="宋体" w:hAnsi="宋体"/>
          <w:sz w:val="24"/>
          <w:u w:val="single"/>
        </w:rPr>
        <w:t>（采购项目名称）</w:t>
      </w:r>
      <w:r>
        <w:rPr>
          <w:rFonts w:hint="eastAsia" w:ascii="宋体" w:hAnsi="宋体"/>
          <w:sz w:val="24"/>
        </w:rPr>
        <w:t>项目（项目编号：</w:t>
      </w:r>
      <w:r>
        <w:rPr>
          <w:rFonts w:hint="eastAsia" w:ascii="宋体" w:hAnsi="宋体"/>
          <w:sz w:val="24"/>
          <w:u w:val="single"/>
        </w:rPr>
        <w:t xml:space="preserve">        </w:t>
      </w:r>
      <w:r>
        <w:rPr>
          <w:rFonts w:hint="eastAsia" w:ascii="宋体" w:hAnsi="宋体"/>
          <w:sz w:val="24"/>
        </w:rPr>
        <w:t>）的（□中标或成交；□未中标或未成交；□已报名但未投标或未报价）供应商。</w:t>
      </w:r>
    </w:p>
    <w:p>
      <w:pPr>
        <w:spacing w:line="360" w:lineRule="auto"/>
        <w:ind w:firstLine="600"/>
        <w:rPr>
          <w:rFonts w:ascii="宋体" w:hAnsi="宋体"/>
          <w:sz w:val="24"/>
        </w:rPr>
      </w:pPr>
      <w:r>
        <w:rPr>
          <w:rFonts w:hint="eastAsia" w:ascii="宋体" w:hAnsi="宋体"/>
          <w:sz w:val="24"/>
        </w:rPr>
        <w:t>现申请将为此项目已缴交的采购保证金</w:t>
      </w:r>
      <w:r>
        <w:rPr>
          <w:rFonts w:hint="eastAsia" w:ascii="宋体" w:hAnsi="宋体"/>
          <w:sz w:val="24"/>
          <w:u w:val="single"/>
        </w:rPr>
        <w:t xml:space="preserve">     </w:t>
      </w:r>
      <w:r>
        <w:rPr>
          <w:rFonts w:hint="eastAsia" w:ascii="宋体" w:hAnsi="宋体"/>
          <w:sz w:val="24"/>
        </w:rPr>
        <w:t>元按缴款时的付款单位、账号、开户银行退还我单位。</w:t>
      </w:r>
    </w:p>
    <w:p>
      <w:pPr>
        <w:spacing w:line="360" w:lineRule="auto"/>
        <w:ind w:firstLine="600"/>
        <w:rPr>
          <w:rFonts w:ascii="宋体" w:hAnsi="宋体"/>
          <w:sz w:val="24"/>
        </w:rPr>
      </w:pPr>
      <w:r>
        <w:rPr>
          <w:rFonts w:hint="eastAsia" w:ascii="宋体" w:hAnsi="宋体"/>
          <w:sz w:val="24"/>
        </w:rPr>
        <w:t>收款单位：</w:t>
      </w:r>
      <w:r>
        <w:rPr>
          <w:rFonts w:hint="eastAsia" w:ascii="宋体" w:hAnsi="宋体"/>
          <w:sz w:val="24"/>
          <w:u w:val="single"/>
        </w:rPr>
        <w:t>（供应商名称）</w:t>
      </w:r>
    </w:p>
    <w:p>
      <w:pPr>
        <w:spacing w:line="360" w:lineRule="auto"/>
        <w:ind w:firstLine="600"/>
        <w:rPr>
          <w:rFonts w:ascii="宋体" w:hAnsi="宋体"/>
          <w:sz w:val="24"/>
        </w:rPr>
      </w:pPr>
      <w:r>
        <w:rPr>
          <w:rFonts w:hint="eastAsia" w:ascii="宋体" w:hAnsi="宋体"/>
          <w:sz w:val="24"/>
        </w:rPr>
        <w:t>账号：</w:t>
      </w:r>
    </w:p>
    <w:p>
      <w:pPr>
        <w:spacing w:line="360" w:lineRule="auto"/>
        <w:ind w:firstLine="600"/>
        <w:rPr>
          <w:rFonts w:ascii="宋体" w:hAnsi="宋体"/>
          <w:sz w:val="24"/>
        </w:rPr>
      </w:pPr>
      <w:r>
        <w:rPr>
          <w:rFonts w:hint="eastAsia" w:ascii="宋体" w:hAnsi="宋体"/>
          <w:sz w:val="24"/>
        </w:rPr>
        <w:t>开户银行：</w:t>
      </w:r>
    </w:p>
    <w:p>
      <w:pPr>
        <w:spacing w:line="360" w:lineRule="auto"/>
        <w:ind w:firstLine="600"/>
        <w:rPr>
          <w:rFonts w:ascii="宋体" w:hAnsi="宋体"/>
          <w:sz w:val="24"/>
        </w:rPr>
      </w:pPr>
      <w:r>
        <w:rPr>
          <w:rFonts w:hint="eastAsia" w:ascii="宋体" w:hAnsi="宋体"/>
          <w:sz w:val="24"/>
        </w:rPr>
        <w:t>请予办理。</w:t>
      </w:r>
    </w:p>
    <w:p>
      <w:pPr>
        <w:spacing w:line="360" w:lineRule="auto"/>
        <w:ind w:firstLine="600"/>
        <w:rPr>
          <w:rFonts w:ascii="宋体" w:hAnsi="宋体"/>
          <w:sz w:val="24"/>
        </w:rPr>
      </w:pPr>
    </w:p>
    <w:p>
      <w:pPr>
        <w:spacing w:line="360" w:lineRule="auto"/>
        <w:ind w:firstLine="480" w:firstLineChars="200"/>
        <w:rPr>
          <w:rFonts w:ascii="宋体" w:hAnsi="宋体"/>
          <w:sz w:val="24"/>
        </w:rPr>
      </w:pPr>
      <w:r>
        <w:rPr>
          <w:rFonts w:hint="eastAsia" w:ascii="宋体" w:hAnsi="宋体"/>
          <w:sz w:val="24"/>
        </w:rPr>
        <w:t>谈判供应商（全称并加盖公章）：</w:t>
      </w:r>
      <w:r>
        <w:rPr>
          <w:rFonts w:hint="eastAsia" w:ascii="宋体" w:hAnsi="宋体"/>
          <w:sz w:val="24"/>
          <w:u w:val="single"/>
        </w:rPr>
        <w:t xml:space="preserve">                 </w:t>
      </w:r>
    </w:p>
    <w:p>
      <w:pPr>
        <w:spacing w:line="360" w:lineRule="auto"/>
        <w:ind w:firstLine="480" w:firstLineChars="200"/>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ind w:firstLine="600" w:firstLineChars="250"/>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ind w:firstLine="600"/>
        <w:rPr>
          <w:rFonts w:ascii="宋体" w:hAnsi="宋体"/>
          <w:sz w:val="24"/>
        </w:rPr>
      </w:pPr>
    </w:p>
    <w:p>
      <w:pPr>
        <w:rPr>
          <w:rFonts w:ascii="宋体" w:hAnsi="宋体"/>
          <w:b/>
          <w:sz w:val="24"/>
        </w:rPr>
      </w:pPr>
    </w:p>
    <w:p>
      <w:pPr>
        <w:rPr>
          <w:rFonts w:ascii="宋体" w:hAnsi="宋体"/>
          <w:b/>
          <w:sz w:val="24"/>
        </w:rPr>
      </w:pPr>
    </w:p>
    <w:p>
      <w:pPr>
        <w:rPr>
          <w:rFonts w:ascii="宋体" w:hAnsi="宋体"/>
          <w:b/>
          <w:sz w:val="24"/>
        </w:rPr>
      </w:pPr>
    </w:p>
    <w:p>
      <w:pPr>
        <w:spacing w:line="360" w:lineRule="auto"/>
        <w:rPr>
          <w:rFonts w:ascii="宋体" w:hAnsi="宋体"/>
          <w:b/>
          <w:sz w:val="24"/>
        </w:rPr>
      </w:pPr>
      <w:r>
        <w:rPr>
          <w:rFonts w:hint="eastAsia" w:ascii="宋体" w:hAnsi="宋体"/>
          <w:b/>
          <w:sz w:val="24"/>
        </w:rPr>
        <w:t>备注：谈判响应供应商在提供谈判响应文件时需将此申请书连同谈判响应保证金凭证一起密封在小信封袋内。申请书中“（□中标或成交；□未中标或未成交；□已报名但未投标或未报价）”可先不打“√”，其余内容应填写完整并加盖谈判响应供应商公章。</w:t>
      </w: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sectPr>
      <w:pgSz w:w="11907" w:h="16840"/>
      <w:pgMar w:top="1418" w:right="1287" w:bottom="1418"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Tahoma">
    <w:panose1 w:val="020B0604030504040204"/>
    <w:charset w:val="00"/>
    <w:family w:val="swiss"/>
    <w:pitch w:val="default"/>
    <w:sig w:usb0="E1002EFF" w:usb1="C000605B" w:usb2="00000029" w:usb3="00000000" w:csb0="200101FF" w:csb1="20280000"/>
  </w:font>
  <w:font w:name="DFKai-SB">
    <w:altName w:val="Microsoft JhengHei Light"/>
    <w:panose1 w:val="03000509000000000000"/>
    <w:charset w:val="88"/>
    <w:family w:val="script"/>
    <w:pitch w:val="default"/>
    <w:sig w:usb0="00000000" w:usb1="00000000" w:usb2="00000016" w:usb3="00000000" w:csb0="00100001" w:csb1="00000000"/>
  </w:font>
  <w:font w:name="Verdana">
    <w:panose1 w:val="020B0604030504040204"/>
    <w:charset w:val="00"/>
    <w:family w:val="swiss"/>
    <w:pitch w:val="default"/>
    <w:sig w:usb0="A10006FF" w:usb1="4000205B" w:usb2="00000010" w:usb3="00000000" w:csb0="2000019F" w:csb1="00000000"/>
  </w:font>
  <w:font w:name="Arial Narrow">
    <w:altName w:val="Arial"/>
    <w:panose1 w:val="020B0606020202030204"/>
    <w:charset w:val="00"/>
    <w:family w:val="swiss"/>
    <w:pitch w:val="default"/>
    <w:sig w:usb0="00000000" w:usb1="00000000" w:usb2="00000000" w:usb3="00000000" w:csb0="2000009F" w:csb1="DFD7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rPr>
        <w:rFonts w:ascii="宋体" w:hAnsi="宋体"/>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-31750</wp:posOffset>
              </wp:positionV>
              <wp:extent cx="5792470" cy="0"/>
              <wp:effectExtent l="0" t="0" r="0" b="0"/>
              <wp:wrapNone/>
              <wp:docPr id="3" name="Line 1"/>
              <wp:cNvGraphicFramePr/>
              <a:graphic xmlns:a="http://schemas.openxmlformats.org/drawingml/2006/main">
                <a:graphicData uri="http://schemas.microsoft.com/office/word/2010/wordprocessingShape">
                  <wps:wsp>
                    <wps:cNvCnPr>
                      <a:cxnSpLocks noChangeShapeType="1"/>
                    </wps:cNvCnPr>
                    <wps:spPr bwMode="auto">
                      <a:xfrm>
                        <a:off x="0" y="0"/>
                        <a:ext cx="5792470" cy="0"/>
                      </a:xfrm>
                      <a:prstGeom prst="line">
                        <a:avLst/>
                      </a:prstGeom>
                      <a:noFill/>
                      <a:ln w="9525">
                        <a:solidFill>
                          <a:srgbClr val="000000"/>
                        </a:solidFill>
                        <a:round/>
                      </a:ln>
                      <a:effectLst/>
                    </wps:spPr>
                    <wps:bodyPr/>
                  </wps:wsp>
                </a:graphicData>
              </a:graphic>
            </wp:anchor>
          </w:drawing>
        </mc:Choice>
        <mc:Fallback>
          <w:pict>
            <v:line id="Line 1" o:spid="_x0000_s1026" o:spt="20" style="position:absolute;left:0pt;margin-left:0pt;margin-top:-2.5pt;height:0pt;width:456.1pt;z-index:251660288;mso-width-relative:page;mso-height-relative:page;" filled="f" stroked="t" coordsize="21600,21600" o:gfxdata="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1sq2ZdQAAAAGAQAADwAAAAAAAAABACAAAAAiAAAAZHJz&#10;L2Rvd25yZXYueG1sUEsBAhQAFAAAAAgAh07iQORglfvPAQAArQMAAA4AAAAAAAAAAQAgAAAAIwEA&#10;AGRycy9lMm9Eb2MueG1sUEsFBgAAAAAGAAYAWQEAAGQFAAAAAA==&#10;">
              <v:fill on="f" focussize="0,0"/>
              <v:stroke color="#000000" joinstyle="round"/>
              <v:imagedata o:title=""/>
              <o:lock v:ext="edit" aspectratio="f"/>
            </v:line>
          </w:pict>
        </mc:Fallback>
      </mc:AlternateContent>
    </w:r>
    <w:r>
      <w:rPr>
        <w:rFonts w:hint="eastAsia" w:ascii="宋体" w:hAnsi="宋体"/>
      </w:rPr>
      <w:t>项目名称：中沧公寓楼破损栏杆更换工程</w:t>
    </w:r>
    <w:r>
      <w:rPr>
        <w:rFonts w:hint="eastAsia" w:ascii="宋体" w:hAnsi="宋体"/>
        <w:lang w:val="en-US" w:eastAsia="zh-CN"/>
      </w:rPr>
      <w:t xml:space="preserve">                                                          </w:t>
    </w:r>
    <w:r>
      <w:rPr>
        <w:rFonts w:hint="eastAsia" w:ascii="宋体" w:hAnsi="宋体"/>
      </w:rPr>
      <w:fldChar w:fldCharType="begin"/>
    </w:r>
    <w:r>
      <w:rPr>
        <w:rFonts w:hint="eastAsia" w:ascii="宋体" w:hAnsi="宋体"/>
      </w:rPr>
      <w:instrText xml:space="preserve"> PAGE </w:instrText>
    </w:r>
    <w:r>
      <w:rPr>
        <w:rFonts w:hint="eastAsia" w:ascii="宋体" w:hAnsi="宋体"/>
      </w:rPr>
      <w:fldChar w:fldCharType="separate"/>
    </w:r>
    <w:r>
      <w:rPr>
        <w:rFonts w:ascii="宋体" w:hAnsi="宋体"/>
      </w:rPr>
      <w:t>4</w:t>
    </w:r>
    <w:r>
      <w:rPr>
        <w:rFonts w:hint="eastAsia" w:ascii="宋体" w:hAnsi="宋体"/>
      </w:rPr>
      <w:fldChar w:fldCharType="end"/>
    </w:r>
    <w:r>
      <w:rPr>
        <w:rFonts w:hint="eastAsia" w:ascii="宋体" w:hAnsi="宋体"/>
      </w:rPr>
      <w:t>-52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-31750</wp:posOffset>
              </wp:positionV>
              <wp:extent cx="6235700" cy="0"/>
              <wp:effectExtent l="0" t="0" r="0" b="0"/>
              <wp:wrapNone/>
              <wp:docPr id="2" name="Line 2"/>
              <wp:cNvGraphicFramePr/>
              <a:graphic xmlns:a="http://schemas.openxmlformats.org/drawingml/2006/main">
                <a:graphicData uri="http://schemas.microsoft.com/office/word/2010/wordprocessingShape">
                  <wps:wsp>
                    <wps:cNvCnPr>
                      <a:cxnSpLocks noChangeShapeType="1"/>
                    </wps:cNvCnPr>
                    <wps:spPr bwMode="auto">
                      <a:xfrm>
                        <a:off x="0" y="0"/>
                        <a:ext cx="6235700" cy="0"/>
                      </a:xfrm>
                      <a:prstGeom prst="line">
                        <a:avLst/>
                      </a:prstGeom>
                      <a:noFill/>
                      <a:ln w="9525">
                        <a:solidFill>
                          <a:srgbClr val="000000"/>
                        </a:solidFill>
                        <a:round/>
                      </a:ln>
                      <a:effectLst/>
                    </wps:spPr>
                    <wps:bodyPr/>
                  </wps:wsp>
                </a:graphicData>
              </a:graphic>
            </wp:anchor>
          </w:drawing>
        </mc:Choice>
        <mc:Fallback>
          <w:pict>
            <v:line id="Line 2" o:spid="_x0000_s1026" o:spt="20" style="position:absolute;left:0pt;margin-left:0pt;margin-top:-2.5pt;height:0pt;width:491pt;z-index:251659264;mso-width-relative:page;mso-height-relative:page;" filled="f" stroked="t" coordsize="21600,21600" o:gfxdata="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S4HV11AAAAAYBAAAPAAAAAAAAAAEAIAAAACIAAABkcnMv&#10;ZG93bnJldi54bWxQSwECFAAUAAAACACHTuJA5wO3Ds4BAACtAwAADgAAAAAAAAABACAAAAAjAQAA&#10;ZHJzL2Uyb0RvYy54bWxQSwUGAAAAAAYABgBZAQAAYwUAAAAA&#10;">
              <v:fill on="f" focussize="0,0"/>
              <v:stroke color="#000000" joinstyle="round"/>
              <v:imagedata o:title=""/>
              <o:lock v:ext="edit" aspectratio="f"/>
            </v:lin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w:drawing>
        <wp:inline distT="0" distB="0" distL="0" distR="0">
          <wp:extent cx="853440" cy="419100"/>
          <wp:effectExtent l="19050" t="0" r="3810" b="0"/>
          <wp:docPr id="1" name="图片 1" descr="商标--2016.09.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商标--2016.09.18.png"/>
                  <pic:cNvPicPr>
                    <a:picLocks noChangeAspect="1" noChangeArrowheads="1"/>
                  </pic:cNvPicPr>
                </pic:nvPicPr>
                <pic:blipFill>
                  <a:blip r:embed="rId1"/>
                  <a:srcRect/>
                  <a:stretch>
                    <a:fillRect/>
                  </a:stretch>
                </pic:blipFill>
                <pic:spPr>
                  <a:xfrm>
                    <a:off x="0" y="0"/>
                    <a:ext cx="853440" cy="419100"/>
                  </a:xfrm>
                  <a:prstGeom prst="rect">
                    <a:avLst/>
                  </a:prstGeom>
                  <a:noFill/>
                  <a:ln w="9525">
                    <a:noFill/>
                    <a:miter lim="800000"/>
                    <a:headEnd/>
                    <a:tailEnd/>
                  </a:ln>
                </pic:spPr>
              </pic:pic>
            </a:graphicData>
          </a:graphic>
        </wp:inline>
      </w:drawing>
    </w:r>
    <w:r>
      <w:rPr>
        <w:rFonts w:hint="eastAsia"/>
      </w:rPr>
      <w:t>厦门市华沧采购招标有限公司</w:t>
    </w:r>
    <w:r>
      <w:rPr>
        <w:rFonts w:hint="eastAsia" w:ascii="宋体" w:hAnsi="宋体"/>
      </w:rPr>
      <w:t xml:space="preserve">                                 项</w:t>
    </w:r>
    <w:r>
      <w:rPr>
        <w:rFonts w:hint="eastAsia" w:ascii="宋体" w:hAnsi="宋体"/>
        <w:iCs/>
      </w:rPr>
      <w:t>目编号：</w:t>
    </w:r>
    <w:r>
      <w:rPr>
        <w:rFonts w:hint="eastAsia" w:ascii="宋体" w:hAnsi="宋体"/>
      </w:rPr>
      <w:t>2021-HCJZ-SH906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10221F6"/>
    <w:multiLevelType w:val="singleLevel"/>
    <w:tmpl w:val="B10221F6"/>
    <w:lvl w:ilvl="0" w:tentative="0">
      <w:start w:val="1"/>
      <w:numFmt w:val="decimal"/>
      <w:suff w:val="space"/>
      <w:lvlText w:val="(%1)"/>
      <w:lvlJc w:val="left"/>
    </w:lvl>
  </w:abstractNum>
  <w:abstractNum w:abstractNumId="1">
    <w:nsid w:val="00000001"/>
    <w:multiLevelType w:val="multilevel"/>
    <w:tmpl w:val="00000001"/>
    <w:lvl w:ilvl="0" w:tentative="0">
      <w:start w:val="1"/>
      <w:numFmt w:val="bullet"/>
      <w:pStyle w:val="7"/>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00000004"/>
    <w:multiLevelType w:val="multilevel"/>
    <w:tmpl w:val="0000000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5"/>
    <w:multiLevelType w:val="multilevel"/>
    <w:tmpl w:val="00000005"/>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pStyle w:val="113"/>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24D4AD1"/>
    <w:multiLevelType w:val="multilevel"/>
    <w:tmpl w:val="124D4AD1"/>
    <w:lvl w:ilvl="0" w:tentative="0">
      <w:start w:val="1"/>
      <w:numFmt w:val="decimal"/>
      <w:lvlText w:val="(%1)"/>
      <w:lvlJc w:val="left"/>
      <w:pPr>
        <w:tabs>
          <w:tab w:val="left" w:pos="540"/>
        </w:tabs>
        <w:ind w:left="540" w:hanging="360"/>
      </w:pPr>
      <w:rPr>
        <w:rFonts w:hint="eastAsia"/>
        <w:b w:val="0"/>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5">
    <w:nsid w:val="581FD216"/>
    <w:multiLevelType w:val="multilevel"/>
    <w:tmpl w:val="581FD216"/>
    <w:lvl w:ilvl="0" w:tentative="0">
      <w:start w:val="1"/>
      <w:numFmt w:val="upperLetter"/>
      <w:pStyle w:val="9"/>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5"/>
  </w:num>
  <w:num w:numId="3">
    <w:abstractNumId w:val="3"/>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HorizontalSpacing w:val="14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2477"/>
    <w:rsid w:val="00002A7B"/>
    <w:rsid w:val="00002ACC"/>
    <w:rsid w:val="00002AE9"/>
    <w:rsid w:val="0000369C"/>
    <w:rsid w:val="0000393C"/>
    <w:rsid w:val="00004F23"/>
    <w:rsid w:val="000051CA"/>
    <w:rsid w:val="000054A5"/>
    <w:rsid w:val="00005542"/>
    <w:rsid w:val="000055EC"/>
    <w:rsid w:val="000101DB"/>
    <w:rsid w:val="0001080F"/>
    <w:rsid w:val="00011D5B"/>
    <w:rsid w:val="000126A3"/>
    <w:rsid w:val="00012BF9"/>
    <w:rsid w:val="00012D4E"/>
    <w:rsid w:val="00013A0F"/>
    <w:rsid w:val="00013D3F"/>
    <w:rsid w:val="00014B3E"/>
    <w:rsid w:val="0001502F"/>
    <w:rsid w:val="000153CF"/>
    <w:rsid w:val="00015733"/>
    <w:rsid w:val="00015C6E"/>
    <w:rsid w:val="00015CEC"/>
    <w:rsid w:val="000166C5"/>
    <w:rsid w:val="0001704D"/>
    <w:rsid w:val="00017248"/>
    <w:rsid w:val="00017302"/>
    <w:rsid w:val="00017FDC"/>
    <w:rsid w:val="00020557"/>
    <w:rsid w:val="0002061C"/>
    <w:rsid w:val="00021D1A"/>
    <w:rsid w:val="0002405F"/>
    <w:rsid w:val="000245DE"/>
    <w:rsid w:val="0002470E"/>
    <w:rsid w:val="000251DC"/>
    <w:rsid w:val="00025554"/>
    <w:rsid w:val="00025B4A"/>
    <w:rsid w:val="00026323"/>
    <w:rsid w:val="00026643"/>
    <w:rsid w:val="000268F2"/>
    <w:rsid w:val="00026CD1"/>
    <w:rsid w:val="00026F69"/>
    <w:rsid w:val="000276CD"/>
    <w:rsid w:val="00030414"/>
    <w:rsid w:val="00030453"/>
    <w:rsid w:val="000307A4"/>
    <w:rsid w:val="000307CA"/>
    <w:rsid w:val="000308E8"/>
    <w:rsid w:val="00030DC0"/>
    <w:rsid w:val="000316FB"/>
    <w:rsid w:val="0003192F"/>
    <w:rsid w:val="00031C71"/>
    <w:rsid w:val="00031CDA"/>
    <w:rsid w:val="00032180"/>
    <w:rsid w:val="00032341"/>
    <w:rsid w:val="00032436"/>
    <w:rsid w:val="00032A05"/>
    <w:rsid w:val="00032D57"/>
    <w:rsid w:val="0003309B"/>
    <w:rsid w:val="000331E8"/>
    <w:rsid w:val="00033CBB"/>
    <w:rsid w:val="00035D6E"/>
    <w:rsid w:val="0003627D"/>
    <w:rsid w:val="000362C0"/>
    <w:rsid w:val="00036BFF"/>
    <w:rsid w:val="00036E86"/>
    <w:rsid w:val="00037087"/>
    <w:rsid w:val="000377A4"/>
    <w:rsid w:val="00037905"/>
    <w:rsid w:val="00037E7A"/>
    <w:rsid w:val="000402CE"/>
    <w:rsid w:val="000406D3"/>
    <w:rsid w:val="00042881"/>
    <w:rsid w:val="00044344"/>
    <w:rsid w:val="00044C72"/>
    <w:rsid w:val="00044DA8"/>
    <w:rsid w:val="00044FCA"/>
    <w:rsid w:val="00045770"/>
    <w:rsid w:val="00045B4A"/>
    <w:rsid w:val="00046106"/>
    <w:rsid w:val="000465D1"/>
    <w:rsid w:val="00046B49"/>
    <w:rsid w:val="00047295"/>
    <w:rsid w:val="00047531"/>
    <w:rsid w:val="000501BC"/>
    <w:rsid w:val="00050550"/>
    <w:rsid w:val="000509CA"/>
    <w:rsid w:val="00050A12"/>
    <w:rsid w:val="00050CEC"/>
    <w:rsid w:val="00050D3D"/>
    <w:rsid w:val="00051546"/>
    <w:rsid w:val="000517FA"/>
    <w:rsid w:val="000529B4"/>
    <w:rsid w:val="00052D59"/>
    <w:rsid w:val="00053867"/>
    <w:rsid w:val="000545C1"/>
    <w:rsid w:val="0005491F"/>
    <w:rsid w:val="000550A4"/>
    <w:rsid w:val="000563A3"/>
    <w:rsid w:val="00056BDC"/>
    <w:rsid w:val="000570B0"/>
    <w:rsid w:val="00060A31"/>
    <w:rsid w:val="00060CC0"/>
    <w:rsid w:val="00060DDB"/>
    <w:rsid w:val="00061755"/>
    <w:rsid w:val="00061881"/>
    <w:rsid w:val="00061D79"/>
    <w:rsid w:val="00064B07"/>
    <w:rsid w:val="000652A5"/>
    <w:rsid w:val="0006543A"/>
    <w:rsid w:val="00065AB9"/>
    <w:rsid w:val="00065CCE"/>
    <w:rsid w:val="00065ED8"/>
    <w:rsid w:val="00066093"/>
    <w:rsid w:val="00067267"/>
    <w:rsid w:val="00071269"/>
    <w:rsid w:val="00072643"/>
    <w:rsid w:val="000727ED"/>
    <w:rsid w:val="00073801"/>
    <w:rsid w:val="00073AB7"/>
    <w:rsid w:val="00074180"/>
    <w:rsid w:val="0007535E"/>
    <w:rsid w:val="00075960"/>
    <w:rsid w:val="00075A52"/>
    <w:rsid w:val="0007677F"/>
    <w:rsid w:val="00076C00"/>
    <w:rsid w:val="000810CB"/>
    <w:rsid w:val="000819C2"/>
    <w:rsid w:val="00081D0F"/>
    <w:rsid w:val="00081E7D"/>
    <w:rsid w:val="00082476"/>
    <w:rsid w:val="00082D4B"/>
    <w:rsid w:val="00085CC1"/>
    <w:rsid w:val="00085FAE"/>
    <w:rsid w:val="00085FEC"/>
    <w:rsid w:val="00086469"/>
    <w:rsid w:val="000865B4"/>
    <w:rsid w:val="00087621"/>
    <w:rsid w:val="00087C58"/>
    <w:rsid w:val="00087F1A"/>
    <w:rsid w:val="00090E09"/>
    <w:rsid w:val="00090E99"/>
    <w:rsid w:val="00090F7E"/>
    <w:rsid w:val="00091980"/>
    <w:rsid w:val="00092443"/>
    <w:rsid w:val="00092841"/>
    <w:rsid w:val="00093EB7"/>
    <w:rsid w:val="0009505D"/>
    <w:rsid w:val="00095089"/>
    <w:rsid w:val="000950B6"/>
    <w:rsid w:val="000951E3"/>
    <w:rsid w:val="000959FF"/>
    <w:rsid w:val="00096164"/>
    <w:rsid w:val="0009678C"/>
    <w:rsid w:val="00096ADF"/>
    <w:rsid w:val="00096E36"/>
    <w:rsid w:val="00097466"/>
    <w:rsid w:val="000975EE"/>
    <w:rsid w:val="00097E5D"/>
    <w:rsid w:val="000A080B"/>
    <w:rsid w:val="000A0AD8"/>
    <w:rsid w:val="000A0CC4"/>
    <w:rsid w:val="000A2752"/>
    <w:rsid w:val="000A309D"/>
    <w:rsid w:val="000A4598"/>
    <w:rsid w:val="000A4E1D"/>
    <w:rsid w:val="000A4EF4"/>
    <w:rsid w:val="000A5061"/>
    <w:rsid w:val="000A508A"/>
    <w:rsid w:val="000A5116"/>
    <w:rsid w:val="000A6441"/>
    <w:rsid w:val="000A6EAD"/>
    <w:rsid w:val="000A75F6"/>
    <w:rsid w:val="000A79A7"/>
    <w:rsid w:val="000A7AF8"/>
    <w:rsid w:val="000B00DA"/>
    <w:rsid w:val="000B01B3"/>
    <w:rsid w:val="000B0382"/>
    <w:rsid w:val="000B0C7F"/>
    <w:rsid w:val="000B161F"/>
    <w:rsid w:val="000B17F1"/>
    <w:rsid w:val="000B1DA0"/>
    <w:rsid w:val="000B1F69"/>
    <w:rsid w:val="000B20F3"/>
    <w:rsid w:val="000B20F8"/>
    <w:rsid w:val="000B22AE"/>
    <w:rsid w:val="000B2415"/>
    <w:rsid w:val="000B2967"/>
    <w:rsid w:val="000B2DEA"/>
    <w:rsid w:val="000B3075"/>
    <w:rsid w:val="000B3D51"/>
    <w:rsid w:val="000B609C"/>
    <w:rsid w:val="000B65EA"/>
    <w:rsid w:val="000B6934"/>
    <w:rsid w:val="000B7894"/>
    <w:rsid w:val="000C0A8D"/>
    <w:rsid w:val="000C10A4"/>
    <w:rsid w:val="000C1787"/>
    <w:rsid w:val="000C1FF5"/>
    <w:rsid w:val="000C213D"/>
    <w:rsid w:val="000C254A"/>
    <w:rsid w:val="000C2CEF"/>
    <w:rsid w:val="000C2DD7"/>
    <w:rsid w:val="000C4AD2"/>
    <w:rsid w:val="000C564D"/>
    <w:rsid w:val="000C59C3"/>
    <w:rsid w:val="000C65A0"/>
    <w:rsid w:val="000C672F"/>
    <w:rsid w:val="000C6B59"/>
    <w:rsid w:val="000C6BAE"/>
    <w:rsid w:val="000C75A4"/>
    <w:rsid w:val="000C75C5"/>
    <w:rsid w:val="000C7A86"/>
    <w:rsid w:val="000C7C27"/>
    <w:rsid w:val="000D09E4"/>
    <w:rsid w:val="000D11F9"/>
    <w:rsid w:val="000D1371"/>
    <w:rsid w:val="000D25F1"/>
    <w:rsid w:val="000D27BD"/>
    <w:rsid w:val="000D2FC3"/>
    <w:rsid w:val="000D3E5D"/>
    <w:rsid w:val="000D403A"/>
    <w:rsid w:val="000D4DB7"/>
    <w:rsid w:val="000D4E80"/>
    <w:rsid w:val="000D4F73"/>
    <w:rsid w:val="000D52EA"/>
    <w:rsid w:val="000D5ECA"/>
    <w:rsid w:val="000D6C65"/>
    <w:rsid w:val="000D6EFF"/>
    <w:rsid w:val="000D7AAF"/>
    <w:rsid w:val="000E1EA2"/>
    <w:rsid w:val="000E1EA6"/>
    <w:rsid w:val="000E265C"/>
    <w:rsid w:val="000E2916"/>
    <w:rsid w:val="000E35A0"/>
    <w:rsid w:val="000E3CCB"/>
    <w:rsid w:val="000E3E49"/>
    <w:rsid w:val="000E5016"/>
    <w:rsid w:val="000E50A7"/>
    <w:rsid w:val="000E6267"/>
    <w:rsid w:val="000E6606"/>
    <w:rsid w:val="000E6E1F"/>
    <w:rsid w:val="000E6EA7"/>
    <w:rsid w:val="000E6EC2"/>
    <w:rsid w:val="000F0B59"/>
    <w:rsid w:val="000F0BBC"/>
    <w:rsid w:val="000F0F85"/>
    <w:rsid w:val="000F1062"/>
    <w:rsid w:val="000F1D03"/>
    <w:rsid w:val="000F2513"/>
    <w:rsid w:val="000F2A11"/>
    <w:rsid w:val="000F2B22"/>
    <w:rsid w:val="000F315E"/>
    <w:rsid w:val="000F3273"/>
    <w:rsid w:val="000F5245"/>
    <w:rsid w:val="000F5E22"/>
    <w:rsid w:val="000F615A"/>
    <w:rsid w:val="000F670F"/>
    <w:rsid w:val="000F6B4B"/>
    <w:rsid w:val="000F6BB0"/>
    <w:rsid w:val="000F74B1"/>
    <w:rsid w:val="000F7E84"/>
    <w:rsid w:val="00100320"/>
    <w:rsid w:val="001006DA"/>
    <w:rsid w:val="0010093D"/>
    <w:rsid w:val="00100B49"/>
    <w:rsid w:val="00104934"/>
    <w:rsid w:val="00105075"/>
    <w:rsid w:val="00105077"/>
    <w:rsid w:val="001058B7"/>
    <w:rsid w:val="00105DA2"/>
    <w:rsid w:val="00105EBE"/>
    <w:rsid w:val="00105EE4"/>
    <w:rsid w:val="0010624A"/>
    <w:rsid w:val="001066D0"/>
    <w:rsid w:val="00107023"/>
    <w:rsid w:val="001076D4"/>
    <w:rsid w:val="00107F72"/>
    <w:rsid w:val="00110092"/>
    <w:rsid w:val="001102B7"/>
    <w:rsid w:val="00110C24"/>
    <w:rsid w:val="00110E92"/>
    <w:rsid w:val="00111DC0"/>
    <w:rsid w:val="00112332"/>
    <w:rsid w:val="001123C8"/>
    <w:rsid w:val="00114032"/>
    <w:rsid w:val="00114517"/>
    <w:rsid w:val="00115735"/>
    <w:rsid w:val="001159E6"/>
    <w:rsid w:val="001163F1"/>
    <w:rsid w:val="00116A89"/>
    <w:rsid w:val="00116D5A"/>
    <w:rsid w:val="00117A41"/>
    <w:rsid w:val="00117AA0"/>
    <w:rsid w:val="00117EF8"/>
    <w:rsid w:val="001200D3"/>
    <w:rsid w:val="0012147E"/>
    <w:rsid w:val="00122EE3"/>
    <w:rsid w:val="001237D9"/>
    <w:rsid w:val="00125277"/>
    <w:rsid w:val="0012579C"/>
    <w:rsid w:val="00125D45"/>
    <w:rsid w:val="001266B5"/>
    <w:rsid w:val="00130ADA"/>
    <w:rsid w:val="00131D32"/>
    <w:rsid w:val="001322F2"/>
    <w:rsid w:val="00132FBB"/>
    <w:rsid w:val="00133474"/>
    <w:rsid w:val="001334E4"/>
    <w:rsid w:val="0013407E"/>
    <w:rsid w:val="00134791"/>
    <w:rsid w:val="00134BE1"/>
    <w:rsid w:val="00135952"/>
    <w:rsid w:val="00135CFC"/>
    <w:rsid w:val="0013610A"/>
    <w:rsid w:val="001364E2"/>
    <w:rsid w:val="001368FC"/>
    <w:rsid w:val="001374F5"/>
    <w:rsid w:val="0013755A"/>
    <w:rsid w:val="001375F2"/>
    <w:rsid w:val="001402ED"/>
    <w:rsid w:val="00140803"/>
    <w:rsid w:val="00141287"/>
    <w:rsid w:val="00141E47"/>
    <w:rsid w:val="00142A7E"/>
    <w:rsid w:val="00143DBD"/>
    <w:rsid w:val="00144679"/>
    <w:rsid w:val="0014589F"/>
    <w:rsid w:val="0014595C"/>
    <w:rsid w:val="00145DCF"/>
    <w:rsid w:val="0014637A"/>
    <w:rsid w:val="00146CBA"/>
    <w:rsid w:val="0014763B"/>
    <w:rsid w:val="00150207"/>
    <w:rsid w:val="001504D5"/>
    <w:rsid w:val="0015055F"/>
    <w:rsid w:val="00150B8A"/>
    <w:rsid w:val="00150C0D"/>
    <w:rsid w:val="00151439"/>
    <w:rsid w:val="00151A3C"/>
    <w:rsid w:val="001521A0"/>
    <w:rsid w:val="001538BD"/>
    <w:rsid w:val="00154834"/>
    <w:rsid w:val="00154C08"/>
    <w:rsid w:val="00154D53"/>
    <w:rsid w:val="00154FB5"/>
    <w:rsid w:val="0015532E"/>
    <w:rsid w:val="001555B7"/>
    <w:rsid w:val="00156028"/>
    <w:rsid w:val="00156D9B"/>
    <w:rsid w:val="0016094F"/>
    <w:rsid w:val="00161615"/>
    <w:rsid w:val="0016216E"/>
    <w:rsid w:val="00162351"/>
    <w:rsid w:val="00162A9A"/>
    <w:rsid w:val="00162BCC"/>
    <w:rsid w:val="001632A1"/>
    <w:rsid w:val="00163888"/>
    <w:rsid w:val="00163B1D"/>
    <w:rsid w:val="00166255"/>
    <w:rsid w:val="001663EE"/>
    <w:rsid w:val="00166811"/>
    <w:rsid w:val="001669DE"/>
    <w:rsid w:val="00166D42"/>
    <w:rsid w:val="0016772F"/>
    <w:rsid w:val="0017037B"/>
    <w:rsid w:val="001708B0"/>
    <w:rsid w:val="00170996"/>
    <w:rsid w:val="00170CFA"/>
    <w:rsid w:val="00171BC4"/>
    <w:rsid w:val="00172321"/>
    <w:rsid w:val="00172A27"/>
    <w:rsid w:val="00172C72"/>
    <w:rsid w:val="001734BF"/>
    <w:rsid w:val="00173D03"/>
    <w:rsid w:val="001760AF"/>
    <w:rsid w:val="0017637F"/>
    <w:rsid w:val="00176D79"/>
    <w:rsid w:val="00177F45"/>
    <w:rsid w:val="0018022B"/>
    <w:rsid w:val="00181270"/>
    <w:rsid w:val="0018129D"/>
    <w:rsid w:val="00181EFE"/>
    <w:rsid w:val="001820F1"/>
    <w:rsid w:val="001821E1"/>
    <w:rsid w:val="00182A6F"/>
    <w:rsid w:val="00182DEA"/>
    <w:rsid w:val="00182E64"/>
    <w:rsid w:val="00182EB5"/>
    <w:rsid w:val="00183A43"/>
    <w:rsid w:val="00183B11"/>
    <w:rsid w:val="001841F0"/>
    <w:rsid w:val="00185255"/>
    <w:rsid w:val="00185372"/>
    <w:rsid w:val="0018544D"/>
    <w:rsid w:val="00185644"/>
    <w:rsid w:val="0018653F"/>
    <w:rsid w:val="00186A16"/>
    <w:rsid w:val="00186B86"/>
    <w:rsid w:val="00186DFE"/>
    <w:rsid w:val="00186EA9"/>
    <w:rsid w:val="001871DA"/>
    <w:rsid w:val="00187344"/>
    <w:rsid w:val="00187B55"/>
    <w:rsid w:val="00187E14"/>
    <w:rsid w:val="001918FD"/>
    <w:rsid w:val="00191DAC"/>
    <w:rsid w:val="001920F8"/>
    <w:rsid w:val="0019240A"/>
    <w:rsid w:val="00192A64"/>
    <w:rsid w:val="00192F3D"/>
    <w:rsid w:val="0019332A"/>
    <w:rsid w:val="00193F87"/>
    <w:rsid w:val="00194705"/>
    <w:rsid w:val="0019563C"/>
    <w:rsid w:val="0019563E"/>
    <w:rsid w:val="00195C09"/>
    <w:rsid w:val="00196741"/>
    <w:rsid w:val="00197689"/>
    <w:rsid w:val="00197AF8"/>
    <w:rsid w:val="00197CF3"/>
    <w:rsid w:val="00197F0A"/>
    <w:rsid w:val="001A1057"/>
    <w:rsid w:val="001A160F"/>
    <w:rsid w:val="001A287F"/>
    <w:rsid w:val="001A2990"/>
    <w:rsid w:val="001A2A2F"/>
    <w:rsid w:val="001A3140"/>
    <w:rsid w:val="001A38FC"/>
    <w:rsid w:val="001A423F"/>
    <w:rsid w:val="001A4546"/>
    <w:rsid w:val="001A47DA"/>
    <w:rsid w:val="001A5552"/>
    <w:rsid w:val="001A58E1"/>
    <w:rsid w:val="001A5E6F"/>
    <w:rsid w:val="001A6542"/>
    <w:rsid w:val="001A694B"/>
    <w:rsid w:val="001A7049"/>
    <w:rsid w:val="001A7D6F"/>
    <w:rsid w:val="001B193C"/>
    <w:rsid w:val="001B1EB8"/>
    <w:rsid w:val="001B2294"/>
    <w:rsid w:val="001B22E1"/>
    <w:rsid w:val="001B2B0C"/>
    <w:rsid w:val="001B3753"/>
    <w:rsid w:val="001B3826"/>
    <w:rsid w:val="001B40C7"/>
    <w:rsid w:val="001B4798"/>
    <w:rsid w:val="001B581D"/>
    <w:rsid w:val="001B6375"/>
    <w:rsid w:val="001B7548"/>
    <w:rsid w:val="001B766B"/>
    <w:rsid w:val="001B7D36"/>
    <w:rsid w:val="001B7E2E"/>
    <w:rsid w:val="001B7F70"/>
    <w:rsid w:val="001C1113"/>
    <w:rsid w:val="001C3E73"/>
    <w:rsid w:val="001C45CD"/>
    <w:rsid w:val="001C557F"/>
    <w:rsid w:val="001C5BF7"/>
    <w:rsid w:val="001C6846"/>
    <w:rsid w:val="001C6941"/>
    <w:rsid w:val="001D05A5"/>
    <w:rsid w:val="001D3028"/>
    <w:rsid w:val="001D3578"/>
    <w:rsid w:val="001D3A2B"/>
    <w:rsid w:val="001D3D45"/>
    <w:rsid w:val="001D4057"/>
    <w:rsid w:val="001D4340"/>
    <w:rsid w:val="001D44B3"/>
    <w:rsid w:val="001D4F72"/>
    <w:rsid w:val="001D5FCB"/>
    <w:rsid w:val="001D5FE0"/>
    <w:rsid w:val="001D6388"/>
    <w:rsid w:val="001D6A04"/>
    <w:rsid w:val="001D6BD6"/>
    <w:rsid w:val="001D77CE"/>
    <w:rsid w:val="001E017E"/>
    <w:rsid w:val="001E0431"/>
    <w:rsid w:val="001E0DF4"/>
    <w:rsid w:val="001E0F3D"/>
    <w:rsid w:val="001E2350"/>
    <w:rsid w:val="001E23B5"/>
    <w:rsid w:val="001E248D"/>
    <w:rsid w:val="001E270D"/>
    <w:rsid w:val="001E271E"/>
    <w:rsid w:val="001E32BE"/>
    <w:rsid w:val="001E43C1"/>
    <w:rsid w:val="001E4ECE"/>
    <w:rsid w:val="001E506D"/>
    <w:rsid w:val="001E5826"/>
    <w:rsid w:val="001E6A1B"/>
    <w:rsid w:val="001E6E2F"/>
    <w:rsid w:val="001E7804"/>
    <w:rsid w:val="001E7B13"/>
    <w:rsid w:val="001F05DD"/>
    <w:rsid w:val="001F0667"/>
    <w:rsid w:val="001F0720"/>
    <w:rsid w:val="001F0C9D"/>
    <w:rsid w:val="001F0F86"/>
    <w:rsid w:val="001F21D4"/>
    <w:rsid w:val="001F2878"/>
    <w:rsid w:val="001F287D"/>
    <w:rsid w:val="001F33CD"/>
    <w:rsid w:val="001F3C02"/>
    <w:rsid w:val="001F3CFD"/>
    <w:rsid w:val="001F3D66"/>
    <w:rsid w:val="001F4071"/>
    <w:rsid w:val="001F44C2"/>
    <w:rsid w:val="001F461A"/>
    <w:rsid w:val="001F46F7"/>
    <w:rsid w:val="001F4811"/>
    <w:rsid w:val="001F579E"/>
    <w:rsid w:val="001F69F0"/>
    <w:rsid w:val="001F6AB7"/>
    <w:rsid w:val="001F6DBE"/>
    <w:rsid w:val="001F6F32"/>
    <w:rsid w:val="001F7610"/>
    <w:rsid w:val="001F7867"/>
    <w:rsid w:val="00201364"/>
    <w:rsid w:val="00201B52"/>
    <w:rsid w:val="00201E0B"/>
    <w:rsid w:val="002028F8"/>
    <w:rsid w:val="00203796"/>
    <w:rsid w:val="00204081"/>
    <w:rsid w:val="002044FB"/>
    <w:rsid w:val="00204951"/>
    <w:rsid w:val="00204CEA"/>
    <w:rsid w:val="00204EAD"/>
    <w:rsid w:val="00205430"/>
    <w:rsid w:val="00206157"/>
    <w:rsid w:val="00207176"/>
    <w:rsid w:val="00207DEB"/>
    <w:rsid w:val="00207F25"/>
    <w:rsid w:val="002101F0"/>
    <w:rsid w:val="002106ED"/>
    <w:rsid w:val="00211963"/>
    <w:rsid w:val="00211A13"/>
    <w:rsid w:val="00212053"/>
    <w:rsid w:val="00212323"/>
    <w:rsid w:val="00212902"/>
    <w:rsid w:val="002130A8"/>
    <w:rsid w:val="00213219"/>
    <w:rsid w:val="00213CC8"/>
    <w:rsid w:val="00214252"/>
    <w:rsid w:val="00214E81"/>
    <w:rsid w:val="002153C8"/>
    <w:rsid w:val="00215D75"/>
    <w:rsid w:val="00216136"/>
    <w:rsid w:val="00217214"/>
    <w:rsid w:val="00220D43"/>
    <w:rsid w:val="00222266"/>
    <w:rsid w:val="0022253A"/>
    <w:rsid w:val="0022323E"/>
    <w:rsid w:val="002236EA"/>
    <w:rsid w:val="00223AA7"/>
    <w:rsid w:val="002242BA"/>
    <w:rsid w:val="0022456E"/>
    <w:rsid w:val="0022467D"/>
    <w:rsid w:val="00224CC9"/>
    <w:rsid w:val="00225036"/>
    <w:rsid w:val="002250FF"/>
    <w:rsid w:val="00225121"/>
    <w:rsid w:val="0022516A"/>
    <w:rsid w:val="0022522D"/>
    <w:rsid w:val="002267B0"/>
    <w:rsid w:val="00226C0D"/>
    <w:rsid w:val="00226C1C"/>
    <w:rsid w:val="00226D09"/>
    <w:rsid w:val="002271F3"/>
    <w:rsid w:val="00230319"/>
    <w:rsid w:val="002307A7"/>
    <w:rsid w:val="002311A0"/>
    <w:rsid w:val="00231550"/>
    <w:rsid w:val="0023172A"/>
    <w:rsid w:val="002323F8"/>
    <w:rsid w:val="0023261A"/>
    <w:rsid w:val="00233151"/>
    <w:rsid w:val="0023328C"/>
    <w:rsid w:val="00233689"/>
    <w:rsid w:val="002349E7"/>
    <w:rsid w:val="00234C7B"/>
    <w:rsid w:val="00234CBD"/>
    <w:rsid w:val="00234D3F"/>
    <w:rsid w:val="00234E1B"/>
    <w:rsid w:val="00235053"/>
    <w:rsid w:val="002351EC"/>
    <w:rsid w:val="00235881"/>
    <w:rsid w:val="00235D52"/>
    <w:rsid w:val="002362B5"/>
    <w:rsid w:val="0023644C"/>
    <w:rsid w:val="00237FDE"/>
    <w:rsid w:val="002400EC"/>
    <w:rsid w:val="00240A12"/>
    <w:rsid w:val="00240A68"/>
    <w:rsid w:val="00241BED"/>
    <w:rsid w:val="00242CC0"/>
    <w:rsid w:val="00242FDC"/>
    <w:rsid w:val="002431E3"/>
    <w:rsid w:val="00243EB3"/>
    <w:rsid w:val="002449B0"/>
    <w:rsid w:val="00245D49"/>
    <w:rsid w:val="002462A9"/>
    <w:rsid w:val="00246BEE"/>
    <w:rsid w:val="00246FF2"/>
    <w:rsid w:val="00247785"/>
    <w:rsid w:val="0024792E"/>
    <w:rsid w:val="00247C02"/>
    <w:rsid w:val="00247C23"/>
    <w:rsid w:val="00247FCA"/>
    <w:rsid w:val="0025008E"/>
    <w:rsid w:val="00250469"/>
    <w:rsid w:val="00250531"/>
    <w:rsid w:val="002510D0"/>
    <w:rsid w:val="00251B67"/>
    <w:rsid w:val="00251C22"/>
    <w:rsid w:val="00251C32"/>
    <w:rsid w:val="00252476"/>
    <w:rsid w:val="00252739"/>
    <w:rsid w:val="00252C33"/>
    <w:rsid w:val="00252D28"/>
    <w:rsid w:val="00252E8B"/>
    <w:rsid w:val="00252FC4"/>
    <w:rsid w:val="00254031"/>
    <w:rsid w:val="00254155"/>
    <w:rsid w:val="00254697"/>
    <w:rsid w:val="00257CF0"/>
    <w:rsid w:val="00260131"/>
    <w:rsid w:val="0026083F"/>
    <w:rsid w:val="00261571"/>
    <w:rsid w:val="00261C70"/>
    <w:rsid w:val="00262223"/>
    <w:rsid w:val="00262DD8"/>
    <w:rsid w:val="002635DE"/>
    <w:rsid w:val="002638CD"/>
    <w:rsid w:val="002642BB"/>
    <w:rsid w:val="002643AA"/>
    <w:rsid w:val="00264795"/>
    <w:rsid w:val="00264B46"/>
    <w:rsid w:val="00264E3F"/>
    <w:rsid w:val="00265D94"/>
    <w:rsid w:val="002661C2"/>
    <w:rsid w:val="00266429"/>
    <w:rsid w:val="00267DFD"/>
    <w:rsid w:val="00270213"/>
    <w:rsid w:val="00270802"/>
    <w:rsid w:val="00270B42"/>
    <w:rsid w:val="00270EB1"/>
    <w:rsid w:val="00272511"/>
    <w:rsid w:val="002736B5"/>
    <w:rsid w:val="00274558"/>
    <w:rsid w:val="00274FB1"/>
    <w:rsid w:val="002751A3"/>
    <w:rsid w:val="002751BD"/>
    <w:rsid w:val="002758E5"/>
    <w:rsid w:val="00275D5D"/>
    <w:rsid w:val="00275FD4"/>
    <w:rsid w:val="00276261"/>
    <w:rsid w:val="0027691E"/>
    <w:rsid w:val="00276C65"/>
    <w:rsid w:val="0027747E"/>
    <w:rsid w:val="00280B10"/>
    <w:rsid w:val="002814A7"/>
    <w:rsid w:val="002815FB"/>
    <w:rsid w:val="00281954"/>
    <w:rsid w:val="002819E8"/>
    <w:rsid w:val="00281E85"/>
    <w:rsid w:val="00282191"/>
    <w:rsid w:val="0028285C"/>
    <w:rsid w:val="00282F50"/>
    <w:rsid w:val="00283FFC"/>
    <w:rsid w:val="00284A96"/>
    <w:rsid w:val="00284B05"/>
    <w:rsid w:val="00285338"/>
    <w:rsid w:val="00285C6B"/>
    <w:rsid w:val="00285D29"/>
    <w:rsid w:val="00286DB4"/>
    <w:rsid w:val="002879EA"/>
    <w:rsid w:val="00290923"/>
    <w:rsid w:val="00290BA0"/>
    <w:rsid w:val="0029227A"/>
    <w:rsid w:val="00292E01"/>
    <w:rsid w:val="002936F9"/>
    <w:rsid w:val="00293CDE"/>
    <w:rsid w:val="0029401B"/>
    <w:rsid w:val="0029524C"/>
    <w:rsid w:val="00296590"/>
    <w:rsid w:val="00296774"/>
    <w:rsid w:val="0029681A"/>
    <w:rsid w:val="00296B88"/>
    <w:rsid w:val="00297F5F"/>
    <w:rsid w:val="002A2777"/>
    <w:rsid w:val="002A284B"/>
    <w:rsid w:val="002A36B2"/>
    <w:rsid w:val="002A4685"/>
    <w:rsid w:val="002A55B9"/>
    <w:rsid w:val="002A5827"/>
    <w:rsid w:val="002A58B6"/>
    <w:rsid w:val="002A5E4A"/>
    <w:rsid w:val="002A65C2"/>
    <w:rsid w:val="002A6704"/>
    <w:rsid w:val="002A6C2E"/>
    <w:rsid w:val="002A6CCB"/>
    <w:rsid w:val="002A6FCC"/>
    <w:rsid w:val="002B0063"/>
    <w:rsid w:val="002B1C79"/>
    <w:rsid w:val="002B1F79"/>
    <w:rsid w:val="002B3BDE"/>
    <w:rsid w:val="002B4807"/>
    <w:rsid w:val="002B4CA8"/>
    <w:rsid w:val="002B5411"/>
    <w:rsid w:val="002B5F90"/>
    <w:rsid w:val="002B6315"/>
    <w:rsid w:val="002B6D27"/>
    <w:rsid w:val="002B7862"/>
    <w:rsid w:val="002C0868"/>
    <w:rsid w:val="002C1F2F"/>
    <w:rsid w:val="002C25F0"/>
    <w:rsid w:val="002C30D4"/>
    <w:rsid w:val="002C4066"/>
    <w:rsid w:val="002C4D54"/>
    <w:rsid w:val="002C612F"/>
    <w:rsid w:val="002C6237"/>
    <w:rsid w:val="002C67E1"/>
    <w:rsid w:val="002C6825"/>
    <w:rsid w:val="002C6829"/>
    <w:rsid w:val="002C6AA1"/>
    <w:rsid w:val="002C6F68"/>
    <w:rsid w:val="002C778A"/>
    <w:rsid w:val="002C7C5A"/>
    <w:rsid w:val="002D0617"/>
    <w:rsid w:val="002D1126"/>
    <w:rsid w:val="002D13C5"/>
    <w:rsid w:val="002D1B5F"/>
    <w:rsid w:val="002D23A3"/>
    <w:rsid w:val="002D25EF"/>
    <w:rsid w:val="002D283C"/>
    <w:rsid w:val="002D2A12"/>
    <w:rsid w:val="002D2B86"/>
    <w:rsid w:val="002D2C6B"/>
    <w:rsid w:val="002D2FA1"/>
    <w:rsid w:val="002D31A3"/>
    <w:rsid w:val="002D36A2"/>
    <w:rsid w:val="002D3D91"/>
    <w:rsid w:val="002D3DEE"/>
    <w:rsid w:val="002D48A8"/>
    <w:rsid w:val="002D4B69"/>
    <w:rsid w:val="002D535B"/>
    <w:rsid w:val="002D538D"/>
    <w:rsid w:val="002D5A05"/>
    <w:rsid w:val="002D7DED"/>
    <w:rsid w:val="002E0037"/>
    <w:rsid w:val="002E02F1"/>
    <w:rsid w:val="002E0D2D"/>
    <w:rsid w:val="002E25F4"/>
    <w:rsid w:val="002E2AD3"/>
    <w:rsid w:val="002E2D70"/>
    <w:rsid w:val="002E3325"/>
    <w:rsid w:val="002E335F"/>
    <w:rsid w:val="002E60F7"/>
    <w:rsid w:val="002E651C"/>
    <w:rsid w:val="002E71C2"/>
    <w:rsid w:val="002E72E3"/>
    <w:rsid w:val="002E767E"/>
    <w:rsid w:val="002F0EE8"/>
    <w:rsid w:val="002F11EC"/>
    <w:rsid w:val="002F1B16"/>
    <w:rsid w:val="002F26EC"/>
    <w:rsid w:val="002F28FA"/>
    <w:rsid w:val="002F2CCF"/>
    <w:rsid w:val="002F3A6F"/>
    <w:rsid w:val="002F4030"/>
    <w:rsid w:val="002F41C6"/>
    <w:rsid w:val="002F44AE"/>
    <w:rsid w:val="002F4592"/>
    <w:rsid w:val="002F4773"/>
    <w:rsid w:val="002F4A72"/>
    <w:rsid w:val="002F52C9"/>
    <w:rsid w:val="002F5E0F"/>
    <w:rsid w:val="002F71D4"/>
    <w:rsid w:val="002F7B76"/>
    <w:rsid w:val="002F7E21"/>
    <w:rsid w:val="00301546"/>
    <w:rsid w:val="003016CB"/>
    <w:rsid w:val="00302273"/>
    <w:rsid w:val="003038F4"/>
    <w:rsid w:val="00304531"/>
    <w:rsid w:val="00305008"/>
    <w:rsid w:val="00305721"/>
    <w:rsid w:val="00305F5F"/>
    <w:rsid w:val="003069CB"/>
    <w:rsid w:val="003069F0"/>
    <w:rsid w:val="00307195"/>
    <w:rsid w:val="0030737D"/>
    <w:rsid w:val="003126A0"/>
    <w:rsid w:val="00313351"/>
    <w:rsid w:val="00313F03"/>
    <w:rsid w:val="00314909"/>
    <w:rsid w:val="00314A80"/>
    <w:rsid w:val="00316CAB"/>
    <w:rsid w:val="00317255"/>
    <w:rsid w:val="003176B8"/>
    <w:rsid w:val="00320056"/>
    <w:rsid w:val="003200EF"/>
    <w:rsid w:val="003202E7"/>
    <w:rsid w:val="00320CA0"/>
    <w:rsid w:val="00321009"/>
    <w:rsid w:val="0032215D"/>
    <w:rsid w:val="00322195"/>
    <w:rsid w:val="0032299D"/>
    <w:rsid w:val="003229D3"/>
    <w:rsid w:val="003229DC"/>
    <w:rsid w:val="00322A5D"/>
    <w:rsid w:val="00323291"/>
    <w:rsid w:val="00323C5F"/>
    <w:rsid w:val="00323D96"/>
    <w:rsid w:val="0032428A"/>
    <w:rsid w:val="003248F3"/>
    <w:rsid w:val="00325736"/>
    <w:rsid w:val="0032613C"/>
    <w:rsid w:val="003265F6"/>
    <w:rsid w:val="00326D41"/>
    <w:rsid w:val="00326D51"/>
    <w:rsid w:val="0032782D"/>
    <w:rsid w:val="00330205"/>
    <w:rsid w:val="00330EDD"/>
    <w:rsid w:val="0033118D"/>
    <w:rsid w:val="003317DF"/>
    <w:rsid w:val="00332078"/>
    <w:rsid w:val="0033214C"/>
    <w:rsid w:val="00332DD6"/>
    <w:rsid w:val="00333839"/>
    <w:rsid w:val="00333B08"/>
    <w:rsid w:val="003343F4"/>
    <w:rsid w:val="00334848"/>
    <w:rsid w:val="00334FD3"/>
    <w:rsid w:val="003350AE"/>
    <w:rsid w:val="0033517A"/>
    <w:rsid w:val="00335AEF"/>
    <w:rsid w:val="00336795"/>
    <w:rsid w:val="00336D91"/>
    <w:rsid w:val="00337112"/>
    <w:rsid w:val="00337456"/>
    <w:rsid w:val="003374AD"/>
    <w:rsid w:val="00337860"/>
    <w:rsid w:val="0034031D"/>
    <w:rsid w:val="003409FF"/>
    <w:rsid w:val="003413EB"/>
    <w:rsid w:val="003426CB"/>
    <w:rsid w:val="003427AB"/>
    <w:rsid w:val="0034341C"/>
    <w:rsid w:val="00343EAA"/>
    <w:rsid w:val="003443CF"/>
    <w:rsid w:val="003456BE"/>
    <w:rsid w:val="003465C9"/>
    <w:rsid w:val="003468E6"/>
    <w:rsid w:val="0034690A"/>
    <w:rsid w:val="003475DD"/>
    <w:rsid w:val="00347EAF"/>
    <w:rsid w:val="00350322"/>
    <w:rsid w:val="00350640"/>
    <w:rsid w:val="003509A2"/>
    <w:rsid w:val="003509D7"/>
    <w:rsid w:val="00350AA5"/>
    <w:rsid w:val="00350F44"/>
    <w:rsid w:val="003510AC"/>
    <w:rsid w:val="00351DE8"/>
    <w:rsid w:val="0035224B"/>
    <w:rsid w:val="003525BE"/>
    <w:rsid w:val="00352B66"/>
    <w:rsid w:val="003530FA"/>
    <w:rsid w:val="0035563C"/>
    <w:rsid w:val="00357940"/>
    <w:rsid w:val="003601F1"/>
    <w:rsid w:val="0036057A"/>
    <w:rsid w:val="00361337"/>
    <w:rsid w:val="003616B2"/>
    <w:rsid w:val="00361AE2"/>
    <w:rsid w:val="00362D80"/>
    <w:rsid w:val="00363890"/>
    <w:rsid w:val="00364E22"/>
    <w:rsid w:val="00365283"/>
    <w:rsid w:val="00366259"/>
    <w:rsid w:val="00367134"/>
    <w:rsid w:val="00371268"/>
    <w:rsid w:val="003712CE"/>
    <w:rsid w:val="00371D73"/>
    <w:rsid w:val="00371E16"/>
    <w:rsid w:val="00372820"/>
    <w:rsid w:val="00373292"/>
    <w:rsid w:val="00373531"/>
    <w:rsid w:val="0037356A"/>
    <w:rsid w:val="003736CE"/>
    <w:rsid w:val="0037371D"/>
    <w:rsid w:val="00373B4E"/>
    <w:rsid w:val="00373EA2"/>
    <w:rsid w:val="003744E2"/>
    <w:rsid w:val="003745E9"/>
    <w:rsid w:val="00374CB1"/>
    <w:rsid w:val="003752B5"/>
    <w:rsid w:val="003758E8"/>
    <w:rsid w:val="00376619"/>
    <w:rsid w:val="00380146"/>
    <w:rsid w:val="003801AF"/>
    <w:rsid w:val="00380275"/>
    <w:rsid w:val="00380366"/>
    <w:rsid w:val="003808E1"/>
    <w:rsid w:val="00380CC1"/>
    <w:rsid w:val="00382480"/>
    <w:rsid w:val="00383169"/>
    <w:rsid w:val="00383296"/>
    <w:rsid w:val="00384E83"/>
    <w:rsid w:val="00386098"/>
    <w:rsid w:val="0038710D"/>
    <w:rsid w:val="003879FB"/>
    <w:rsid w:val="00387D1D"/>
    <w:rsid w:val="00387D38"/>
    <w:rsid w:val="003903F6"/>
    <w:rsid w:val="00390EFE"/>
    <w:rsid w:val="003913DF"/>
    <w:rsid w:val="00391D8A"/>
    <w:rsid w:val="0039315D"/>
    <w:rsid w:val="00395A2F"/>
    <w:rsid w:val="003961D8"/>
    <w:rsid w:val="00396215"/>
    <w:rsid w:val="0039693D"/>
    <w:rsid w:val="003972AB"/>
    <w:rsid w:val="0039767D"/>
    <w:rsid w:val="00397A1B"/>
    <w:rsid w:val="00397EF1"/>
    <w:rsid w:val="003A02F4"/>
    <w:rsid w:val="003A0F39"/>
    <w:rsid w:val="003A1817"/>
    <w:rsid w:val="003A2653"/>
    <w:rsid w:val="003A297D"/>
    <w:rsid w:val="003A2AEF"/>
    <w:rsid w:val="003A31EC"/>
    <w:rsid w:val="003A38AB"/>
    <w:rsid w:val="003A40F2"/>
    <w:rsid w:val="003A54BA"/>
    <w:rsid w:val="003A5A4B"/>
    <w:rsid w:val="003A612B"/>
    <w:rsid w:val="003A63AE"/>
    <w:rsid w:val="003A645D"/>
    <w:rsid w:val="003A682A"/>
    <w:rsid w:val="003A6C25"/>
    <w:rsid w:val="003A73B3"/>
    <w:rsid w:val="003A780B"/>
    <w:rsid w:val="003A7DF4"/>
    <w:rsid w:val="003B0097"/>
    <w:rsid w:val="003B0108"/>
    <w:rsid w:val="003B06E4"/>
    <w:rsid w:val="003B0A9D"/>
    <w:rsid w:val="003B0DD4"/>
    <w:rsid w:val="003B158A"/>
    <w:rsid w:val="003B1A2F"/>
    <w:rsid w:val="003B2961"/>
    <w:rsid w:val="003B2AC6"/>
    <w:rsid w:val="003B3549"/>
    <w:rsid w:val="003B3A52"/>
    <w:rsid w:val="003B4342"/>
    <w:rsid w:val="003B467C"/>
    <w:rsid w:val="003B4F6A"/>
    <w:rsid w:val="003B60BF"/>
    <w:rsid w:val="003C06C4"/>
    <w:rsid w:val="003C0A13"/>
    <w:rsid w:val="003C14E2"/>
    <w:rsid w:val="003C36C8"/>
    <w:rsid w:val="003C3705"/>
    <w:rsid w:val="003C3E85"/>
    <w:rsid w:val="003C4159"/>
    <w:rsid w:val="003C5BA4"/>
    <w:rsid w:val="003C67E3"/>
    <w:rsid w:val="003C6BBF"/>
    <w:rsid w:val="003C7012"/>
    <w:rsid w:val="003C7544"/>
    <w:rsid w:val="003C7667"/>
    <w:rsid w:val="003D0361"/>
    <w:rsid w:val="003D099C"/>
    <w:rsid w:val="003D0B6C"/>
    <w:rsid w:val="003D1C0C"/>
    <w:rsid w:val="003D333F"/>
    <w:rsid w:val="003D3AE8"/>
    <w:rsid w:val="003D3C6A"/>
    <w:rsid w:val="003D49B2"/>
    <w:rsid w:val="003D4BB7"/>
    <w:rsid w:val="003D745A"/>
    <w:rsid w:val="003D7553"/>
    <w:rsid w:val="003D7BF4"/>
    <w:rsid w:val="003D7D7B"/>
    <w:rsid w:val="003E1489"/>
    <w:rsid w:val="003E160C"/>
    <w:rsid w:val="003E166C"/>
    <w:rsid w:val="003E1952"/>
    <w:rsid w:val="003E20AB"/>
    <w:rsid w:val="003E3B7A"/>
    <w:rsid w:val="003E3DA4"/>
    <w:rsid w:val="003E4469"/>
    <w:rsid w:val="003E4950"/>
    <w:rsid w:val="003E4D60"/>
    <w:rsid w:val="003E60C3"/>
    <w:rsid w:val="003E64ED"/>
    <w:rsid w:val="003E6E13"/>
    <w:rsid w:val="003E71C2"/>
    <w:rsid w:val="003E72DA"/>
    <w:rsid w:val="003E7777"/>
    <w:rsid w:val="003E7D78"/>
    <w:rsid w:val="003E7FF4"/>
    <w:rsid w:val="003F0536"/>
    <w:rsid w:val="003F08AA"/>
    <w:rsid w:val="003F27A5"/>
    <w:rsid w:val="003F2A3E"/>
    <w:rsid w:val="003F2DA6"/>
    <w:rsid w:val="003F2DB6"/>
    <w:rsid w:val="003F3CA5"/>
    <w:rsid w:val="003F43A3"/>
    <w:rsid w:val="003F4F41"/>
    <w:rsid w:val="003F5E39"/>
    <w:rsid w:val="003F72F5"/>
    <w:rsid w:val="003F7B4D"/>
    <w:rsid w:val="00400040"/>
    <w:rsid w:val="00400A83"/>
    <w:rsid w:val="00400CF7"/>
    <w:rsid w:val="004026C9"/>
    <w:rsid w:val="004038C8"/>
    <w:rsid w:val="00403A61"/>
    <w:rsid w:val="0040455E"/>
    <w:rsid w:val="00404A73"/>
    <w:rsid w:val="00404B55"/>
    <w:rsid w:val="0040506F"/>
    <w:rsid w:val="00405EDD"/>
    <w:rsid w:val="004061E3"/>
    <w:rsid w:val="004062BB"/>
    <w:rsid w:val="00406C86"/>
    <w:rsid w:val="004070B0"/>
    <w:rsid w:val="00407184"/>
    <w:rsid w:val="00407488"/>
    <w:rsid w:val="004105B7"/>
    <w:rsid w:val="00410B14"/>
    <w:rsid w:val="004111DE"/>
    <w:rsid w:val="004123BE"/>
    <w:rsid w:val="00412625"/>
    <w:rsid w:val="00413F2B"/>
    <w:rsid w:val="004147D8"/>
    <w:rsid w:val="00414B32"/>
    <w:rsid w:val="004165AF"/>
    <w:rsid w:val="004168C8"/>
    <w:rsid w:val="00416D9D"/>
    <w:rsid w:val="004171B6"/>
    <w:rsid w:val="004176DC"/>
    <w:rsid w:val="00420B5F"/>
    <w:rsid w:val="00420F89"/>
    <w:rsid w:val="00420FBB"/>
    <w:rsid w:val="00421210"/>
    <w:rsid w:val="0042171D"/>
    <w:rsid w:val="0042187F"/>
    <w:rsid w:val="00421A83"/>
    <w:rsid w:val="00423B5F"/>
    <w:rsid w:val="00423C13"/>
    <w:rsid w:val="00423DDA"/>
    <w:rsid w:val="004244BF"/>
    <w:rsid w:val="00425B82"/>
    <w:rsid w:val="0042604F"/>
    <w:rsid w:val="00426169"/>
    <w:rsid w:val="00426583"/>
    <w:rsid w:val="00430742"/>
    <w:rsid w:val="00431047"/>
    <w:rsid w:val="004314D6"/>
    <w:rsid w:val="004326C1"/>
    <w:rsid w:val="00432767"/>
    <w:rsid w:val="00432972"/>
    <w:rsid w:val="00433067"/>
    <w:rsid w:val="004336D3"/>
    <w:rsid w:val="0043397D"/>
    <w:rsid w:val="0043421E"/>
    <w:rsid w:val="00434233"/>
    <w:rsid w:val="00434BDA"/>
    <w:rsid w:val="004365BE"/>
    <w:rsid w:val="004369D0"/>
    <w:rsid w:val="0044027A"/>
    <w:rsid w:val="004412FF"/>
    <w:rsid w:val="00441453"/>
    <w:rsid w:val="0044145F"/>
    <w:rsid w:val="00441BBA"/>
    <w:rsid w:val="00442696"/>
    <w:rsid w:val="0044310A"/>
    <w:rsid w:val="00443B18"/>
    <w:rsid w:val="00443D3F"/>
    <w:rsid w:val="00444063"/>
    <w:rsid w:val="00444356"/>
    <w:rsid w:val="00444E22"/>
    <w:rsid w:val="00445829"/>
    <w:rsid w:val="00445FF4"/>
    <w:rsid w:val="00446E1D"/>
    <w:rsid w:val="00450CF8"/>
    <w:rsid w:val="00450D0F"/>
    <w:rsid w:val="00450EF4"/>
    <w:rsid w:val="0045106A"/>
    <w:rsid w:val="00451645"/>
    <w:rsid w:val="004522EF"/>
    <w:rsid w:val="00452DBE"/>
    <w:rsid w:val="0045383B"/>
    <w:rsid w:val="00454049"/>
    <w:rsid w:val="004553E6"/>
    <w:rsid w:val="0045555B"/>
    <w:rsid w:val="00456072"/>
    <w:rsid w:val="00456E73"/>
    <w:rsid w:val="004619C3"/>
    <w:rsid w:val="00462030"/>
    <w:rsid w:val="00462F39"/>
    <w:rsid w:val="0046335E"/>
    <w:rsid w:val="00464062"/>
    <w:rsid w:val="00464367"/>
    <w:rsid w:val="004644BB"/>
    <w:rsid w:val="00464883"/>
    <w:rsid w:val="00465078"/>
    <w:rsid w:val="00465198"/>
    <w:rsid w:val="00465277"/>
    <w:rsid w:val="0046539F"/>
    <w:rsid w:val="0046545C"/>
    <w:rsid w:val="00466385"/>
    <w:rsid w:val="00466542"/>
    <w:rsid w:val="004666EA"/>
    <w:rsid w:val="004677C9"/>
    <w:rsid w:val="0046790E"/>
    <w:rsid w:val="0047048A"/>
    <w:rsid w:val="004707AE"/>
    <w:rsid w:val="00470DAC"/>
    <w:rsid w:val="00471F3B"/>
    <w:rsid w:val="00472929"/>
    <w:rsid w:val="00472B01"/>
    <w:rsid w:val="00472E8F"/>
    <w:rsid w:val="004732C9"/>
    <w:rsid w:val="00473A94"/>
    <w:rsid w:val="0047444F"/>
    <w:rsid w:val="00474A71"/>
    <w:rsid w:val="0047527E"/>
    <w:rsid w:val="00475406"/>
    <w:rsid w:val="004760B5"/>
    <w:rsid w:val="00476538"/>
    <w:rsid w:val="00476C85"/>
    <w:rsid w:val="004774F9"/>
    <w:rsid w:val="00477A09"/>
    <w:rsid w:val="00480F39"/>
    <w:rsid w:val="00481396"/>
    <w:rsid w:val="00481B99"/>
    <w:rsid w:val="00481D78"/>
    <w:rsid w:val="00481F67"/>
    <w:rsid w:val="00481FDF"/>
    <w:rsid w:val="00482593"/>
    <w:rsid w:val="004848A5"/>
    <w:rsid w:val="004850F2"/>
    <w:rsid w:val="00485262"/>
    <w:rsid w:val="0048609C"/>
    <w:rsid w:val="00486105"/>
    <w:rsid w:val="00486201"/>
    <w:rsid w:val="00486AEE"/>
    <w:rsid w:val="00486CEF"/>
    <w:rsid w:val="00486EC8"/>
    <w:rsid w:val="00487215"/>
    <w:rsid w:val="0049016C"/>
    <w:rsid w:val="00490359"/>
    <w:rsid w:val="004908B4"/>
    <w:rsid w:val="00490F3C"/>
    <w:rsid w:val="0049156F"/>
    <w:rsid w:val="00491D56"/>
    <w:rsid w:val="004936A3"/>
    <w:rsid w:val="0049405C"/>
    <w:rsid w:val="00495116"/>
    <w:rsid w:val="0049518B"/>
    <w:rsid w:val="00495510"/>
    <w:rsid w:val="00496BC2"/>
    <w:rsid w:val="00497F41"/>
    <w:rsid w:val="004A05D0"/>
    <w:rsid w:val="004A082E"/>
    <w:rsid w:val="004A15D2"/>
    <w:rsid w:val="004A1C6F"/>
    <w:rsid w:val="004A25D1"/>
    <w:rsid w:val="004A26B1"/>
    <w:rsid w:val="004A2843"/>
    <w:rsid w:val="004A2874"/>
    <w:rsid w:val="004A3157"/>
    <w:rsid w:val="004A36C9"/>
    <w:rsid w:val="004A3A71"/>
    <w:rsid w:val="004A3B8F"/>
    <w:rsid w:val="004A43CE"/>
    <w:rsid w:val="004A512F"/>
    <w:rsid w:val="004A5C16"/>
    <w:rsid w:val="004A6010"/>
    <w:rsid w:val="004A76EA"/>
    <w:rsid w:val="004B01B6"/>
    <w:rsid w:val="004B18B0"/>
    <w:rsid w:val="004B20FD"/>
    <w:rsid w:val="004B21A8"/>
    <w:rsid w:val="004B2B08"/>
    <w:rsid w:val="004B2DC1"/>
    <w:rsid w:val="004B44FE"/>
    <w:rsid w:val="004B4662"/>
    <w:rsid w:val="004B5823"/>
    <w:rsid w:val="004B63D4"/>
    <w:rsid w:val="004B6651"/>
    <w:rsid w:val="004B72CE"/>
    <w:rsid w:val="004B7301"/>
    <w:rsid w:val="004B7B10"/>
    <w:rsid w:val="004C0072"/>
    <w:rsid w:val="004C0693"/>
    <w:rsid w:val="004C113F"/>
    <w:rsid w:val="004C1E81"/>
    <w:rsid w:val="004C2011"/>
    <w:rsid w:val="004C26BA"/>
    <w:rsid w:val="004C2BB1"/>
    <w:rsid w:val="004C2E7D"/>
    <w:rsid w:val="004C2FB1"/>
    <w:rsid w:val="004C4434"/>
    <w:rsid w:val="004C4705"/>
    <w:rsid w:val="004C47CF"/>
    <w:rsid w:val="004C4BF4"/>
    <w:rsid w:val="004C533F"/>
    <w:rsid w:val="004C5E6A"/>
    <w:rsid w:val="004C669D"/>
    <w:rsid w:val="004C7124"/>
    <w:rsid w:val="004D03EA"/>
    <w:rsid w:val="004D15F8"/>
    <w:rsid w:val="004D1B3D"/>
    <w:rsid w:val="004D1CCA"/>
    <w:rsid w:val="004D28AB"/>
    <w:rsid w:val="004D2A8E"/>
    <w:rsid w:val="004D4BDC"/>
    <w:rsid w:val="004D5185"/>
    <w:rsid w:val="004D5280"/>
    <w:rsid w:val="004D535F"/>
    <w:rsid w:val="004D5383"/>
    <w:rsid w:val="004D5428"/>
    <w:rsid w:val="004D5756"/>
    <w:rsid w:val="004D648A"/>
    <w:rsid w:val="004D6BCC"/>
    <w:rsid w:val="004D730E"/>
    <w:rsid w:val="004D7B60"/>
    <w:rsid w:val="004E19E8"/>
    <w:rsid w:val="004E1F14"/>
    <w:rsid w:val="004E2BDB"/>
    <w:rsid w:val="004E2E49"/>
    <w:rsid w:val="004E32FC"/>
    <w:rsid w:val="004E3744"/>
    <w:rsid w:val="004E3B08"/>
    <w:rsid w:val="004E3BFF"/>
    <w:rsid w:val="004E3F4A"/>
    <w:rsid w:val="004E5247"/>
    <w:rsid w:val="004E5471"/>
    <w:rsid w:val="004E573B"/>
    <w:rsid w:val="004E5F2E"/>
    <w:rsid w:val="004E604D"/>
    <w:rsid w:val="004E63B8"/>
    <w:rsid w:val="004E71D1"/>
    <w:rsid w:val="004F0839"/>
    <w:rsid w:val="004F340A"/>
    <w:rsid w:val="004F35F5"/>
    <w:rsid w:val="004F3C6C"/>
    <w:rsid w:val="004F42E8"/>
    <w:rsid w:val="004F45F4"/>
    <w:rsid w:val="004F49B9"/>
    <w:rsid w:val="004F667A"/>
    <w:rsid w:val="004F79D7"/>
    <w:rsid w:val="0050084F"/>
    <w:rsid w:val="00500C49"/>
    <w:rsid w:val="00500F5B"/>
    <w:rsid w:val="00502AAA"/>
    <w:rsid w:val="0050300E"/>
    <w:rsid w:val="00503ABE"/>
    <w:rsid w:val="00504282"/>
    <w:rsid w:val="00504684"/>
    <w:rsid w:val="00504F37"/>
    <w:rsid w:val="0050510D"/>
    <w:rsid w:val="0050559A"/>
    <w:rsid w:val="00506283"/>
    <w:rsid w:val="00506475"/>
    <w:rsid w:val="0050791D"/>
    <w:rsid w:val="00511565"/>
    <w:rsid w:val="00511CC3"/>
    <w:rsid w:val="0051204E"/>
    <w:rsid w:val="00512A27"/>
    <w:rsid w:val="00512F2F"/>
    <w:rsid w:val="0051306D"/>
    <w:rsid w:val="00513319"/>
    <w:rsid w:val="005140C1"/>
    <w:rsid w:val="00514A13"/>
    <w:rsid w:val="00514A9D"/>
    <w:rsid w:val="00514DCA"/>
    <w:rsid w:val="00514F5D"/>
    <w:rsid w:val="005152BF"/>
    <w:rsid w:val="0051606B"/>
    <w:rsid w:val="005160B7"/>
    <w:rsid w:val="005166AF"/>
    <w:rsid w:val="005176AB"/>
    <w:rsid w:val="00517D57"/>
    <w:rsid w:val="00517DAA"/>
    <w:rsid w:val="0052033D"/>
    <w:rsid w:val="00520621"/>
    <w:rsid w:val="0052100F"/>
    <w:rsid w:val="00521064"/>
    <w:rsid w:val="00521565"/>
    <w:rsid w:val="00521772"/>
    <w:rsid w:val="005219FA"/>
    <w:rsid w:val="00521D21"/>
    <w:rsid w:val="005224C2"/>
    <w:rsid w:val="0052254D"/>
    <w:rsid w:val="0052261F"/>
    <w:rsid w:val="00522764"/>
    <w:rsid w:val="005229E4"/>
    <w:rsid w:val="00522D8C"/>
    <w:rsid w:val="00523BB1"/>
    <w:rsid w:val="005245D4"/>
    <w:rsid w:val="00524AC1"/>
    <w:rsid w:val="00525A42"/>
    <w:rsid w:val="005261B9"/>
    <w:rsid w:val="005271E1"/>
    <w:rsid w:val="005279DA"/>
    <w:rsid w:val="005300D1"/>
    <w:rsid w:val="0053010C"/>
    <w:rsid w:val="00531E51"/>
    <w:rsid w:val="00531E5C"/>
    <w:rsid w:val="00531E73"/>
    <w:rsid w:val="00532283"/>
    <w:rsid w:val="00532FF2"/>
    <w:rsid w:val="00533801"/>
    <w:rsid w:val="005338DE"/>
    <w:rsid w:val="00533A0D"/>
    <w:rsid w:val="00534C31"/>
    <w:rsid w:val="0053538A"/>
    <w:rsid w:val="005355C8"/>
    <w:rsid w:val="00537481"/>
    <w:rsid w:val="00540986"/>
    <w:rsid w:val="005415B6"/>
    <w:rsid w:val="005419B2"/>
    <w:rsid w:val="00541E71"/>
    <w:rsid w:val="00542BC5"/>
    <w:rsid w:val="0054328B"/>
    <w:rsid w:val="00543754"/>
    <w:rsid w:val="00543DC0"/>
    <w:rsid w:val="00543E92"/>
    <w:rsid w:val="005443C7"/>
    <w:rsid w:val="00544977"/>
    <w:rsid w:val="00546C02"/>
    <w:rsid w:val="00546D29"/>
    <w:rsid w:val="005476A0"/>
    <w:rsid w:val="005509F6"/>
    <w:rsid w:val="00550A57"/>
    <w:rsid w:val="00550E81"/>
    <w:rsid w:val="005511A4"/>
    <w:rsid w:val="0055126B"/>
    <w:rsid w:val="005512E2"/>
    <w:rsid w:val="005519D2"/>
    <w:rsid w:val="005524FB"/>
    <w:rsid w:val="005528AF"/>
    <w:rsid w:val="00552A17"/>
    <w:rsid w:val="00552D41"/>
    <w:rsid w:val="0055327A"/>
    <w:rsid w:val="005537D4"/>
    <w:rsid w:val="00554170"/>
    <w:rsid w:val="00554C97"/>
    <w:rsid w:val="00555043"/>
    <w:rsid w:val="00555B26"/>
    <w:rsid w:val="005563C5"/>
    <w:rsid w:val="00556F53"/>
    <w:rsid w:val="005572F7"/>
    <w:rsid w:val="00557CC3"/>
    <w:rsid w:val="00557D01"/>
    <w:rsid w:val="00560795"/>
    <w:rsid w:val="00561649"/>
    <w:rsid w:val="0056274E"/>
    <w:rsid w:val="005628DE"/>
    <w:rsid w:val="00562CAE"/>
    <w:rsid w:val="0056379D"/>
    <w:rsid w:val="00563D2B"/>
    <w:rsid w:val="00564004"/>
    <w:rsid w:val="00564AFF"/>
    <w:rsid w:val="00564FA3"/>
    <w:rsid w:val="00565ADF"/>
    <w:rsid w:val="005668AC"/>
    <w:rsid w:val="00566E3F"/>
    <w:rsid w:val="005672C2"/>
    <w:rsid w:val="00571B19"/>
    <w:rsid w:val="00573000"/>
    <w:rsid w:val="00573EE3"/>
    <w:rsid w:val="00574196"/>
    <w:rsid w:val="005744B1"/>
    <w:rsid w:val="005749D4"/>
    <w:rsid w:val="00574BB1"/>
    <w:rsid w:val="005753ED"/>
    <w:rsid w:val="00575547"/>
    <w:rsid w:val="00575BF4"/>
    <w:rsid w:val="00576580"/>
    <w:rsid w:val="00576A5D"/>
    <w:rsid w:val="0057707E"/>
    <w:rsid w:val="00577442"/>
    <w:rsid w:val="00577A41"/>
    <w:rsid w:val="00577CEC"/>
    <w:rsid w:val="00580094"/>
    <w:rsid w:val="0058084F"/>
    <w:rsid w:val="00580985"/>
    <w:rsid w:val="005813A2"/>
    <w:rsid w:val="005814C6"/>
    <w:rsid w:val="00581F35"/>
    <w:rsid w:val="00583F00"/>
    <w:rsid w:val="0058491C"/>
    <w:rsid w:val="00584CE2"/>
    <w:rsid w:val="00585BA3"/>
    <w:rsid w:val="0058600D"/>
    <w:rsid w:val="00586833"/>
    <w:rsid w:val="00586AF5"/>
    <w:rsid w:val="00586E51"/>
    <w:rsid w:val="00587324"/>
    <w:rsid w:val="00587527"/>
    <w:rsid w:val="00587F9E"/>
    <w:rsid w:val="0059077D"/>
    <w:rsid w:val="005908E3"/>
    <w:rsid w:val="005917B8"/>
    <w:rsid w:val="005921B2"/>
    <w:rsid w:val="0059230F"/>
    <w:rsid w:val="00592ACB"/>
    <w:rsid w:val="005938E8"/>
    <w:rsid w:val="00595466"/>
    <w:rsid w:val="0059549A"/>
    <w:rsid w:val="00595A9C"/>
    <w:rsid w:val="005971D8"/>
    <w:rsid w:val="00597425"/>
    <w:rsid w:val="005A038A"/>
    <w:rsid w:val="005A04F6"/>
    <w:rsid w:val="005A0BBA"/>
    <w:rsid w:val="005A2218"/>
    <w:rsid w:val="005A23FB"/>
    <w:rsid w:val="005A27D8"/>
    <w:rsid w:val="005A2D10"/>
    <w:rsid w:val="005A2EDC"/>
    <w:rsid w:val="005A3068"/>
    <w:rsid w:val="005A36E4"/>
    <w:rsid w:val="005A4185"/>
    <w:rsid w:val="005A4791"/>
    <w:rsid w:val="005A4BC7"/>
    <w:rsid w:val="005A4F0C"/>
    <w:rsid w:val="005A583B"/>
    <w:rsid w:val="005A637B"/>
    <w:rsid w:val="005B080E"/>
    <w:rsid w:val="005B0AEA"/>
    <w:rsid w:val="005B1382"/>
    <w:rsid w:val="005B299B"/>
    <w:rsid w:val="005B3613"/>
    <w:rsid w:val="005B4311"/>
    <w:rsid w:val="005B49CD"/>
    <w:rsid w:val="005B56C8"/>
    <w:rsid w:val="005B6216"/>
    <w:rsid w:val="005B6F51"/>
    <w:rsid w:val="005B7A95"/>
    <w:rsid w:val="005B7BB7"/>
    <w:rsid w:val="005B7CAA"/>
    <w:rsid w:val="005C0EFC"/>
    <w:rsid w:val="005C1D2F"/>
    <w:rsid w:val="005C2241"/>
    <w:rsid w:val="005C3691"/>
    <w:rsid w:val="005C3E56"/>
    <w:rsid w:val="005C4CD1"/>
    <w:rsid w:val="005C5374"/>
    <w:rsid w:val="005C57FF"/>
    <w:rsid w:val="005C5D9C"/>
    <w:rsid w:val="005C60D3"/>
    <w:rsid w:val="005C7E67"/>
    <w:rsid w:val="005D03A3"/>
    <w:rsid w:val="005D0B1D"/>
    <w:rsid w:val="005D0C53"/>
    <w:rsid w:val="005D0F42"/>
    <w:rsid w:val="005D123A"/>
    <w:rsid w:val="005D2191"/>
    <w:rsid w:val="005D2BF9"/>
    <w:rsid w:val="005D2C1B"/>
    <w:rsid w:val="005D3627"/>
    <w:rsid w:val="005D3AE5"/>
    <w:rsid w:val="005D4080"/>
    <w:rsid w:val="005D4123"/>
    <w:rsid w:val="005D569E"/>
    <w:rsid w:val="005D624B"/>
    <w:rsid w:val="005E05B9"/>
    <w:rsid w:val="005E09D3"/>
    <w:rsid w:val="005E1685"/>
    <w:rsid w:val="005E23F9"/>
    <w:rsid w:val="005E2B0D"/>
    <w:rsid w:val="005E387B"/>
    <w:rsid w:val="005E3CE7"/>
    <w:rsid w:val="005E3EBE"/>
    <w:rsid w:val="005E4E5F"/>
    <w:rsid w:val="005E65CB"/>
    <w:rsid w:val="005E660A"/>
    <w:rsid w:val="005E68E6"/>
    <w:rsid w:val="005E700D"/>
    <w:rsid w:val="005E7F07"/>
    <w:rsid w:val="005F1850"/>
    <w:rsid w:val="005F1CD2"/>
    <w:rsid w:val="005F262E"/>
    <w:rsid w:val="005F2D08"/>
    <w:rsid w:val="005F3625"/>
    <w:rsid w:val="005F4174"/>
    <w:rsid w:val="005F432C"/>
    <w:rsid w:val="005F6A4A"/>
    <w:rsid w:val="005F71C8"/>
    <w:rsid w:val="005F783E"/>
    <w:rsid w:val="006001BB"/>
    <w:rsid w:val="00600529"/>
    <w:rsid w:val="00600559"/>
    <w:rsid w:val="006011FB"/>
    <w:rsid w:val="00601D4F"/>
    <w:rsid w:val="0060225D"/>
    <w:rsid w:val="00602A8F"/>
    <w:rsid w:val="00602EA9"/>
    <w:rsid w:val="00602F3D"/>
    <w:rsid w:val="00603128"/>
    <w:rsid w:val="00603726"/>
    <w:rsid w:val="00603DFC"/>
    <w:rsid w:val="00604051"/>
    <w:rsid w:val="00605553"/>
    <w:rsid w:val="00605C29"/>
    <w:rsid w:val="00605DAF"/>
    <w:rsid w:val="00605F19"/>
    <w:rsid w:val="0061064B"/>
    <w:rsid w:val="006109D2"/>
    <w:rsid w:val="00612015"/>
    <w:rsid w:val="00612A63"/>
    <w:rsid w:val="006138FF"/>
    <w:rsid w:val="00613F30"/>
    <w:rsid w:val="00613F94"/>
    <w:rsid w:val="0061411B"/>
    <w:rsid w:val="006147A4"/>
    <w:rsid w:val="00614D9D"/>
    <w:rsid w:val="00614F61"/>
    <w:rsid w:val="00614FE8"/>
    <w:rsid w:val="00615906"/>
    <w:rsid w:val="00616431"/>
    <w:rsid w:val="00617385"/>
    <w:rsid w:val="00617431"/>
    <w:rsid w:val="006203E0"/>
    <w:rsid w:val="00620522"/>
    <w:rsid w:val="00620EDC"/>
    <w:rsid w:val="00621079"/>
    <w:rsid w:val="0062137E"/>
    <w:rsid w:val="006228AF"/>
    <w:rsid w:val="00623051"/>
    <w:rsid w:val="00623170"/>
    <w:rsid w:val="00623340"/>
    <w:rsid w:val="006238ED"/>
    <w:rsid w:val="00624CC6"/>
    <w:rsid w:val="006251A5"/>
    <w:rsid w:val="00626023"/>
    <w:rsid w:val="006269F6"/>
    <w:rsid w:val="00626DC3"/>
    <w:rsid w:val="00627010"/>
    <w:rsid w:val="006277F6"/>
    <w:rsid w:val="00631342"/>
    <w:rsid w:val="00631846"/>
    <w:rsid w:val="0063192B"/>
    <w:rsid w:val="00631AB1"/>
    <w:rsid w:val="00632287"/>
    <w:rsid w:val="00633A1D"/>
    <w:rsid w:val="00633D11"/>
    <w:rsid w:val="00634EF4"/>
    <w:rsid w:val="006358CD"/>
    <w:rsid w:val="00635906"/>
    <w:rsid w:val="00636798"/>
    <w:rsid w:val="00637141"/>
    <w:rsid w:val="00637166"/>
    <w:rsid w:val="00637726"/>
    <w:rsid w:val="0063795A"/>
    <w:rsid w:val="00640FC6"/>
    <w:rsid w:val="00641879"/>
    <w:rsid w:val="00642515"/>
    <w:rsid w:val="00642A10"/>
    <w:rsid w:val="00642D45"/>
    <w:rsid w:val="0064357C"/>
    <w:rsid w:val="00643D36"/>
    <w:rsid w:val="00645F8A"/>
    <w:rsid w:val="00646554"/>
    <w:rsid w:val="006466B9"/>
    <w:rsid w:val="00647AE7"/>
    <w:rsid w:val="00647EC9"/>
    <w:rsid w:val="00650A8E"/>
    <w:rsid w:val="00650CDB"/>
    <w:rsid w:val="00650D34"/>
    <w:rsid w:val="006511C1"/>
    <w:rsid w:val="00651407"/>
    <w:rsid w:val="00652084"/>
    <w:rsid w:val="00652BF7"/>
    <w:rsid w:val="006531E0"/>
    <w:rsid w:val="00653349"/>
    <w:rsid w:val="00653DF6"/>
    <w:rsid w:val="006543BD"/>
    <w:rsid w:val="00655253"/>
    <w:rsid w:val="00655311"/>
    <w:rsid w:val="006575FF"/>
    <w:rsid w:val="006601C4"/>
    <w:rsid w:val="00660811"/>
    <w:rsid w:val="006608C4"/>
    <w:rsid w:val="00661543"/>
    <w:rsid w:val="006616B9"/>
    <w:rsid w:val="00662128"/>
    <w:rsid w:val="00663093"/>
    <w:rsid w:val="006633C2"/>
    <w:rsid w:val="00663ACB"/>
    <w:rsid w:val="00664156"/>
    <w:rsid w:val="006641E9"/>
    <w:rsid w:val="006642C4"/>
    <w:rsid w:val="00664444"/>
    <w:rsid w:val="0066501D"/>
    <w:rsid w:val="006659E2"/>
    <w:rsid w:val="00665BC1"/>
    <w:rsid w:val="00666066"/>
    <w:rsid w:val="0066682D"/>
    <w:rsid w:val="00672C86"/>
    <w:rsid w:val="00672E04"/>
    <w:rsid w:val="00672E4A"/>
    <w:rsid w:val="00672F79"/>
    <w:rsid w:val="0067305D"/>
    <w:rsid w:val="006732A4"/>
    <w:rsid w:val="006732B7"/>
    <w:rsid w:val="006733BD"/>
    <w:rsid w:val="006736AE"/>
    <w:rsid w:val="00674597"/>
    <w:rsid w:val="0067585D"/>
    <w:rsid w:val="00675924"/>
    <w:rsid w:val="00675BA3"/>
    <w:rsid w:val="0067610B"/>
    <w:rsid w:val="00676B3C"/>
    <w:rsid w:val="006771EA"/>
    <w:rsid w:val="00677216"/>
    <w:rsid w:val="006777CB"/>
    <w:rsid w:val="00680969"/>
    <w:rsid w:val="00680B28"/>
    <w:rsid w:val="006814DC"/>
    <w:rsid w:val="00681987"/>
    <w:rsid w:val="00681B8A"/>
    <w:rsid w:val="00681FAA"/>
    <w:rsid w:val="00682149"/>
    <w:rsid w:val="006823EF"/>
    <w:rsid w:val="006836A2"/>
    <w:rsid w:val="00684007"/>
    <w:rsid w:val="00684447"/>
    <w:rsid w:val="00684A95"/>
    <w:rsid w:val="00684B2A"/>
    <w:rsid w:val="00684D2B"/>
    <w:rsid w:val="00685555"/>
    <w:rsid w:val="0068586B"/>
    <w:rsid w:val="00685FA6"/>
    <w:rsid w:val="0068606C"/>
    <w:rsid w:val="00686509"/>
    <w:rsid w:val="0068708B"/>
    <w:rsid w:val="00690E6C"/>
    <w:rsid w:val="006910C6"/>
    <w:rsid w:val="00691754"/>
    <w:rsid w:val="006922DA"/>
    <w:rsid w:val="0069265B"/>
    <w:rsid w:val="00692A87"/>
    <w:rsid w:val="00692B73"/>
    <w:rsid w:val="00692C1F"/>
    <w:rsid w:val="006942FA"/>
    <w:rsid w:val="00694343"/>
    <w:rsid w:val="00694D8F"/>
    <w:rsid w:val="00695372"/>
    <w:rsid w:val="0069565F"/>
    <w:rsid w:val="00696457"/>
    <w:rsid w:val="006975C0"/>
    <w:rsid w:val="006976D9"/>
    <w:rsid w:val="00697B0D"/>
    <w:rsid w:val="00697E1A"/>
    <w:rsid w:val="006A0128"/>
    <w:rsid w:val="006A01B5"/>
    <w:rsid w:val="006A0883"/>
    <w:rsid w:val="006A0B19"/>
    <w:rsid w:val="006A0C11"/>
    <w:rsid w:val="006A1545"/>
    <w:rsid w:val="006A2B45"/>
    <w:rsid w:val="006A2E76"/>
    <w:rsid w:val="006A3893"/>
    <w:rsid w:val="006A3C18"/>
    <w:rsid w:val="006A3CE0"/>
    <w:rsid w:val="006A41D6"/>
    <w:rsid w:val="006A4639"/>
    <w:rsid w:val="006A50FB"/>
    <w:rsid w:val="006A528B"/>
    <w:rsid w:val="006A6302"/>
    <w:rsid w:val="006A6B2A"/>
    <w:rsid w:val="006A6CF8"/>
    <w:rsid w:val="006A7216"/>
    <w:rsid w:val="006A738E"/>
    <w:rsid w:val="006A7E1A"/>
    <w:rsid w:val="006B0241"/>
    <w:rsid w:val="006B1281"/>
    <w:rsid w:val="006B206C"/>
    <w:rsid w:val="006B2670"/>
    <w:rsid w:val="006B2DE1"/>
    <w:rsid w:val="006B334E"/>
    <w:rsid w:val="006B4478"/>
    <w:rsid w:val="006B447D"/>
    <w:rsid w:val="006B451C"/>
    <w:rsid w:val="006B4634"/>
    <w:rsid w:val="006B4712"/>
    <w:rsid w:val="006B4963"/>
    <w:rsid w:val="006B54A8"/>
    <w:rsid w:val="006B626C"/>
    <w:rsid w:val="006B65F0"/>
    <w:rsid w:val="006B7BB7"/>
    <w:rsid w:val="006C08B9"/>
    <w:rsid w:val="006C0E46"/>
    <w:rsid w:val="006C0FCE"/>
    <w:rsid w:val="006C1002"/>
    <w:rsid w:val="006C1845"/>
    <w:rsid w:val="006C189C"/>
    <w:rsid w:val="006C1AC7"/>
    <w:rsid w:val="006C221F"/>
    <w:rsid w:val="006C2394"/>
    <w:rsid w:val="006C24EC"/>
    <w:rsid w:val="006C27B5"/>
    <w:rsid w:val="006C2A43"/>
    <w:rsid w:val="006C2E29"/>
    <w:rsid w:val="006C31E8"/>
    <w:rsid w:val="006C3E8A"/>
    <w:rsid w:val="006C413E"/>
    <w:rsid w:val="006C4D1E"/>
    <w:rsid w:val="006C4DE2"/>
    <w:rsid w:val="006C63B3"/>
    <w:rsid w:val="006C63CB"/>
    <w:rsid w:val="006C7FD0"/>
    <w:rsid w:val="006D143A"/>
    <w:rsid w:val="006D24AE"/>
    <w:rsid w:val="006D29C6"/>
    <w:rsid w:val="006D4A37"/>
    <w:rsid w:val="006D58D5"/>
    <w:rsid w:val="006D59B4"/>
    <w:rsid w:val="006D648E"/>
    <w:rsid w:val="006D6561"/>
    <w:rsid w:val="006D6574"/>
    <w:rsid w:val="006D6877"/>
    <w:rsid w:val="006D68B2"/>
    <w:rsid w:val="006D6AE7"/>
    <w:rsid w:val="006E03EE"/>
    <w:rsid w:val="006E091B"/>
    <w:rsid w:val="006E0C79"/>
    <w:rsid w:val="006E1725"/>
    <w:rsid w:val="006E223E"/>
    <w:rsid w:val="006E22F2"/>
    <w:rsid w:val="006E2349"/>
    <w:rsid w:val="006E3091"/>
    <w:rsid w:val="006E329E"/>
    <w:rsid w:val="006E4694"/>
    <w:rsid w:val="006E4ABE"/>
    <w:rsid w:val="006E4C3D"/>
    <w:rsid w:val="006E4CA9"/>
    <w:rsid w:val="006E5184"/>
    <w:rsid w:val="006E5712"/>
    <w:rsid w:val="006E58FB"/>
    <w:rsid w:val="006E60E9"/>
    <w:rsid w:val="006E7EAB"/>
    <w:rsid w:val="006F0436"/>
    <w:rsid w:val="006F097C"/>
    <w:rsid w:val="006F1586"/>
    <w:rsid w:val="006F2121"/>
    <w:rsid w:val="006F264B"/>
    <w:rsid w:val="006F276D"/>
    <w:rsid w:val="006F2CF3"/>
    <w:rsid w:val="006F320F"/>
    <w:rsid w:val="006F34D1"/>
    <w:rsid w:val="006F423D"/>
    <w:rsid w:val="006F4B81"/>
    <w:rsid w:val="006F50BF"/>
    <w:rsid w:val="006F5C8C"/>
    <w:rsid w:val="006F7130"/>
    <w:rsid w:val="006F7132"/>
    <w:rsid w:val="006F77A6"/>
    <w:rsid w:val="006F7FEB"/>
    <w:rsid w:val="007006F9"/>
    <w:rsid w:val="00700A24"/>
    <w:rsid w:val="00700B3F"/>
    <w:rsid w:val="00701099"/>
    <w:rsid w:val="007010EB"/>
    <w:rsid w:val="00701500"/>
    <w:rsid w:val="00702491"/>
    <w:rsid w:val="007027FA"/>
    <w:rsid w:val="007028E8"/>
    <w:rsid w:val="00702C9D"/>
    <w:rsid w:val="00702FFB"/>
    <w:rsid w:val="00703081"/>
    <w:rsid w:val="007030A1"/>
    <w:rsid w:val="00703A92"/>
    <w:rsid w:val="007049A4"/>
    <w:rsid w:val="00704E1C"/>
    <w:rsid w:val="00705264"/>
    <w:rsid w:val="007061CD"/>
    <w:rsid w:val="00707637"/>
    <w:rsid w:val="0071037C"/>
    <w:rsid w:val="0071056A"/>
    <w:rsid w:val="00710663"/>
    <w:rsid w:val="0071076F"/>
    <w:rsid w:val="00710B43"/>
    <w:rsid w:val="00710ED7"/>
    <w:rsid w:val="00711E65"/>
    <w:rsid w:val="00712377"/>
    <w:rsid w:val="007128E1"/>
    <w:rsid w:val="0071328F"/>
    <w:rsid w:val="00713C2C"/>
    <w:rsid w:val="007142D4"/>
    <w:rsid w:val="00714685"/>
    <w:rsid w:val="00714842"/>
    <w:rsid w:val="00714FB2"/>
    <w:rsid w:val="00714FCD"/>
    <w:rsid w:val="00715B10"/>
    <w:rsid w:val="00715E13"/>
    <w:rsid w:val="00715E71"/>
    <w:rsid w:val="007161C1"/>
    <w:rsid w:val="00716993"/>
    <w:rsid w:val="00716B6F"/>
    <w:rsid w:val="0071770A"/>
    <w:rsid w:val="00717E83"/>
    <w:rsid w:val="00720585"/>
    <w:rsid w:val="00720FF1"/>
    <w:rsid w:val="0072115F"/>
    <w:rsid w:val="0072224E"/>
    <w:rsid w:val="0072247A"/>
    <w:rsid w:val="0072275E"/>
    <w:rsid w:val="00722DB2"/>
    <w:rsid w:val="00723873"/>
    <w:rsid w:val="00723B09"/>
    <w:rsid w:val="007244D2"/>
    <w:rsid w:val="00724938"/>
    <w:rsid w:val="00724BAE"/>
    <w:rsid w:val="00725206"/>
    <w:rsid w:val="007252F8"/>
    <w:rsid w:val="0072535B"/>
    <w:rsid w:val="00725C7D"/>
    <w:rsid w:val="00725F3C"/>
    <w:rsid w:val="0072640C"/>
    <w:rsid w:val="0072690E"/>
    <w:rsid w:val="00726AB8"/>
    <w:rsid w:val="00726F30"/>
    <w:rsid w:val="007273BB"/>
    <w:rsid w:val="00727680"/>
    <w:rsid w:val="007276D7"/>
    <w:rsid w:val="00727B71"/>
    <w:rsid w:val="0073018D"/>
    <w:rsid w:val="00730B71"/>
    <w:rsid w:val="00730C88"/>
    <w:rsid w:val="00730EAC"/>
    <w:rsid w:val="007320F3"/>
    <w:rsid w:val="00732670"/>
    <w:rsid w:val="00732931"/>
    <w:rsid w:val="00732A41"/>
    <w:rsid w:val="00732E6C"/>
    <w:rsid w:val="0073318B"/>
    <w:rsid w:val="007337D9"/>
    <w:rsid w:val="00734137"/>
    <w:rsid w:val="007347EA"/>
    <w:rsid w:val="00735E1A"/>
    <w:rsid w:val="00736033"/>
    <w:rsid w:val="007373A0"/>
    <w:rsid w:val="007375C5"/>
    <w:rsid w:val="007376B2"/>
    <w:rsid w:val="007402F2"/>
    <w:rsid w:val="007404D3"/>
    <w:rsid w:val="00741118"/>
    <w:rsid w:val="00742272"/>
    <w:rsid w:val="00742718"/>
    <w:rsid w:val="00744BB4"/>
    <w:rsid w:val="00744E2A"/>
    <w:rsid w:val="00744FC8"/>
    <w:rsid w:val="00745C03"/>
    <w:rsid w:val="00745ECF"/>
    <w:rsid w:val="0074623A"/>
    <w:rsid w:val="00746D90"/>
    <w:rsid w:val="00746E48"/>
    <w:rsid w:val="0074719D"/>
    <w:rsid w:val="00752D0C"/>
    <w:rsid w:val="007531BE"/>
    <w:rsid w:val="00753559"/>
    <w:rsid w:val="00753CDD"/>
    <w:rsid w:val="007542B1"/>
    <w:rsid w:val="0075501D"/>
    <w:rsid w:val="007576EE"/>
    <w:rsid w:val="007579AA"/>
    <w:rsid w:val="00757C2F"/>
    <w:rsid w:val="00760F24"/>
    <w:rsid w:val="00761E80"/>
    <w:rsid w:val="00762A31"/>
    <w:rsid w:val="007631EA"/>
    <w:rsid w:val="00763365"/>
    <w:rsid w:val="007638F9"/>
    <w:rsid w:val="00763C20"/>
    <w:rsid w:val="00763F8D"/>
    <w:rsid w:val="00764AE6"/>
    <w:rsid w:val="00764BD2"/>
    <w:rsid w:val="00764C20"/>
    <w:rsid w:val="00765885"/>
    <w:rsid w:val="0076720A"/>
    <w:rsid w:val="007677C1"/>
    <w:rsid w:val="0077032F"/>
    <w:rsid w:val="00770A54"/>
    <w:rsid w:val="00770BC0"/>
    <w:rsid w:val="00770C37"/>
    <w:rsid w:val="00770FCE"/>
    <w:rsid w:val="00771581"/>
    <w:rsid w:val="00771F5D"/>
    <w:rsid w:val="0077255D"/>
    <w:rsid w:val="00772A80"/>
    <w:rsid w:val="00772DA9"/>
    <w:rsid w:val="00773AAF"/>
    <w:rsid w:val="00773EED"/>
    <w:rsid w:val="00773F0C"/>
    <w:rsid w:val="007744C9"/>
    <w:rsid w:val="00774A46"/>
    <w:rsid w:val="00774D47"/>
    <w:rsid w:val="00776271"/>
    <w:rsid w:val="00776C43"/>
    <w:rsid w:val="00777314"/>
    <w:rsid w:val="00777B0F"/>
    <w:rsid w:val="00780605"/>
    <w:rsid w:val="00780AE9"/>
    <w:rsid w:val="00780DBD"/>
    <w:rsid w:val="007817AD"/>
    <w:rsid w:val="00782AC3"/>
    <w:rsid w:val="00784D26"/>
    <w:rsid w:val="007855AD"/>
    <w:rsid w:val="007865F5"/>
    <w:rsid w:val="00786A59"/>
    <w:rsid w:val="00786B45"/>
    <w:rsid w:val="007878DF"/>
    <w:rsid w:val="00787C99"/>
    <w:rsid w:val="00790294"/>
    <w:rsid w:val="00790A02"/>
    <w:rsid w:val="007914BD"/>
    <w:rsid w:val="00791A41"/>
    <w:rsid w:val="00791AAE"/>
    <w:rsid w:val="00792226"/>
    <w:rsid w:val="00792A11"/>
    <w:rsid w:val="00792C33"/>
    <w:rsid w:val="00793273"/>
    <w:rsid w:val="00793A77"/>
    <w:rsid w:val="00793CC6"/>
    <w:rsid w:val="00793F07"/>
    <w:rsid w:val="007940BD"/>
    <w:rsid w:val="007947CC"/>
    <w:rsid w:val="00794938"/>
    <w:rsid w:val="00794F28"/>
    <w:rsid w:val="00795C47"/>
    <w:rsid w:val="0079600E"/>
    <w:rsid w:val="00796590"/>
    <w:rsid w:val="00796D9B"/>
    <w:rsid w:val="00796EB0"/>
    <w:rsid w:val="00796ED8"/>
    <w:rsid w:val="00797C96"/>
    <w:rsid w:val="007A2145"/>
    <w:rsid w:val="007A3ED7"/>
    <w:rsid w:val="007A4011"/>
    <w:rsid w:val="007A4543"/>
    <w:rsid w:val="007A5735"/>
    <w:rsid w:val="007A6109"/>
    <w:rsid w:val="007A749E"/>
    <w:rsid w:val="007A74BC"/>
    <w:rsid w:val="007A7B21"/>
    <w:rsid w:val="007A7CAC"/>
    <w:rsid w:val="007B01D8"/>
    <w:rsid w:val="007B02C8"/>
    <w:rsid w:val="007B04AB"/>
    <w:rsid w:val="007B071A"/>
    <w:rsid w:val="007B0A24"/>
    <w:rsid w:val="007B0F3E"/>
    <w:rsid w:val="007B1B53"/>
    <w:rsid w:val="007B2059"/>
    <w:rsid w:val="007B415D"/>
    <w:rsid w:val="007B4D8A"/>
    <w:rsid w:val="007B51A6"/>
    <w:rsid w:val="007B527A"/>
    <w:rsid w:val="007B6B02"/>
    <w:rsid w:val="007B7CBB"/>
    <w:rsid w:val="007B7DE8"/>
    <w:rsid w:val="007C02AC"/>
    <w:rsid w:val="007C08D6"/>
    <w:rsid w:val="007C0924"/>
    <w:rsid w:val="007C1951"/>
    <w:rsid w:val="007C2119"/>
    <w:rsid w:val="007C2696"/>
    <w:rsid w:val="007C37AD"/>
    <w:rsid w:val="007C4652"/>
    <w:rsid w:val="007C5415"/>
    <w:rsid w:val="007C5559"/>
    <w:rsid w:val="007C563E"/>
    <w:rsid w:val="007C5ED6"/>
    <w:rsid w:val="007C6B73"/>
    <w:rsid w:val="007C7214"/>
    <w:rsid w:val="007C7F8B"/>
    <w:rsid w:val="007D05AD"/>
    <w:rsid w:val="007D108E"/>
    <w:rsid w:val="007D15E7"/>
    <w:rsid w:val="007D1DB9"/>
    <w:rsid w:val="007D28BC"/>
    <w:rsid w:val="007D2915"/>
    <w:rsid w:val="007D344D"/>
    <w:rsid w:val="007D5209"/>
    <w:rsid w:val="007D557C"/>
    <w:rsid w:val="007D58D7"/>
    <w:rsid w:val="007D5E74"/>
    <w:rsid w:val="007D6475"/>
    <w:rsid w:val="007D7286"/>
    <w:rsid w:val="007D735D"/>
    <w:rsid w:val="007D7403"/>
    <w:rsid w:val="007E0D25"/>
    <w:rsid w:val="007E10F9"/>
    <w:rsid w:val="007E163C"/>
    <w:rsid w:val="007E212E"/>
    <w:rsid w:val="007E23F4"/>
    <w:rsid w:val="007E2444"/>
    <w:rsid w:val="007E26A1"/>
    <w:rsid w:val="007E2A81"/>
    <w:rsid w:val="007E2F8F"/>
    <w:rsid w:val="007E42F9"/>
    <w:rsid w:val="007E4E84"/>
    <w:rsid w:val="007E50A1"/>
    <w:rsid w:val="007E5365"/>
    <w:rsid w:val="007E555D"/>
    <w:rsid w:val="007E6562"/>
    <w:rsid w:val="007E6978"/>
    <w:rsid w:val="007E6B03"/>
    <w:rsid w:val="007E79C7"/>
    <w:rsid w:val="007E7A28"/>
    <w:rsid w:val="007F1084"/>
    <w:rsid w:val="007F10FB"/>
    <w:rsid w:val="007F1253"/>
    <w:rsid w:val="007F168A"/>
    <w:rsid w:val="007F1FDF"/>
    <w:rsid w:val="007F20F1"/>
    <w:rsid w:val="007F255A"/>
    <w:rsid w:val="007F2D0F"/>
    <w:rsid w:val="007F2D45"/>
    <w:rsid w:val="007F300C"/>
    <w:rsid w:val="007F304E"/>
    <w:rsid w:val="007F32F4"/>
    <w:rsid w:val="007F3B6A"/>
    <w:rsid w:val="007F407B"/>
    <w:rsid w:val="007F4511"/>
    <w:rsid w:val="007F5F24"/>
    <w:rsid w:val="007F610F"/>
    <w:rsid w:val="007F66DE"/>
    <w:rsid w:val="007F6995"/>
    <w:rsid w:val="007F726C"/>
    <w:rsid w:val="007F7B40"/>
    <w:rsid w:val="0080025E"/>
    <w:rsid w:val="008003F2"/>
    <w:rsid w:val="00800B44"/>
    <w:rsid w:val="00800B97"/>
    <w:rsid w:val="00801C8D"/>
    <w:rsid w:val="00802B6B"/>
    <w:rsid w:val="00804635"/>
    <w:rsid w:val="00804BB9"/>
    <w:rsid w:val="0080531B"/>
    <w:rsid w:val="00805C32"/>
    <w:rsid w:val="008064FB"/>
    <w:rsid w:val="008074FC"/>
    <w:rsid w:val="00807523"/>
    <w:rsid w:val="008078B5"/>
    <w:rsid w:val="00807A8D"/>
    <w:rsid w:val="0081067E"/>
    <w:rsid w:val="0081090F"/>
    <w:rsid w:val="00810F67"/>
    <w:rsid w:val="00811911"/>
    <w:rsid w:val="00811C68"/>
    <w:rsid w:val="008124EA"/>
    <w:rsid w:val="00812DB0"/>
    <w:rsid w:val="00812E9C"/>
    <w:rsid w:val="00813DAD"/>
    <w:rsid w:val="00814330"/>
    <w:rsid w:val="00814739"/>
    <w:rsid w:val="0081473A"/>
    <w:rsid w:val="008148D7"/>
    <w:rsid w:val="00814EAB"/>
    <w:rsid w:val="008153D3"/>
    <w:rsid w:val="00817213"/>
    <w:rsid w:val="00817D40"/>
    <w:rsid w:val="0082061C"/>
    <w:rsid w:val="00820FF8"/>
    <w:rsid w:val="00821BA7"/>
    <w:rsid w:val="00821CBC"/>
    <w:rsid w:val="0082238F"/>
    <w:rsid w:val="00824032"/>
    <w:rsid w:val="00824BA5"/>
    <w:rsid w:val="00825247"/>
    <w:rsid w:val="00825321"/>
    <w:rsid w:val="00825DF1"/>
    <w:rsid w:val="008266EA"/>
    <w:rsid w:val="00826CC7"/>
    <w:rsid w:val="00827738"/>
    <w:rsid w:val="00827FC9"/>
    <w:rsid w:val="0083043F"/>
    <w:rsid w:val="00830A54"/>
    <w:rsid w:val="00831199"/>
    <w:rsid w:val="00831545"/>
    <w:rsid w:val="008315A7"/>
    <w:rsid w:val="0083246E"/>
    <w:rsid w:val="00832D3E"/>
    <w:rsid w:val="0083410C"/>
    <w:rsid w:val="00834C3C"/>
    <w:rsid w:val="0083608D"/>
    <w:rsid w:val="008364B1"/>
    <w:rsid w:val="0083670D"/>
    <w:rsid w:val="00840C42"/>
    <w:rsid w:val="00840DA9"/>
    <w:rsid w:val="00841357"/>
    <w:rsid w:val="00841D3B"/>
    <w:rsid w:val="00842019"/>
    <w:rsid w:val="00843E80"/>
    <w:rsid w:val="00844024"/>
    <w:rsid w:val="008444A1"/>
    <w:rsid w:val="0084556B"/>
    <w:rsid w:val="0084673F"/>
    <w:rsid w:val="00846A16"/>
    <w:rsid w:val="00846BA3"/>
    <w:rsid w:val="00847A8C"/>
    <w:rsid w:val="00847D4C"/>
    <w:rsid w:val="00847EB6"/>
    <w:rsid w:val="00851F9C"/>
    <w:rsid w:val="00852282"/>
    <w:rsid w:val="008533FD"/>
    <w:rsid w:val="00853A62"/>
    <w:rsid w:val="00853BE1"/>
    <w:rsid w:val="00853DC7"/>
    <w:rsid w:val="00853E6A"/>
    <w:rsid w:val="00853F9A"/>
    <w:rsid w:val="00854A47"/>
    <w:rsid w:val="00854B3D"/>
    <w:rsid w:val="00854C55"/>
    <w:rsid w:val="00855DA6"/>
    <w:rsid w:val="00855EF3"/>
    <w:rsid w:val="00857873"/>
    <w:rsid w:val="008578CB"/>
    <w:rsid w:val="00857B19"/>
    <w:rsid w:val="00857DBC"/>
    <w:rsid w:val="00857E31"/>
    <w:rsid w:val="008600C6"/>
    <w:rsid w:val="0086189A"/>
    <w:rsid w:val="00861A79"/>
    <w:rsid w:val="00862089"/>
    <w:rsid w:val="0086241F"/>
    <w:rsid w:val="00862A3B"/>
    <w:rsid w:val="00862B33"/>
    <w:rsid w:val="00862D66"/>
    <w:rsid w:val="0086369D"/>
    <w:rsid w:val="00863738"/>
    <w:rsid w:val="00863C3C"/>
    <w:rsid w:val="00864EEC"/>
    <w:rsid w:val="00865934"/>
    <w:rsid w:val="00865DC6"/>
    <w:rsid w:val="00866593"/>
    <w:rsid w:val="00867417"/>
    <w:rsid w:val="00867794"/>
    <w:rsid w:val="008702F7"/>
    <w:rsid w:val="0087071D"/>
    <w:rsid w:val="00871165"/>
    <w:rsid w:val="008715E7"/>
    <w:rsid w:val="008733F3"/>
    <w:rsid w:val="00874723"/>
    <w:rsid w:val="00875153"/>
    <w:rsid w:val="0087611F"/>
    <w:rsid w:val="00876248"/>
    <w:rsid w:val="0087652F"/>
    <w:rsid w:val="00876549"/>
    <w:rsid w:val="008766AB"/>
    <w:rsid w:val="00876776"/>
    <w:rsid w:val="0087750E"/>
    <w:rsid w:val="008776DB"/>
    <w:rsid w:val="008777BE"/>
    <w:rsid w:val="0088040D"/>
    <w:rsid w:val="00881E77"/>
    <w:rsid w:val="00883800"/>
    <w:rsid w:val="00883A26"/>
    <w:rsid w:val="00883C24"/>
    <w:rsid w:val="00883E60"/>
    <w:rsid w:val="008842DE"/>
    <w:rsid w:val="0088464C"/>
    <w:rsid w:val="0088485C"/>
    <w:rsid w:val="0088497D"/>
    <w:rsid w:val="00884F05"/>
    <w:rsid w:val="00885918"/>
    <w:rsid w:val="00885A93"/>
    <w:rsid w:val="00885C64"/>
    <w:rsid w:val="008865E7"/>
    <w:rsid w:val="008876AB"/>
    <w:rsid w:val="00890809"/>
    <w:rsid w:val="0089085D"/>
    <w:rsid w:val="00890E5C"/>
    <w:rsid w:val="00892451"/>
    <w:rsid w:val="008928F1"/>
    <w:rsid w:val="00892B63"/>
    <w:rsid w:val="00893385"/>
    <w:rsid w:val="0089437A"/>
    <w:rsid w:val="00895387"/>
    <w:rsid w:val="00895734"/>
    <w:rsid w:val="00895984"/>
    <w:rsid w:val="00895AE4"/>
    <w:rsid w:val="00895BE1"/>
    <w:rsid w:val="0089627A"/>
    <w:rsid w:val="00896FC9"/>
    <w:rsid w:val="008A084B"/>
    <w:rsid w:val="008A0B17"/>
    <w:rsid w:val="008A15D5"/>
    <w:rsid w:val="008A1650"/>
    <w:rsid w:val="008A171A"/>
    <w:rsid w:val="008A252A"/>
    <w:rsid w:val="008A2D5B"/>
    <w:rsid w:val="008A5072"/>
    <w:rsid w:val="008A5734"/>
    <w:rsid w:val="008A5C45"/>
    <w:rsid w:val="008A6112"/>
    <w:rsid w:val="008A63C9"/>
    <w:rsid w:val="008A644B"/>
    <w:rsid w:val="008A6B61"/>
    <w:rsid w:val="008A6F1C"/>
    <w:rsid w:val="008A7133"/>
    <w:rsid w:val="008B02A7"/>
    <w:rsid w:val="008B0A19"/>
    <w:rsid w:val="008B1181"/>
    <w:rsid w:val="008B12F7"/>
    <w:rsid w:val="008B182E"/>
    <w:rsid w:val="008B2016"/>
    <w:rsid w:val="008B39DF"/>
    <w:rsid w:val="008B3A11"/>
    <w:rsid w:val="008B3B89"/>
    <w:rsid w:val="008B4963"/>
    <w:rsid w:val="008B5307"/>
    <w:rsid w:val="008B551F"/>
    <w:rsid w:val="008B673A"/>
    <w:rsid w:val="008B6979"/>
    <w:rsid w:val="008B6A9B"/>
    <w:rsid w:val="008B7C15"/>
    <w:rsid w:val="008C023F"/>
    <w:rsid w:val="008C0DBB"/>
    <w:rsid w:val="008C1131"/>
    <w:rsid w:val="008C1A6D"/>
    <w:rsid w:val="008C1B59"/>
    <w:rsid w:val="008C1B97"/>
    <w:rsid w:val="008C366B"/>
    <w:rsid w:val="008C37B8"/>
    <w:rsid w:val="008C4978"/>
    <w:rsid w:val="008C4EEF"/>
    <w:rsid w:val="008C5327"/>
    <w:rsid w:val="008C5CFD"/>
    <w:rsid w:val="008C6125"/>
    <w:rsid w:val="008C78A0"/>
    <w:rsid w:val="008C79E8"/>
    <w:rsid w:val="008C7A64"/>
    <w:rsid w:val="008C7E8A"/>
    <w:rsid w:val="008C7EED"/>
    <w:rsid w:val="008D0FD5"/>
    <w:rsid w:val="008D1310"/>
    <w:rsid w:val="008D1B09"/>
    <w:rsid w:val="008D250A"/>
    <w:rsid w:val="008D30DD"/>
    <w:rsid w:val="008D4501"/>
    <w:rsid w:val="008D4A87"/>
    <w:rsid w:val="008D579F"/>
    <w:rsid w:val="008D57B5"/>
    <w:rsid w:val="008D57B6"/>
    <w:rsid w:val="008D626D"/>
    <w:rsid w:val="008D758B"/>
    <w:rsid w:val="008D76D5"/>
    <w:rsid w:val="008E1E5E"/>
    <w:rsid w:val="008E2013"/>
    <w:rsid w:val="008E248B"/>
    <w:rsid w:val="008E30A8"/>
    <w:rsid w:val="008E3DE5"/>
    <w:rsid w:val="008E465B"/>
    <w:rsid w:val="008E477F"/>
    <w:rsid w:val="008E5166"/>
    <w:rsid w:val="008E5371"/>
    <w:rsid w:val="008E53A8"/>
    <w:rsid w:val="008E55FD"/>
    <w:rsid w:val="008E5F13"/>
    <w:rsid w:val="008E6855"/>
    <w:rsid w:val="008E6C67"/>
    <w:rsid w:val="008E752F"/>
    <w:rsid w:val="008E787E"/>
    <w:rsid w:val="008F0273"/>
    <w:rsid w:val="008F0452"/>
    <w:rsid w:val="008F1040"/>
    <w:rsid w:val="008F1CA4"/>
    <w:rsid w:val="008F1FFE"/>
    <w:rsid w:val="008F2260"/>
    <w:rsid w:val="008F22CC"/>
    <w:rsid w:val="008F2872"/>
    <w:rsid w:val="008F2A7E"/>
    <w:rsid w:val="008F39F2"/>
    <w:rsid w:val="008F415F"/>
    <w:rsid w:val="008F43D8"/>
    <w:rsid w:val="008F47B0"/>
    <w:rsid w:val="008F4EE0"/>
    <w:rsid w:val="008F5720"/>
    <w:rsid w:val="008F5C8F"/>
    <w:rsid w:val="008F5ED2"/>
    <w:rsid w:val="008F6406"/>
    <w:rsid w:val="008F650F"/>
    <w:rsid w:val="008F71BC"/>
    <w:rsid w:val="008F7478"/>
    <w:rsid w:val="008F769D"/>
    <w:rsid w:val="008F7881"/>
    <w:rsid w:val="008F7A7C"/>
    <w:rsid w:val="00900374"/>
    <w:rsid w:val="0090043B"/>
    <w:rsid w:val="00901826"/>
    <w:rsid w:val="00901DA0"/>
    <w:rsid w:val="009024A6"/>
    <w:rsid w:val="009032D1"/>
    <w:rsid w:val="0090373F"/>
    <w:rsid w:val="00903A62"/>
    <w:rsid w:val="009047D6"/>
    <w:rsid w:val="009057F3"/>
    <w:rsid w:val="00905B5A"/>
    <w:rsid w:val="00905D49"/>
    <w:rsid w:val="00905F38"/>
    <w:rsid w:val="00907602"/>
    <w:rsid w:val="00907E13"/>
    <w:rsid w:val="009100D8"/>
    <w:rsid w:val="0091082B"/>
    <w:rsid w:val="00910EFA"/>
    <w:rsid w:val="00912140"/>
    <w:rsid w:val="009131ED"/>
    <w:rsid w:val="00913298"/>
    <w:rsid w:val="009140B2"/>
    <w:rsid w:val="009151BB"/>
    <w:rsid w:val="00915692"/>
    <w:rsid w:val="009157F2"/>
    <w:rsid w:val="00915AE2"/>
    <w:rsid w:val="00915AFD"/>
    <w:rsid w:val="0091621E"/>
    <w:rsid w:val="00916C06"/>
    <w:rsid w:val="009175A0"/>
    <w:rsid w:val="00920401"/>
    <w:rsid w:val="00920492"/>
    <w:rsid w:val="00922331"/>
    <w:rsid w:val="00922961"/>
    <w:rsid w:val="00923377"/>
    <w:rsid w:val="00923A47"/>
    <w:rsid w:val="00925234"/>
    <w:rsid w:val="00925913"/>
    <w:rsid w:val="00925F41"/>
    <w:rsid w:val="00926E4F"/>
    <w:rsid w:val="00926F18"/>
    <w:rsid w:val="009271B3"/>
    <w:rsid w:val="00930177"/>
    <w:rsid w:val="00930A38"/>
    <w:rsid w:val="00930B50"/>
    <w:rsid w:val="00930F1B"/>
    <w:rsid w:val="009324B1"/>
    <w:rsid w:val="0093333D"/>
    <w:rsid w:val="009340A3"/>
    <w:rsid w:val="0093551C"/>
    <w:rsid w:val="0093563F"/>
    <w:rsid w:val="00935A96"/>
    <w:rsid w:val="009372FB"/>
    <w:rsid w:val="00937711"/>
    <w:rsid w:val="0093782F"/>
    <w:rsid w:val="00937E37"/>
    <w:rsid w:val="009400F5"/>
    <w:rsid w:val="009405DA"/>
    <w:rsid w:val="009407DD"/>
    <w:rsid w:val="00940A3A"/>
    <w:rsid w:val="00940E40"/>
    <w:rsid w:val="00940E79"/>
    <w:rsid w:val="009423DA"/>
    <w:rsid w:val="00942628"/>
    <w:rsid w:val="0094287D"/>
    <w:rsid w:val="00942F44"/>
    <w:rsid w:val="00943360"/>
    <w:rsid w:val="009439A1"/>
    <w:rsid w:val="0094435B"/>
    <w:rsid w:val="00944C2A"/>
    <w:rsid w:val="00944EE0"/>
    <w:rsid w:val="00945487"/>
    <w:rsid w:val="00945E0E"/>
    <w:rsid w:val="00946187"/>
    <w:rsid w:val="00951017"/>
    <w:rsid w:val="00951214"/>
    <w:rsid w:val="00951658"/>
    <w:rsid w:val="00951744"/>
    <w:rsid w:val="00951A4F"/>
    <w:rsid w:val="009523F7"/>
    <w:rsid w:val="0095288E"/>
    <w:rsid w:val="00952F18"/>
    <w:rsid w:val="00954660"/>
    <w:rsid w:val="00955F49"/>
    <w:rsid w:val="00956E74"/>
    <w:rsid w:val="0096013D"/>
    <w:rsid w:val="00960988"/>
    <w:rsid w:val="00961796"/>
    <w:rsid w:val="00966652"/>
    <w:rsid w:val="0096713E"/>
    <w:rsid w:val="009673A8"/>
    <w:rsid w:val="009678F5"/>
    <w:rsid w:val="009704E6"/>
    <w:rsid w:val="009704F3"/>
    <w:rsid w:val="00970D3C"/>
    <w:rsid w:val="00970D4A"/>
    <w:rsid w:val="00971C49"/>
    <w:rsid w:val="00971E67"/>
    <w:rsid w:val="00972251"/>
    <w:rsid w:val="0097258A"/>
    <w:rsid w:val="009728E9"/>
    <w:rsid w:val="009736D2"/>
    <w:rsid w:val="00973B35"/>
    <w:rsid w:val="00973F9B"/>
    <w:rsid w:val="00974601"/>
    <w:rsid w:val="00974BAA"/>
    <w:rsid w:val="009758DA"/>
    <w:rsid w:val="00975FD8"/>
    <w:rsid w:val="009763B2"/>
    <w:rsid w:val="00977149"/>
    <w:rsid w:val="00977205"/>
    <w:rsid w:val="00977D71"/>
    <w:rsid w:val="009813D7"/>
    <w:rsid w:val="0098286C"/>
    <w:rsid w:val="009828E1"/>
    <w:rsid w:val="009845ED"/>
    <w:rsid w:val="00984A99"/>
    <w:rsid w:val="00985329"/>
    <w:rsid w:val="00985630"/>
    <w:rsid w:val="00985E77"/>
    <w:rsid w:val="00985E97"/>
    <w:rsid w:val="009865D7"/>
    <w:rsid w:val="009869D6"/>
    <w:rsid w:val="00986CA9"/>
    <w:rsid w:val="00987D7A"/>
    <w:rsid w:val="00987F29"/>
    <w:rsid w:val="00990319"/>
    <w:rsid w:val="009903F7"/>
    <w:rsid w:val="00990589"/>
    <w:rsid w:val="00991A59"/>
    <w:rsid w:val="009922A9"/>
    <w:rsid w:val="00992E6D"/>
    <w:rsid w:val="0099303E"/>
    <w:rsid w:val="009930C3"/>
    <w:rsid w:val="0099334F"/>
    <w:rsid w:val="00993358"/>
    <w:rsid w:val="009937C4"/>
    <w:rsid w:val="00994EBC"/>
    <w:rsid w:val="00994FF2"/>
    <w:rsid w:val="009958AB"/>
    <w:rsid w:val="009958E7"/>
    <w:rsid w:val="009959AA"/>
    <w:rsid w:val="00995D21"/>
    <w:rsid w:val="00995FC2"/>
    <w:rsid w:val="00996291"/>
    <w:rsid w:val="00996D2E"/>
    <w:rsid w:val="009A025B"/>
    <w:rsid w:val="009A0BD3"/>
    <w:rsid w:val="009A1143"/>
    <w:rsid w:val="009A136C"/>
    <w:rsid w:val="009A16E5"/>
    <w:rsid w:val="009A1733"/>
    <w:rsid w:val="009A1A9C"/>
    <w:rsid w:val="009A1D4A"/>
    <w:rsid w:val="009A21E0"/>
    <w:rsid w:val="009A225F"/>
    <w:rsid w:val="009A2DD6"/>
    <w:rsid w:val="009A32EC"/>
    <w:rsid w:val="009A39B5"/>
    <w:rsid w:val="009A3B84"/>
    <w:rsid w:val="009A41B1"/>
    <w:rsid w:val="009A49D8"/>
    <w:rsid w:val="009A52E9"/>
    <w:rsid w:val="009A6F4E"/>
    <w:rsid w:val="009A748D"/>
    <w:rsid w:val="009A7D97"/>
    <w:rsid w:val="009B15C9"/>
    <w:rsid w:val="009B1FB3"/>
    <w:rsid w:val="009B2ABA"/>
    <w:rsid w:val="009B37A9"/>
    <w:rsid w:val="009B38C4"/>
    <w:rsid w:val="009B3936"/>
    <w:rsid w:val="009B49E4"/>
    <w:rsid w:val="009B60ED"/>
    <w:rsid w:val="009B6E3E"/>
    <w:rsid w:val="009B736C"/>
    <w:rsid w:val="009B787A"/>
    <w:rsid w:val="009B78F5"/>
    <w:rsid w:val="009C06FB"/>
    <w:rsid w:val="009C09C9"/>
    <w:rsid w:val="009C0D38"/>
    <w:rsid w:val="009C125A"/>
    <w:rsid w:val="009C1519"/>
    <w:rsid w:val="009C1625"/>
    <w:rsid w:val="009C24C1"/>
    <w:rsid w:val="009C3027"/>
    <w:rsid w:val="009C3150"/>
    <w:rsid w:val="009C37A6"/>
    <w:rsid w:val="009C3A92"/>
    <w:rsid w:val="009C3E67"/>
    <w:rsid w:val="009C43D6"/>
    <w:rsid w:val="009C4B6F"/>
    <w:rsid w:val="009C4C2C"/>
    <w:rsid w:val="009C6528"/>
    <w:rsid w:val="009C6649"/>
    <w:rsid w:val="009C677C"/>
    <w:rsid w:val="009C69F4"/>
    <w:rsid w:val="009D01E3"/>
    <w:rsid w:val="009D2671"/>
    <w:rsid w:val="009D27BD"/>
    <w:rsid w:val="009D2A0A"/>
    <w:rsid w:val="009D2CFB"/>
    <w:rsid w:val="009D3603"/>
    <w:rsid w:val="009D3763"/>
    <w:rsid w:val="009D3789"/>
    <w:rsid w:val="009D419B"/>
    <w:rsid w:val="009D420C"/>
    <w:rsid w:val="009D4DF2"/>
    <w:rsid w:val="009D516F"/>
    <w:rsid w:val="009D5EF9"/>
    <w:rsid w:val="009D62A3"/>
    <w:rsid w:val="009D69FB"/>
    <w:rsid w:val="009D7D4A"/>
    <w:rsid w:val="009E029B"/>
    <w:rsid w:val="009E06D4"/>
    <w:rsid w:val="009E0CE3"/>
    <w:rsid w:val="009E15B8"/>
    <w:rsid w:val="009E18C1"/>
    <w:rsid w:val="009E1AF9"/>
    <w:rsid w:val="009E1D20"/>
    <w:rsid w:val="009E249F"/>
    <w:rsid w:val="009E2A18"/>
    <w:rsid w:val="009E2BF6"/>
    <w:rsid w:val="009E2C26"/>
    <w:rsid w:val="009E41E4"/>
    <w:rsid w:val="009E61F3"/>
    <w:rsid w:val="009E64B7"/>
    <w:rsid w:val="009E679C"/>
    <w:rsid w:val="009E6E5D"/>
    <w:rsid w:val="009E7022"/>
    <w:rsid w:val="009E7FF1"/>
    <w:rsid w:val="009F0184"/>
    <w:rsid w:val="009F0443"/>
    <w:rsid w:val="009F0891"/>
    <w:rsid w:val="009F0B4B"/>
    <w:rsid w:val="009F4665"/>
    <w:rsid w:val="009F4925"/>
    <w:rsid w:val="009F4EA3"/>
    <w:rsid w:val="009F5B0E"/>
    <w:rsid w:val="009F778C"/>
    <w:rsid w:val="009F7832"/>
    <w:rsid w:val="009F7C53"/>
    <w:rsid w:val="00A006B2"/>
    <w:rsid w:val="00A0072E"/>
    <w:rsid w:val="00A00CEB"/>
    <w:rsid w:val="00A00E6D"/>
    <w:rsid w:val="00A00FE7"/>
    <w:rsid w:val="00A01621"/>
    <w:rsid w:val="00A024DA"/>
    <w:rsid w:val="00A0258B"/>
    <w:rsid w:val="00A03134"/>
    <w:rsid w:val="00A03740"/>
    <w:rsid w:val="00A0434D"/>
    <w:rsid w:val="00A05F62"/>
    <w:rsid w:val="00A065EE"/>
    <w:rsid w:val="00A066FF"/>
    <w:rsid w:val="00A068B0"/>
    <w:rsid w:val="00A06FF7"/>
    <w:rsid w:val="00A0708A"/>
    <w:rsid w:val="00A10440"/>
    <w:rsid w:val="00A10729"/>
    <w:rsid w:val="00A10C08"/>
    <w:rsid w:val="00A11A97"/>
    <w:rsid w:val="00A11C77"/>
    <w:rsid w:val="00A142E2"/>
    <w:rsid w:val="00A1550A"/>
    <w:rsid w:val="00A15CE3"/>
    <w:rsid w:val="00A15DC2"/>
    <w:rsid w:val="00A16104"/>
    <w:rsid w:val="00A16267"/>
    <w:rsid w:val="00A16617"/>
    <w:rsid w:val="00A16EED"/>
    <w:rsid w:val="00A17003"/>
    <w:rsid w:val="00A17356"/>
    <w:rsid w:val="00A1746C"/>
    <w:rsid w:val="00A175C4"/>
    <w:rsid w:val="00A20117"/>
    <w:rsid w:val="00A2169D"/>
    <w:rsid w:val="00A23734"/>
    <w:rsid w:val="00A23D2B"/>
    <w:rsid w:val="00A23F68"/>
    <w:rsid w:val="00A24789"/>
    <w:rsid w:val="00A24C0D"/>
    <w:rsid w:val="00A25298"/>
    <w:rsid w:val="00A25889"/>
    <w:rsid w:val="00A25D7E"/>
    <w:rsid w:val="00A2602B"/>
    <w:rsid w:val="00A2705B"/>
    <w:rsid w:val="00A272C7"/>
    <w:rsid w:val="00A27C4E"/>
    <w:rsid w:val="00A30896"/>
    <w:rsid w:val="00A32338"/>
    <w:rsid w:val="00A32A3B"/>
    <w:rsid w:val="00A32F18"/>
    <w:rsid w:val="00A32F4D"/>
    <w:rsid w:val="00A3327D"/>
    <w:rsid w:val="00A335D8"/>
    <w:rsid w:val="00A33837"/>
    <w:rsid w:val="00A33D01"/>
    <w:rsid w:val="00A35648"/>
    <w:rsid w:val="00A359EA"/>
    <w:rsid w:val="00A35A13"/>
    <w:rsid w:val="00A36417"/>
    <w:rsid w:val="00A366A2"/>
    <w:rsid w:val="00A36E5B"/>
    <w:rsid w:val="00A37DD8"/>
    <w:rsid w:val="00A404E6"/>
    <w:rsid w:val="00A41795"/>
    <w:rsid w:val="00A43332"/>
    <w:rsid w:val="00A43571"/>
    <w:rsid w:val="00A43A6C"/>
    <w:rsid w:val="00A43AA3"/>
    <w:rsid w:val="00A447DB"/>
    <w:rsid w:val="00A44CE1"/>
    <w:rsid w:val="00A44CF5"/>
    <w:rsid w:val="00A45855"/>
    <w:rsid w:val="00A45E43"/>
    <w:rsid w:val="00A4668C"/>
    <w:rsid w:val="00A466A2"/>
    <w:rsid w:val="00A47D86"/>
    <w:rsid w:val="00A47FC4"/>
    <w:rsid w:val="00A50DFF"/>
    <w:rsid w:val="00A5124D"/>
    <w:rsid w:val="00A51668"/>
    <w:rsid w:val="00A52199"/>
    <w:rsid w:val="00A5272F"/>
    <w:rsid w:val="00A529F2"/>
    <w:rsid w:val="00A52CA7"/>
    <w:rsid w:val="00A537DD"/>
    <w:rsid w:val="00A53E50"/>
    <w:rsid w:val="00A5409D"/>
    <w:rsid w:val="00A54EA8"/>
    <w:rsid w:val="00A5503F"/>
    <w:rsid w:val="00A55A96"/>
    <w:rsid w:val="00A55F8C"/>
    <w:rsid w:val="00A56606"/>
    <w:rsid w:val="00A56A03"/>
    <w:rsid w:val="00A57015"/>
    <w:rsid w:val="00A57572"/>
    <w:rsid w:val="00A57579"/>
    <w:rsid w:val="00A5772C"/>
    <w:rsid w:val="00A57C99"/>
    <w:rsid w:val="00A619D5"/>
    <w:rsid w:val="00A61ECF"/>
    <w:rsid w:val="00A61ED8"/>
    <w:rsid w:val="00A63F15"/>
    <w:rsid w:val="00A64415"/>
    <w:rsid w:val="00A64EC1"/>
    <w:rsid w:val="00A65716"/>
    <w:rsid w:val="00A65C8E"/>
    <w:rsid w:val="00A65FFB"/>
    <w:rsid w:val="00A66C49"/>
    <w:rsid w:val="00A6708B"/>
    <w:rsid w:val="00A702FC"/>
    <w:rsid w:val="00A71120"/>
    <w:rsid w:val="00A71B24"/>
    <w:rsid w:val="00A71DBC"/>
    <w:rsid w:val="00A71E97"/>
    <w:rsid w:val="00A721AA"/>
    <w:rsid w:val="00A72EB9"/>
    <w:rsid w:val="00A7356F"/>
    <w:rsid w:val="00A739DA"/>
    <w:rsid w:val="00A74152"/>
    <w:rsid w:val="00A74392"/>
    <w:rsid w:val="00A752B6"/>
    <w:rsid w:val="00A76E3C"/>
    <w:rsid w:val="00A77639"/>
    <w:rsid w:val="00A777C1"/>
    <w:rsid w:val="00A808FF"/>
    <w:rsid w:val="00A81269"/>
    <w:rsid w:val="00A816AD"/>
    <w:rsid w:val="00A81DD6"/>
    <w:rsid w:val="00A829CF"/>
    <w:rsid w:val="00A83DF2"/>
    <w:rsid w:val="00A8425C"/>
    <w:rsid w:val="00A8441C"/>
    <w:rsid w:val="00A84B3D"/>
    <w:rsid w:val="00A84CF3"/>
    <w:rsid w:val="00A84D8B"/>
    <w:rsid w:val="00A84E60"/>
    <w:rsid w:val="00A84FCD"/>
    <w:rsid w:val="00A856CE"/>
    <w:rsid w:val="00A85F27"/>
    <w:rsid w:val="00A86885"/>
    <w:rsid w:val="00A86CE5"/>
    <w:rsid w:val="00A86EDC"/>
    <w:rsid w:val="00A8736D"/>
    <w:rsid w:val="00A907CF"/>
    <w:rsid w:val="00A90FEE"/>
    <w:rsid w:val="00A912BD"/>
    <w:rsid w:val="00A917E0"/>
    <w:rsid w:val="00A9227D"/>
    <w:rsid w:val="00A9228B"/>
    <w:rsid w:val="00A92A77"/>
    <w:rsid w:val="00A9314F"/>
    <w:rsid w:val="00A93F26"/>
    <w:rsid w:val="00A947CC"/>
    <w:rsid w:val="00A94956"/>
    <w:rsid w:val="00A94A9A"/>
    <w:rsid w:val="00A94FBB"/>
    <w:rsid w:val="00A95155"/>
    <w:rsid w:val="00A95CA5"/>
    <w:rsid w:val="00A976B0"/>
    <w:rsid w:val="00A97B4A"/>
    <w:rsid w:val="00AA0417"/>
    <w:rsid w:val="00AA0CAD"/>
    <w:rsid w:val="00AA2AC1"/>
    <w:rsid w:val="00AA2C2B"/>
    <w:rsid w:val="00AA2E7E"/>
    <w:rsid w:val="00AA34AD"/>
    <w:rsid w:val="00AA3984"/>
    <w:rsid w:val="00AA4DC8"/>
    <w:rsid w:val="00AA51E3"/>
    <w:rsid w:val="00AA579C"/>
    <w:rsid w:val="00AA588B"/>
    <w:rsid w:val="00AA5FEE"/>
    <w:rsid w:val="00AA660B"/>
    <w:rsid w:val="00AA673C"/>
    <w:rsid w:val="00AA676E"/>
    <w:rsid w:val="00AA6780"/>
    <w:rsid w:val="00AA6918"/>
    <w:rsid w:val="00AA6E53"/>
    <w:rsid w:val="00AA7E9E"/>
    <w:rsid w:val="00AB03B3"/>
    <w:rsid w:val="00AB0F1A"/>
    <w:rsid w:val="00AB1577"/>
    <w:rsid w:val="00AB168F"/>
    <w:rsid w:val="00AB172B"/>
    <w:rsid w:val="00AB1A7E"/>
    <w:rsid w:val="00AB242C"/>
    <w:rsid w:val="00AB261D"/>
    <w:rsid w:val="00AB289A"/>
    <w:rsid w:val="00AB30C6"/>
    <w:rsid w:val="00AB313D"/>
    <w:rsid w:val="00AB38E0"/>
    <w:rsid w:val="00AB422C"/>
    <w:rsid w:val="00AB5BD1"/>
    <w:rsid w:val="00AB5C52"/>
    <w:rsid w:val="00AB5CB0"/>
    <w:rsid w:val="00AB604B"/>
    <w:rsid w:val="00AB605F"/>
    <w:rsid w:val="00AB643A"/>
    <w:rsid w:val="00AB6DE8"/>
    <w:rsid w:val="00AB7107"/>
    <w:rsid w:val="00AB7111"/>
    <w:rsid w:val="00AB77CB"/>
    <w:rsid w:val="00AC072B"/>
    <w:rsid w:val="00AC103B"/>
    <w:rsid w:val="00AC17E2"/>
    <w:rsid w:val="00AC305B"/>
    <w:rsid w:val="00AC327D"/>
    <w:rsid w:val="00AC3F75"/>
    <w:rsid w:val="00AC5368"/>
    <w:rsid w:val="00AC5384"/>
    <w:rsid w:val="00AC56A4"/>
    <w:rsid w:val="00AC5D3A"/>
    <w:rsid w:val="00AC64D6"/>
    <w:rsid w:val="00AC7B83"/>
    <w:rsid w:val="00AC7F66"/>
    <w:rsid w:val="00AD0283"/>
    <w:rsid w:val="00AD0754"/>
    <w:rsid w:val="00AD0F2F"/>
    <w:rsid w:val="00AD1143"/>
    <w:rsid w:val="00AD138A"/>
    <w:rsid w:val="00AD1452"/>
    <w:rsid w:val="00AD2BFF"/>
    <w:rsid w:val="00AD3418"/>
    <w:rsid w:val="00AD4106"/>
    <w:rsid w:val="00AD4B83"/>
    <w:rsid w:val="00AD4B96"/>
    <w:rsid w:val="00AD4CED"/>
    <w:rsid w:val="00AD4EF6"/>
    <w:rsid w:val="00AD5773"/>
    <w:rsid w:val="00AD5B56"/>
    <w:rsid w:val="00AD5E23"/>
    <w:rsid w:val="00AD633E"/>
    <w:rsid w:val="00AD63F2"/>
    <w:rsid w:val="00AD6682"/>
    <w:rsid w:val="00AD68A4"/>
    <w:rsid w:val="00AD6A1A"/>
    <w:rsid w:val="00AD6B87"/>
    <w:rsid w:val="00AD746C"/>
    <w:rsid w:val="00AE3209"/>
    <w:rsid w:val="00AE3346"/>
    <w:rsid w:val="00AE36B3"/>
    <w:rsid w:val="00AE39CE"/>
    <w:rsid w:val="00AE3D55"/>
    <w:rsid w:val="00AE3DB0"/>
    <w:rsid w:val="00AE66D4"/>
    <w:rsid w:val="00AE70ED"/>
    <w:rsid w:val="00AF009C"/>
    <w:rsid w:val="00AF0BB4"/>
    <w:rsid w:val="00AF0E62"/>
    <w:rsid w:val="00AF1474"/>
    <w:rsid w:val="00AF1713"/>
    <w:rsid w:val="00AF1CF0"/>
    <w:rsid w:val="00AF4109"/>
    <w:rsid w:val="00AF52B3"/>
    <w:rsid w:val="00AF624B"/>
    <w:rsid w:val="00AF6256"/>
    <w:rsid w:val="00AF663D"/>
    <w:rsid w:val="00AF6D84"/>
    <w:rsid w:val="00AF728B"/>
    <w:rsid w:val="00AF7C8E"/>
    <w:rsid w:val="00B003E8"/>
    <w:rsid w:val="00B0050C"/>
    <w:rsid w:val="00B00B26"/>
    <w:rsid w:val="00B0134A"/>
    <w:rsid w:val="00B028CC"/>
    <w:rsid w:val="00B03B3B"/>
    <w:rsid w:val="00B03D99"/>
    <w:rsid w:val="00B056CB"/>
    <w:rsid w:val="00B0672E"/>
    <w:rsid w:val="00B07C9E"/>
    <w:rsid w:val="00B10758"/>
    <w:rsid w:val="00B10CBA"/>
    <w:rsid w:val="00B1143E"/>
    <w:rsid w:val="00B11C11"/>
    <w:rsid w:val="00B11F30"/>
    <w:rsid w:val="00B1226F"/>
    <w:rsid w:val="00B13754"/>
    <w:rsid w:val="00B1375A"/>
    <w:rsid w:val="00B14C9A"/>
    <w:rsid w:val="00B15116"/>
    <w:rsid w:val="00B1599C"/>
    <w:rsid w:val="00B1636F"/>
    <w:rsid w:val="00B1710C"/>
    <w:rsid w:val="00B1720C"/>
    <w:rsid w:val="00B17667"/>
    <w:rsid w:val="00B17FC0"/>
    <w:rsid w:val="00B20082"/>
    <w:rsid w:val="00B2010A"/>
    <w:rsid w:val="00B20179"/>
    <w:rsid w:val="00B20FA2"/>
    <w:rsid w:val="00B210A1"/>
    <w:rsid w:val="00B2191C"/>
    <w:rsid w:val="00B221F9"/>
    <w:rsid w:val="00B229B3"/>
    <w:rsid w:val="00B22AFB"/>
    <w:rsid w:val="00B23552"/>
    <w:rsid w:val="00B23B33"/>
    <w:rsid w:val="00B24122"/>
    <w:rsid w:val="00B248D5"/>
    <w:rsid w:val="00B25B06"/>
    <w:rsid w:val="00B27493"/>
    <w:rsid w:val="00B304CD"/>
    <w:rsid w:val="00B3095C"/>
    <w:rsid w:val="00B31A78"/>
    <w:rsid w:val="00B31AB3"/>
    <w:rsid w:val="00B334D0"/>
    <w:rsid w:val="00B33AC8"/>
    <w:rsid w:val="00B33FA7"/>
    <w:rsid w:val="00B34B23"/>
    <w:rsid w:val="00B34D28"/>
    <w:rsid w:val="00B35351"/>
    <w:rsid w:val="00B356C9"/>
    <w:rsid w:val="00B3612A"/>
    <w:rsid w:val="00B36742"/>
    <w:rsid w:val="00B36985"/>
    <w:rsid w:val="00B369B0"/>
    <w:rsid w:val="00B37497"/>
    <w:rsid w:val="00B4038C"/>
    <w:rsid w:val="00B40728"/>
    <w:rsid w:val="00B40F5E"/>
    <w:rsid w:val="00B41142"/>
    <w:rsid w:val="00B4198E"/>
    <w:rsid w:val="00B41C74"/>
    <w:rsid w:val="00B41D3C"/>
    <w:rsid w:val="00B42352"/>
    <w:rsid w:val="00B42913"/>
    <w:rsid w:val="00B42FAB"/>
    <w:rsid w:val="00B442E3"/>
    <w:rsid w:val="00B45640"/>
    <w:rsid w:val="00B466A5"/>
    <w:rsid w:val="00B476CF"/>
    <w:rsid w:val="00B477D1"/>
    <w:rsid w:val="00B47B35"/>
    <w:rsid w:val="00B47F9B"/>
    <w:rsid w:val="00B50307"/>
    <w:rsid w:val="00B50CE8"/>
    <w:rsid w:val="00B519AE"/>
    <w:rsid w:val="00B52549"/>
    <w:rsid w:val="00B528F9"/>
    <w:rsid w:val="00B52D70"/>
    <w:rsid w:val="00B53585"/>
    <w:rsid w:val="00B53680"/>
    <w:rsid w:val="00B53C76"/>
    <w:rsid w:val="00B53F0A"/>
    <w:rsid w:val="00B5422C"/>
    <w:rsid w:val="00B54AEC"/>
    <w:rsid w:val="00B54F72"/>
    <w:rsid w:val="00B55ACE"/>
    <w:rsid w:val="00B55D05"/>
    <w:rsid w:val="00B56516"/>
    <w:rsid w:val="00B56BA6"/>
    <w:rsid w:val="00B574EA"/>
    <w:rsid w:val="00B601DB"/>
    <w:rsid w:val="00B60677"/>
    <w:rsid w:val="00B6079C"/>
    <w:rsid w:val="00B6455C"/>
    <w:rsid w:val="00B64ACC"/>
    <w:rsid w:val="00B64E10"/>
    <w:rsid w:val="00B65B1D"/>
    <w:rsid w:val="00B65CE3"/>
    <w:rsid w:val="00B65FA3"/>
    <w:rsid w:val="00B65FC3"/>
    <w:rsid w:val="00B66265"/>
    <w:rsid w:val="00B6671A"/>
    <w:rsid w:val="00B66CB4"/>
    <w:rsid w:val="00B67077"/>
    <w:rsid w:val="00B6710D"/>
    <w:rsid w:val="00B70EC1"/>
    <w:rsid w:val="00B717D4"/>
    <w:rsid w:val="00B725F7"/>
    <w:rsid w:val="00B732E9"/>
    <w:rsid w:val="00B73850"/>
    <w:rsid w:val="00B740F1"/>
    <w:rsid w:val="00B7459D"/>
    <w:rsid w:val="00B74690"/>
    <w:rsid w:val="00B75AE9"/>
    <w:rsid w:val="00B77477"/>
    <w:rsid w:val="00B77535"/>
    <w:rsid w:val="00B802E0"/>
    <w:rsid w:val="00B8067A"/>
    <w:rsid w:val="00B80819"/>
    <w:rsid w:val="00B81186"/>
    <w:rsid w:val="00B81876"/>
    <w:rsid w:val="00B81A55"/>
    <w:rsid w:val="00B81E06"/>
    <w:rsid w:val="00B82837"/>
    <w:rsid w:val="00B8382F"/>
    <w:rsid w:val="00B841F0"/>
    <w:rsid w:val="00B843D4"/>
    <w:rsid w:val="00B845EC"/>
    <w:rsid w:val="00B84826"/>
    <w:rsid w:val="00B84C3F"/>
    <w:rsid w:val="00B84DB7"/>
    <w:rsid w:val="00B853DD"/>
    <w:rsid w:val="00B85C3D"/>
    <w:rsid w:val="00B85DE2"/>
    <w:rsid w:val="00B85DFE"/>
    <w:rsid w:val="00B866AE"/>
    <w:rsid w:val="00B86A9B"/>
    <w:rsid w:val="00B86F47"/>
    <w:rsid w:val="00B87475"/>
    <w:rsid w:val="00B9014F"/>
    <w:rsid w:val="00B9074A"/>
    <w:rsid w:val="00B91501"/>
    <w:rsid w:val="00B91560"/>
    <w:rsid w:val="00B91BFC"/>
    <w:rsid w:val="00B92949"/>
    <w:rsid w:val="00B93536"/>
    <w:rsid w:val="00B93B85"/>
    <w:rsid w:val="00B9406E"/>
    <w:rsid w:val="00B940DD"/>
    <w:rsid w:val="00B947DD"/>
    <w:rsid w:val="00B95857"/>
    <w:rsid w:val="00B95A02"/>
    <w:rsid w:val="00B97599"/>
    <w:rsid w:val="00B979A4"/>
    <w:rsid w:val="00B97CD3"/>
    <w:rsid w:val="00BA0016"/>
    <w:rsid w:val="00BA25F8"/>
    <w:rsid w:val="00BA38A6"/>
    <w:rsid w:val="00BA3CD2"/>
    <w:rsid w:val="00BA3D98"/>
    <w:rsid w:val="00BA4661"/>
    <w:rsid w:val="00BA555B"/>
    <w:rsid w:val="00BA594C"/>
    <w:rsid w:val="00BA73A1"/>
    <w:rsid w:val="00BA7F19"/>
    <w:rsid w:val="00BB0285"/>
    <w:rsid w:val="00BB10B2"/>
    <w:rsid w:val="00BB12E4"/>
    <w:rsid w:val="00BB2EF9"/>
    <w:rsid w:val="00BB34D5"/>
    <w:rsid w:val="00BB3B59"/>
    <w:rsid w:val="00BB4699"/>
    <w:rsid w:val="00BB4B9F"/>
    <w:rsid w:val="00BB501D"/>
    <w:rsid w:val="00BB5358"/>
    <w:rsid w:val="00BB5ED3"/>
    <w:rsid w:val="00BB617B"/>
    <w:rsid w:val="00BB66E6"/>
    <w:rsid w:val="00BB6FFE"/>
    <w:rsid w:val="00BB70BD"/>
    <w:rsid w:val="00BB72A4"/>
    <w:rsid w:val="00BB73EA"/>
    <w:rsid w:val="00BB775D"/>
    <w:rsid w:val="00BB79BE"/>
    <w:rsid w:val="00BC00AF"/>
    <w:rsid w:val="00BC00DF"/>
    <w:rsid w:val="00BC078F"/>
    <w:rsid w:val="00BC1C3E"/>
    <w:rsid w:val="00BC2827"/>
    <w:rsid w:val="00BC2BA6"/>
    <w:rsid w:val="00BC2D36"/>
    <w:rsid w:val="00BC2D6D"/>
    <w:rsid w:val="00BC2FC8"/>
    <w:rsid w:val="00BC44AA"/>
    <w:rsid w:val="00BC4529"/>
    <w:rsid w:val="00BC490C"/>
    <w:rsid w:val="00BC49D3"/>
    <w:rsid w:val="00BC536A"/>
    <w:rsid w:val="00BC55D6"/>
    <w:rsid w:val="00BC5A47"/>
    <w:rsid w:val="00BC5B0D"/>
    <w:rsid w:val="00BC62B5"/>
    <w:rsid w:val="00BC6AB0"/>
    <w:rsid w:val="00BC6F9B"/>
    <w:rsid w:val="00BC7812"/>
    <w:rsid w:val="00BD0CF9"/>
    <w:rsid w:val="00BD1853"/>
    <w:rsid w:val="00BD2140"/>
    <w:rsid w:val="00BD2D21"/>
    <w:rsid w:val="00BD2DF0"/>
    <w:rsid w:val="00BD2E6C"/>
    <w:rsid w:val="00BD4442"/>
    <w:rsid w:val="00BD4766"/>
    <w:rsid w:val="00BD559E"/>
    <w:rsid w:val="00BD56A6"/>
    <w:rsid w:val="00BD5A28"/>
    <w:rsid w:val="00BD6936"/>
    <w:rsid w:val="00BD768A"/>
    <w:rsid w:val="00BD7A50"/>
    <w:rsid w:val="00BE069C"/>
    <w:rsid w:val="00BE0E44"/>
    <w:rsid w:val="00BE1721"/>
    <w:rsid w:val="00BE28CB"/>
    <w:rsid w:val="00BE2913"/>
    <w:rsid w:val="00BE2953"/>
    <w:rsid w:val="00BE2C53"/>
    <w:rsid w:val="00BE3CAD"/>
    <w:rsid w:val="00BE431B"/>
    <w:rsid w:val="00BE4A25"/>
    <w:rsid w:val="00BE4A51"/>
    <w:rsid w:val="00BE520D"/>
    <w:rsid w:val="00BE5F73"/>
    <w:rsid w:val="00BE6437"/>
    <w:rsid w:val="00BE67AC"/>
    <w:rsid w:val="00BE6E48"/>
    <w:rsid w:val="00BE6E81"/>
    <w:rsid w:val="00BF032A"/>
    <w:rsid w:val="00BF0524"/>
    <w:rsid w:val="00BF0970"/>
    <w:rsid w:val="00BF1F41"/>
    <w:rsid w:val="00BF329B"/>
    <w:rsid w:val="00BF383B"/>
    <w:rsid w:val="00BF3D1F"/>
    <w:rsid w:val="00BF456F"/>
    <w:rsid w:val="00BF5308"/>
    <w:rsid w:val="00BF6886"/>
    <w:rsid w:val="00BF70A1"/>
    <w:rsid w:val="00BF7123"/>
    <w:rsid w:val="00BF7354"/>
    <w:rsid w:val="00BF7655"/>
    <w:rsid w:val="00BF78F6"/>
    <w:rsid w:val="00C001B6"/>
    <w:rsid w:val="00C010E7"/>
    <w:rsid w:val="00C01105"/>
    <w:rsid w:val="00C020E9"/>
    <w:rsid w:val="00C02D3E"/>
    <w:rsid w:val="00C04472"/>
    <w:rsid w:val="00C04EFA"/>
    <w:rsid w:val="00C0536B"/>
    <w:rsid w:val="00C078B6"/>
    <w:rsid w:val="00C07AC2"/>
    <w:rsid w:val="00C111E9"/>
    <w:rsid w:val="00C115DD"/>
    <w:rsid w:val="00C1216E"/>
    <w:rsid w:val="00C12334"/>
    <w:rsid w:val="00C14301"/>
    <w:rsid w:val="00C145C4"/>
    <w:rsid w:val="00C14D71"/>
    <w:rsid w:val="00C155E6"/>
    <w:rsid w:val="00C163AA"/>
    <w:rsid w:val="00C16C1A"/>
    <w:rsid w:val="00C171C7"/>
    <w:rsid w:val="00C17452"/>
    <w:rsid w:val="00C17B16"/>
    <w:rsid w:val="00C20DA5"/>
    <w:rsid w:val="00C20EFB"/>
    <w:rsid w:val="00C211C8"/>
    <w:rsid w:val="00C21826"/>
    <w:rsid w:val="00C21C34"/>
    <w:rsid w:val="00C22C57"/>
    <w:rsid w:val="00C249EA"/>
    <w:rsid w:val="00C2529B"/>
    <w:rsid w:val="00C25A3C"/>
    <w:rsid w:val="00C26311"/>
    <w:rsid w:val="00C27033"/>
    <w:rsid w:val="00C27ABC"/>
    <w:rsid w:val="00C3039A"/>
    <w:rsid w:val="00C30427"/>
    <w:rsid w:val="00C307C3"/>
    <w:rsid w:val="00C31596"/>
    <w:rsid w:val="00C316F5"/>
    <w:rsid w:val="00C31F8F"/>
    <w:rsid w:val="00C31F9B"/>
    <w:rsid w:val="00C326CF"/>
    <w:rsid w:val="00C33212"/>
    <w:rsid w:val="00C33FA6"/>
    <w:rsid w:val="00C34232"/>
    <w:rsid w:val="00C34371"/>
    <w:rsid w:val="00C35CFA"/>
    <w:rsid w:val="00C35E51"/>
    <w:rsid w:val="00C366CF"/>
    <w:rsid w:val="00C37BC9"/>
    <w:rsid w:val="00C4069E"/>
    <w:rsid w:val="00C411FB"/>
    <w:rsid w:val="00C41298"/>
    <w:rsid w:val="00C425DC"/>
    <w:rsid w:val="00C42C28"/>
    <w:rsid w:val="00C43C6F"/>
    <w:rsid w:val="00C44AFD"/>
    <w:rsid w:val="00C457C8"/>
    <w:rsid w:val="00C4604D"/>
    <w:rsid w:val="00C46485"/>
    <w:rsid w:val="00C46B43"/>
    <w:rsid w:val="00C47371"/>
    <w:rsid w:val="00C47647"/>
    <w:rsid w:val="00C50930"/>
    <w:rsid w:val="00C50967"/>
    <w:rsid w:val="00C51270"/>
    <w:rsid w:val="00C513E6"/>
    <w:rsid w:val="00C52A44"/>
    <w:rsid w:val="00C52D42"/>
    <w:rsid w:val="00C530A2"/>
    <w:rsid w:val="00C53113"/>
    <w:rsid w:val="00C536EC"/>
    <w:rsid w:val="00C543EB"/>
    <w:rsid w:val="00C54F50"/>
    <w:rsid w:val="00C5516B"/>
    <w:rsid w:val="00C56387"/>
    <w:rsid w:val="00C5652F"/>
    <w:rsid w:val="00C56C56"/>
    <w:rsid w:val="00C57A73"/>
    <w:rsid w:val="00C60571"/>
    <w:rsid w:val="00C62AE5"/>
    <w:rsid w:val="00C6302A"/>
    <w:rsid w:val="00C63421"/>
    <w:rsid w:val="00C637EF"/>
    <w:rsid w:val="00C65790"/>
    <w:rsid w:val="00C66F9F"/>
    <w:rsid w:val="00C67283"/>
    <w:rsid w:val="00C6754E"/>
    <w:rsid w:val="00C67B79"/>
    <w:rsid w:val="00C67F08"/>
    <w:rsid w:val="00C7031B"/>
    <w:rsid w:val="00C713AF"/>
    <w:rsid w:val="00C71D3D"/>
    <w:rsid w:val="00C71EA2"/>
    <w:rsid w:val="00C738EC"/>
    <w:rsid w:val="00C73AB4"/>
    <w:rsid w:val="00C74DD8"/>
    <w:rsid w:val="00C75E3D"/>
    <w:rsid w:val="00C76A77"/>
    <w:rsid w:val="00C77AB8"/>
    <w:rsid w:val="00C77C73"/>
    <w:rsid w:val="00C77D54"/>
    <w:rsid w:val="00C80240"/>
    <w:rsid w:val="00C80B43"/>
    <w:rsid w:val="00C80E14"/>
    <w:rsid w:val="00C8176C"/>
    <w:rsid w:val="00C81C38"/>
    <w:rsid w:val="00C81F14"/>
    <w:rsid w:val="00C820ED"/>
    <w:rsid w:val="00C82395"/>
    <w:rsid w:val="00C82A1D"/>
    <w:rsid w:val="00C84B15"/>
    <w:rsid w:val="00C84EB8"/>
    <w:rsid w:val="00C8534C"/>
    <w:rsid w:val="00C85A92"/>
    <w:rsid w:val="00C85D9F"/>
    <w:rsid w:val="00C85EA1"/>
    <w:rsid w:val="00C86182"/>
    <w:rsid w:val="00C8622A"/>
    <w:rsid w:val="00C865F2"/>
    <w:rsid w:val="00C87E27"/>
    <w:rsid w:val="00C90EA4"/>
    <w:rsid w:val="00C91535"/>
    <w:rsid w:val="00C92B3B"/>
    <w:rsid w:val="00C93754"/>
    <w:rsid w:val="00C93772"/>
    <w:rsid w:val="00C93DAF"/>
    <w:rsid w:val="00C973A1"/>
    <w:rsid w:val="00CA0133"/>
    <w:rsid w:val="00CA0289"/>
    <w:rsid w:val="00CA06FF"/>
    <w:rsid w:val="00CA0D8C"/>
    <w:rsid w:val="00CA0F39"/>
    <w:rsid w:val="00CA1C36"/>
    <w:rsid w:val="00CA1C53"/>
    <w:rsid w:val="00CA1E78"/>
    <w:rsid w:val="00CA34E4"/>
    <w:rsid w:val="00CA3A77"/>
    <w:rsid w:val="00CA4BC6"/>
    <w:rsid w:val="00CA4C53"/>
    <w:rsid w:val="00CA524D"/>
    <w:rsid w:val="00CA54BC"/>
    <w:rsid w:val="00CA5D57"/>
    <w:rsid w:val="00CA6149"/>
    <w:rsid w:val="00CA6180"/>
    <w:rsid w:val="00CA6D00"/>
    <w:rsid w:val="00CB03C7"/>
    <w:rsid w:val="00CB062A"/>
    <w:rsid w:val="00CB0B73"/>
    <w:rsid w:val="00CB0B78"/>
    <w:rsid w:val="00CB0BE6"/>
    <w:rsid w:val="00CB176C"/>
    <w:rsid w:val="00CB2100"/>
    <w:rsid w:val="00CB29DC"/>
    <w:rsid w:val="00CB31AE"/>
    <w:rsid w:val="00CB469D"/>
    <w:rsid w:val="00CB46A5"/>
    <w:rsid w:val="00CB527E"/>
    <w:rsid w:val="00CB6849"/>
    <w:rsid w:val="00CB6CC9"/>
    <w:rsid w:val="00CB76F4"/>
    <w:rsid w:val="00CB7DE8"/>
    <w:rsid w:val="00CC0899"/>
    <w:rsid w:val="00CC0974"/>
    <w:rsid w:val="00CC0D0B"/>
    <w:rsid w:val="00CC0D2D"/>
    <w:rsid w:val="00CC0DA7"/>
    <w:rsid w:val="00CC1551"/>
    <w:rsid w:val="00CC1769"/>
    <w:rsid w:val="00CC1B33"/>
    <w:rsid w:val="00CC21A6"/>
    <w:rsid w:val="00CC276F"/>
    <w:rsid w:val="00CC31B8"/>
    <w:rsid w:val="00CC44EC"/>
    <w:rsid w:val="00CC4F2C"/>
    <w:rsid w:val="00CC508A"/>
    <w:rsid w:val="00CC5910"/>
    <w:rsid w:val="00CC5ECF"/>
    <w:rsid w:val="00CC7240"/>
    <w:rsid w:val="00CC774D"/>
    <w:rsid w:val="00CC7E8E"/>
    <w:rsid w:val="00CD1348"/>
    <w:rsid w:val="00CD1527"/>
    <w:rsid w:val="00CD1A84"/>
    <w:rsid w:val="00CD1AD1"/>
    <w:rsid w:val="00CD2748"/>
    <w:rsid w:val="00CD2849"/>
    <w:rsid w:val="00CD374A"/>
    <w:rsid w:val="00CD38C0"/>
    <w:rsid w:val="00CD41A6"/>
    <w:rsid w:val="00CD43D6"/>
    <w:rsid w:val="00CD4505"/>
    <w:rsid w:val="00CD46C5"/>
    <w:rsid w:val="00CD54FE"/>
    <w:rsid w:val="00CD5514"/>
    <w:rsid w:val="00CD5C97"/>
    <w:rsid w:val="00CD6190"/>
    <w:rsid w:val="00CD61ED"/>
    <w:rsid w:val="00CD650B"/>
    <w:rsid w:val="00CD6C26"/>
    <w:rsid w:val="00CD6DD6"/>
    <w:rsid w:val="00CD7078"/>
    <w:rsid w:val="00CD7117"/>
    <w:rsid w:val="00CD77FA"/>
    <w:rsid w:val="00CE09D3"/>
    <w:rsid w:val="00CE106F"/>
    <w:rsid w:val="00CE1AD9"/>
    <w:rsid w:val="00CE1ED8"/>
    <w:rsid w:val="00CE345F"/>
    <w:rsid w:val="00CE4610"/>
    <w:rsid w:val="00CE5324"/>
    <w:rsid w:val="00CE6628"/>
    <w:rsid w:val="00CE66DA"/>
    <w:rsid w:val="00CE6BBA"/>
    <w:rsid w:val="00CE6C1D"/>
    <w:rsid w:val="00CE6E5B"/>
    <w:rsid w:val="00CE74EE"/>
    <w:rsid w:val="00CE79F3"/>
    <w:rsid w:val="00CE7F91"/>
    <w:rsid w:val="00CF0073"/>
    <w:rsid w:val="00CF0590"/>
    <w:rsid w:val="00CF0946"/>
    <w:rsid w:val="00CF0ABC"/>
    <w:rsid w:val="00CF0E49"/>
    <w:rsid w:val="00CF1012"/>
    <w:rsid w:val="00CF10A3"/>
    <w:rsid w:val="00CF1572"/>
    <w:rsid w:val="00CF1593"/>
    <w:rsid w:val="00CF1ABB"/>
    <w:rsid w:val="00CF2274"/>
    <w:rsid w:val="00CF302C"/>
    <w:rsid w:val="00CF34A4"/>
    <w:rsid w:val="00CF36E5"/>
    <w:rsid w:val="00CF4037"/>
    <w:rsid w:val="00CF5AC6"/>
    <w:rsid w:val="00CF5C72"/>
    <w:rsid w:val="00CF5DDB"/>
    <w:rsid w:val="00CF6027"/>
    <w:rsid w:val="00CF6F4F"/>
    <w:rsid w:val="00CF72AC"/>
    <w:rsid w:val="00CF7382"/>
    <w:rsid w:val="00CF74DF"/>
    <w:rsid w:val="00CF7636"/>
    <w:rsid w:val="00D001C4"/>
    <w:rsid w:val="00D00F21"/>
    <w:rsid w:val="00D00F23"/>
    <w:rsid w:val="00D0100D"/>
    <w:rsid w:val="00D0240F"/>
    <w:rsid w:val="00D0248C"/>
    <w:rsid w:val="00D02515"/>
    <w:rsid w:val="00D032AC"/>
    <w:rsid w:val="00D054D4"/>
    <w:rsid w:val="00D05554"/>
    <w:rsid w:val="00D0588D"/>
    <w:rsid w:val="00D05FBF"/>
    <w:rsid w:val="00D06087"/>
    <w:rsid w:val="00D062C9"/>
    <w:rsid w:val="00D06303"/>
    <w:rsid w:val="00D104A4"/>
    <w:rsid w:val="00D10855"/>
    <w:rsid w:val="00D11CF7"/>
    <w:rsid w:val="00D11DF6"/>
    <w:rsid w:val="00D11F8A"/>
    <w:rsid w:val="00D12137"/>
    <w:rsid w:val="00D12614"/>
    <w:rsid w:val="00D1357C"/>
    <w:rsid w:val="00D1391B"/>
    <w:rsid w:val="00D13985"/>
    <w:rsid w:val="00D13CBF"/>
    <w:rsid w:val="00D13EE3"/>
    <w:rsid w:val="00D15842"/>
    <w:rsid w:val="00D15F7D"/>
    <w:rsid w:val="00D16D91"/>
    <w:rsid w:val="00D17093"/>
    <w:rsid w:val="00D20622"/>
    <w:rsid w:val="00D2075A"/>
    <w:rsid w:val="00D208AD"/>
    <w:rsid w:val="00D20920"/>
    <w:rsid w:val="00D20B24"/>
    <w:rsid w:val="00D2143F"/>
    <w:rsid w:val="00D22214"/>
    <w:rsid w:val="00D22AB0"/>
    <w:rsid w:val="00D23381"/>
    <w:rsid w:val="00D2348C"/>
    <w:rsid w:val="00D23B0F"/>
    <w:rsid w:val="00D24B19"/>
    <w:rsid w:val="00D26E10"/>
    <w:rsid w:val="00D27256"/>
    <w:rsid w:val="00D27468"/>
    <w:rsid w:val="00D27C0E"/>
    <w:rsid w:val="00D30018"/>
    <w:rsid w:val="00D301BF"/>
    <w:rsid w:val="00D30A18"/>
    <w:rsid w:val="00D30D2F"/>
    <w:rsid w:val="00D316E3"/>
    <w:rsid w:val="00D31FE4"/>
    <w:rsid w:val="00D321C2"/>
    <w:rsid w:val="00D321CE"/>
    <w:rsid w:val="00D32742"/>
    <w:rsid w:val="00D329EC"/>
    <w:rsid w:val="00D32B35"/>
    <w:rsid w:val="00D32D45"/>
    <w:rsid w:val="00D3321B"/>
    <w:rsid w:val="00D339DC"/>
    <w:rsid w:val="00D33F14"/>
    <w:rsid w:val="00D34B76"/>
    <w:rsid w:val="00D35258"/>
    <w:rsid w:val="00D3531E"/>
    <w:rsid w:val="00D35FC4"/>
    <w:rsid w:val="00D36448"/>
    <w:rsid w:val="00D365DD"/>
    <w:rsid w:val="00D37BC2"/>
    <w:rsid w:val="00D406FD"/>
    <w:rsid w:val="00D40E48"/>
    <w:rsid w:val="00D4352B"/>
    <w:rsid w:val="00D43729"/>
    <w:rsid w:val="00D43906"/>
    <w:rsid w:val="00D43E34"/>
    <w:rsid w:val="00D44370"/>
    <w:rsid w:val="00D448A7"/>
    <w:rsid w:val="00D44B4E"/>
    <w:rsid w:val="00D44BF6"/>
    <w:rsid w:val="00D44F08"/>
    <w:rsid w:val="00D455B0"/>
    <w:rsid w:val="00D45713"/>
    <w:rsid w:val="00D46DAE"/>
    <w:rsid w:val="00D46F33"/>
    <w:rsid w:val="00D47E3C"/>
    <w:rsid w:val="00D5152A"/>
    <w:rsid w:val="00D5175F"/>
    <w:rsid w:val="00D53D6C"/>
    <w:rsid w:val="00D549D4"/>
    <w:rsid w:val="00D54D99"/>
    <w:rsid w:val="00D565D1"/>
    <w:rsid w:val="00D56889"/>
    <w:rsid w:val="00D577F3"/>
    <w:rsid w:val="00D57CF7"/>
    <w:rsid w:val="00D60080"/>
    <w:rsid w:val="00D6058C"/>
    <w:rsid w:val="00D60CF4"/>
    <w:rsid w:val="00D60DCE"/>
    <w:rsid w:val="00D60EE1"/>
    <w:rsid w:val="00D614B5"/>
    <w:rsid w:val="00D61600"/>
    <w:rsid w:val="00D61948"/>
    <w:rsid w:val="00D61B44"/>
    <w:rsid w:val="00D61B4A"/>
    <w:rsid w:val="00D61E49"/>
    <w:rsid w:val="00D625A4"/>
    <w:rsid w:val="00D630BC"/>
    <w:rsid w:val="00D63285"/>
    <w:rsid w:val="00D638BE"/>
    <w:rsid w:val="00D63BDC"/>
    <w:rsid w:val="00D64316"/>
    <w:rsid w:val="00D651AC"/>
    <w:rsid w:val="00D65B78"/>
    <w:rsid w:val="00D670D3"/>
    <w:rsid w:val="00D672B9"/>
    <w:rsid w:val="00D674F2"/>
    <w:rsid w:val="00D677FE"/>
    <w:rsid w:val="00D678DC"/>
    <w:rsid w:val="00D67ABB"/>
    <w:rsid w:val="00D67B93"/>
    <w:rsid w:val="00D67DF3"/>
    <w:rsid w:val="00D70790"/>
    <w:rsid w:val="00D70D45"/>
    <w:rsid w:val="00D7200A"/>
    <w:rsid w:val="00D7305E"/>
    <w:rsid w:val="00D73991"/>
    <w:rsid w:val="00D73CCB"/>
    <w:rsid w:val="00D75095"/>
    <w:rsid w:val="00D751D7"/>
    <w:rsid w:val="00D7614B"/>
    <w:rsid w:val="00D762A4"/>
    <w:rsid w:val="00D76DAA"/>
    <w:rsid w:val="00D77E53"/>
    <w:rsid w:val="00D8083F"/>
    <w:rsid w:val="00D8155C"/>
    <w:rsid w:val="00D8156E"/>
    <w:rsid w:val="00D81677"/>
    <w:rsid w:val="00D82224"/>
    <w:rsid w:val="00D82335"/>
    <w:rsid w:val="00D8244E"/>
    <w:rsid w:val="00D8271A"/>
    <w:rsid w:val="00D83DE5"/>
    <w:rsid w:val="00D84469"/>
    <w:rsid w:val="00D850EA"/>
    <w:rsid w:val="00D8553E"/>
    <w:rsid w:val="00D85793"/>
    <w:rsid w:val="00D87801"/>
    <w:rsid w:val="00D87B73"/>
    <w:rsid w:val="00D901A7"/>
    <w:rsid w:val="00D906B9"/>
    <w:rsid w:val="00D9117E"/>
    <w:rsid w:val="00D914F3"/>
    <w:rsid w:val="00D91950"/>
    <w:rsid w:val="00D91BE3"/>
    <w:rsid w:val="00D93093"/>
    <w:rsid w:val="00D93E47"/>
    <w:rsid w:val="00D94E5F"/>
    <w:rsid w:val="00D94FDD"/>
    <w:rsid w:val="00D95818"/>
    <w:rsid w:val="00D95B98"/>
    <w:rsid w:val="00D95C3E"/>
    <w:rsid w:val="00D96BED"/>
    <w:rsid w:val="00D96F16"/>
    <w:rsid w:val="00D9785F"/>
    <w:rsid w:val="00DA0143"/>
    <w:rsid w:val="00DA09DA"/>
    <w:rsid w:val="00DA0E39"/>
    <w:rsid w:val="00DA1470"/>
    <w:rsid w:val="00DA195E"/>
    <w:rsid w:val="00DA19D5"/>
    <w:rsid w:val="00DA1C4D"/>
    <w:rsid w:val="00DA1F50"/>
    <w:rsid w:val="00DA1FEB"/>
    <w:rsid w:val="00DA2049"/>
    <w:rsid w:val="00DA225B"/>
    <w:rsid w:val="00DA4624"/>
    <w:rsid w:val="00DA53FE"/>
    <w:rsid w:val="00DA5630"/>
    <w:rsid w:val="00DA56E6"/>
    <w:rsid w:val="00DA5CE5"/>
    <w:rsid w:val="00DA6026"/>
    <w:rsid w:val="00DA635A"/>
    <w:rsid w:val="00DA6444"/>
    <w:rsid w:val="00DA671F"/>
    <w:rsid w:val="00DA679E"/>
    <w:rsid w:val="00DA67EE"/>
    <w:rsid w:val="00DA6969"/>
    <w:rsid w:val="00DA69D7"/>
    <w:rsid w:val="00DB04E9"/>
    <w:rsid w:val="00DB16B5"/>
    <w:rsid w:val="00DB1CA7"/>
    <w:rsid w:val="00DB256E"/>
    <w:rsid w:val="00DB2E45"/>
    <w:rsid w:val="00DB3DE6"/>
    <w:rsid w:val="00DB4218"/>
    <w:rsid w:val="00DB4CD1"/>
    <w:rsid w:val="00DB4CDA"/>
    <w:rsid w:val="00DB53FC"/>
    <w:rsid w:val="00DB5989"/>
    <w:rsid w:val="00DB60B1"/>
    <w:rsid w:val="00DB6DC7"/>
    <w:rsid w:val="00DB6E0B"/>
    <w:rsid w:val="00DB78F8"/>
    <w:rsid w:val="00DB793C"/>
    <w:rsid w:val="00DC0DD6"/>
    <w:rsid w:val="00DC11BA"/>
    <w:rsid w:val="00DC1C60"/>
    <w:rsid w:val="00DC1F24"/>
    <w:rsid w:val="00DC214D"/>
    <w:rsid w:val="00DC22BD"/>
    <w:rsid w:val="00DC2DA8"/>
    <w:rsid w:val="00DC3E62"/>
    <w:rsid w:val="00DC4AB2"/>
    <w:rsid w:val="00DC5052"/>
    <w:rsid w:val="00DC528B"/>
    <w:rsid w:val="00DC59CB"/>
    <w:rsid w:val="00DC5DC3"/>
    <w:rsid w:val="00DC5E14"/>
    <w:rsid w:val="00DC6942"/>
    <w:rsid w:val="00DC6A99"/>
    <w:rsid w:val="00DC6E8E"/>
    <w:rsid w:val="00DC7956"/>
    <w:rsid w:val="00DD038E"/>
    <w:rsid w:val="00DD0494"/>
    <w:rsid w:val="00DD0801"/>
    <w:rsid w:val="00DD133C"/>
    <w:rsid w:val="00DD15B8"/>
    <w:rsid w:val="00DD2918"/>
    <w:rsid w:val="00DD2CE2"/>
    <w:rsid w:val="00DD2E37"/>
    <w:rsid w:val="00DD2F78"/>
    <w:rsid w:val="00DD2F83"/>
    <w:rsid w:val="00DD30BD"/>
    <w:rsid w:val="00DD3501"/>
    <w:rsid w:val="00DD3B69"/>
    <w:rsid w:val="00DD3D6F"/>
    <w:rsid w:val="00DD5B43"/>
    <w:rsid w:val="00DD5C3D"/>
    <w:rsid w:val="00DD6279"/>
    <w:rsid w:val="00DD727E"/>
    <w:rsid w:val="00DD72C3"/>
    <w:rsid w:val="00DD7482"/>
    <w:rsid w:val="00DE07C0"/>
    <w:rsid w:val="00DE154D"/>
    <w:rsid w:val="00DE1C9F"/>
    <w:rsid w:val="00DE1DFC"/>
    <w:rsid w:val="00DE1F36"/>
    <w:rsid w:val="00DE2A22"/>
    <w:rsid w:val="00DE2F3A"/>
    <w:rsid w:val="00DE5446"/>
    <w:rsid w:val="00DE54DF"/>
    <w:rsid w:val="00DE5AB7"/>
    <w:rsid w:val="00DE6318"/>
    <w:rsid w:val="00DE63B7"/>
    <w:rsid w:val="00DE68A4"/>
    <w:rsid w:val="00DE7431"/>
    <w:rsid w:val="00DE7931"/>
    <w:rsid w:val="00DF0241"/>
    <w:rsid w:val="00DF040E"/>
    <w:rsid w:val="00DF0A73"/>
    <w:rsid w:val="00DF0F1D"/>
    <w:rsid w:val="00DF1B4B"/>
    <w:rsid w:val="00DF1BD9"/>
    <w:rsid w:val="00DF1D66"/>
    <w:rsid w:val="00DF2556"/>
    <w:rsid w:val="00DF28A0"/>
    <w:rsid w:val="00DF3817"/>
    <w:rsid w:val="00DF3A66"/>
    <w:rsid w:val="00DF3C08"/>
    <w:rsid w:val="00DF3C48"/>
    <w:rsid w:val="00DF4A0A"/>
    <w:rsid w:val="00DF51A5"/>
    <w:rsid w:val="00DF540B"/>
    <w:rsid w:val="00DF5548"/>
    <w:rsid w:val="00DF5685"/>
    <w:rsid w:val="00DF5CAF"/>
    <w:rsid w:val="00DF5FDD"/>
    <w:rsid w:val="00DF6BC3"/>
    <w:rsid w:val="00DF6C81"/>
    <w:rsid w:val="00DF6DB7"/>
    <w:rsid w:val="00E00232"/>
    <w:rsid w:val="00E00493"/>
    <w:rsid w:val="00E0092B"/>
    <w:rsid w:val="00E00D10"/>
    <w:rsid w:val="00E0111E"/>
    <w:rsid w:val="00E015C6"/>
    <w:rsid w:val="00E01E34"/>
    <w:rsid w:val="00E02259"/>
    <w:rsid w:val="00E026BE"/>
    <w:rsid w:val="00E027CC"/>
    <w:rsid w:val="00E03256"/>
    <w:rsid w:val="00E03573"/>
    <w:rsid w:val="00E038AC"/>
    <w:rsid w:val="00E03973"/>
    <w:rsid w:val="00E0500D"/>
    <w:rsid w:val="00E052D6"/>
    <w:rsid w:val="00E0596E"/>
    <w:rsid w:val="00E06914"/>
    <w:rsid w:val="00E06B20"/>
    <w:rsid w:val="00E06B3B"/>
    <w:rsid w:val="00E0787D"/>
    <w:rsid w:val="00E07E1F"/>
    <w:rsid w:val="00E07FFD"/>
    <w:rsid w:val="00E10097"/>
    <w:rsid w:val="00E1047E"/>
    <w:rsid w:val="00E112BA"/>
    <w:rsid w:val="00E1173E"/>
    <w:rsid w:val="00E1206E"/>
    <w:rsid w:val="00E120E7"/>
    <w:rsid w:val="00E121F5"/>
    <w:rsid w:val="00E123AA"/>
    <w:rsid w:val="00E12468"/>
    <w:rsid w:val="00E129B1"/>
    <w:rsid w:val="00E13176"/>
    <w:rsid w:val="00E138DE"/>
    <w:rsid w:val="00E144F2"/>
    <w:rsid w:val="00E14B0A"/>
    <w:rsid w:val="00E15999"/>
    <w:rsid w:val="00E15D20"/>
    <w:rsid w:val="00E15F5A"/>
    <w:rsid w:val="00E16035"/>
    <w:rsid w:val="00E160BA"/>
    <w:rsid w:val="00E16E41"/>
    <w:rsid w:val="00E1723A"/>
    <w:rsid w:val="00E17F05"/>
    <w:rsid w:val="00E20198"/>
    <w:rsid w:val="00E201DD"/>
    <w:rsid w:val="00E20463"/>
    <w:rsid w:val="00E2066C"/>
    <w:rsid w:val="00E2133C"/>
    <w:rsid w:val="00E21506"/>
    <w:rsid w:val="00E2192B"/>
    <w:rsid w:val="00E245ED"/>
    <w:rsid w:val="00E24D33"/>
    <w:rsid w:val="00E25127"/>
    <w:rsid w:val="00E25460"/>
    <w:rsid w:val="00E26069"/>
    <w:rsid w:val="00E272DC"/>
    <w:rsid w:val="00E27840"/>
    <w:rsid w:val="00E301BF"/>
    <w:rsid w:val="00E3074A"/>
    <w:rsid w:val="00E30971"/>
    <w:rsid w:val="00E3119D"/>
    <w:rsid w:val="00E31203"/>
    <w:rsid w:val="00E317D6"/>
    <w:rsid w:val="00E32092"/>
    <w:rsid w:val="00E32192"/>
    <w:rsid w:val="00E324AE"/>
    <w:rsid w:val="00E333CD"/>
    <w:rsid w:val="00E334E4"/>
    <w:rsid w:val="00E347F3"/>
    <w:rsid w:val="00E3594A"/>
    <w:rsid w:val="00E359B2"/>
    <w:rsid w:val="00E36C98"/>
    <w:rsid w:val="00E37B2A"/>
    <w:rsid w:val="00E37B31"/>
    <w:rsid w:val="00E37C84"/>
    <w:rsid w:val="00E37E78"/>
    <w:rsid w:val="00E4151C"/>
    <w:rsid w:val="00E420C2"/>
    <w:rsid w:val="00E4462E"/>
    <w:rsid w:val="00E45912"/>
    <w:rsid w:val="00E459C8"/>
    <w:rsid w:val="00E46509"/>
    <w:rsid w:val="00E46563"/>
    <w:rsid w:val="00E469B6"/>
    <w:rsid w:val="00E46E6E"/>
    <w:rsid w:val="00E47AEA"/>
    <w:rsid w:val="00E47B3B"/>
    <w:rsid w:val="00E50522"/>
    <w:rsid w:val="00E51AA9"/>
    <w:rsid w:val="00E52465"/>
    <w:rsid w:val="00E53C2B"/>
    <w:rsid w:val="00E53E97"/>
    <w:rsid w:val="00E53FCC"/>
    <w:rsid w:val="00E54616"/>
    <w:rsid w:val="00E54FAF"/>
    <w:rsid w:val="00E55018"/>
    <w:rsid w:val="00E5544E"/>
    <w:rsid w:val="00E55AC2"/>
    <w:rsid w:val="00E569A5"/>
    <w:rsid w:val="00E56B40"/>
    <w:rsid w:val="00E571E9"/>
    <w:rsid w:val="00E57F12"/>
    <w:rsid w:val="00E57FAC"/>
    <w:rsid w:val="00E60ADA"/>
    <w:rsid w:val="00E6162B"/>
    <w:rsid w:val="00E6203F"/>
    <w:rsid w:val="00E62C66"/>
    <w:rsid w:val="00E62E7A"/>
    <w:rsid w:val="00E63403"/>
    <w:rsid w:val="00E635FE"/>
    <w:rsid w:val="00E6365E"/>
    <w:rsid w:val="00E63908"/>
    <w:rsid w:val="00E63BBE"/>
    <w:rsid w:val="00E64227"/>
    <w:rsid w:val="00E6475F"/>
    <w:rsid w:val="00E659E0"/>
    <w:rsid w:val="00E66065"/>
    <w:rsid w:val="00E663DE"/>
    <w:rsid w:val="00E66C7B"/>
    <w:rsid w:val="00E67239"/>
    <w:rsid w:val="00E67425"/>
    <w:rsid w:val="00E676FE"/>
    <w:rsid w:val="00E67A9A"/>
    <w:rsid w:val="00E67AA3"/>
    <w:rsid w:val="00E67CD4"/>
    <w:rsid w:val="00E67E69"/>
    <w:rsid w:val="00E701B8"/>
    <w:rsid w:val="00E706A2"/>
    <w:rsid w:val="00E706FE"/>
    <w:rsid w:val="00E715DD"/>
    <w:rsid w:val="00E717E2"/>
    <w:rsid w:val="00E71833"/>
    <w:rsid w:val="00E71A28"/>
    <w:rsid w:val="00E721DE"/>
    <w:rsid w:val="00E729B3"/>
    <w:rsid w:val="00E743F6"/>
    <w:rsid w:val="00E74F4C"/>
    <w:rsid w:val="00E77070"/>
    <w:rsid w:val="00E77202"/>
    <w:rsid w:val="00E7770A"/>
    <w:rsid w:val="00E8014A"/>
    <w:rsid w:val="00E80CC7"/>
    <w:rsid w:val="00E814B6"/>
    <w:rsid w:val="00E82E1F"/>
    <w:rsid w:val="00E83561"/>
    <w:rsid w:val="00E83BDF"/>
    <w:rsid w:val="00E8477B"/>
    <w:rsid w:val="00E85003"/>
    <w:rsid w:val="00E85743"/>
    <w:rsid w:val="00E86632"/>
    <w:rsid w:val="00E86866"/>
    <w:rsid w:val="00E86BDC"/>
    <w:rsid w:val="00E86CD5"/>
    <w:rsid w:val="00E90B47"/>
    <w:rsid w:val="00E9110F"/>
    <w:rsid w:val="00E91EF1"/>
    <w:rsid w:val="00E92B0F"/>
    <w:rsid w:val="00E92E0B"/>
    <w:rsid w:val="00E93433"/>
    <w:rsid w:val="00E93CE0"/>
    <w:rsid w:val="00E93EBD"/>
    <w:rsid w:val="00E943AB"/>
    <w:rsid w:val="00E946BD"/>
    <w:rsid w:val="00E96453"/>
    <w:rsid w:val="00E96AC7"/>
    <w:rsid w:val="00E97467"/>
    <w:rsid w:val="00EA021C"/>
    <w:rsid w:val="00EA146D"/>
    <w:rsid w:val="00EA22D2"/>
    <w:rsid w:val="00EA29CF"/>
    <w:rsid w:val="00EA2E3D"/>
    <w:rsid w:val="00EA3127"/>
    <w:rsid w:val="00EA324A"/>
    <w:rsid w:val="00EA37B3"/>
    <w:rsid w:val="00EA5496"/>
    <w:rsid w:val="00EA5821"/>
    <w:rsid w:val="00EA5E2E"/>
    <w:rsid w:val="00EA5FA5"/>
    <w:rsid w:val="00EA60F3"/>
    <w:rsid w:val="00EA64C0"/>
    <w:rsid w:val="00EA6D6D"/>
    <w:rsid w:val="00EA7687"/>
    <w:rsid w:val="00EB061C"/>
    <w:rsid w:val="00EB06DD"/>
    <w:rsid w:val="00EB1E4D"/>
    <w:rsid w:val="00EB32CE"/>
    <w:rsid w:val="00EB3A82"/>
    <w:rsid w:val="00EB3DEE"/>
    <w:rsid w:val="00EB4386"/>
    <w:rsid w:val="00EB4780"/>
    <w:rsid w:val="00EB5AB9"/>
    <w:rsid w:val="00EB5EA6"/>
    <w:rsid w:val="00EB7757"/>
    <w:rsid w:val="00EB7B27"/>
    <w:rsid w:val="00EB7D88"/>
    <w:rsid w:val="00EC047A"/>
    <w:rsid w:val="00EC07DE"/>
    <w:rsid w:val="00EC1BB8"/>
    <w:rsid w:val="00EC256B"/>
    <w:rsid w:val="00EC2C32"/>
    <w:rsid w:val="00EC492A"/>
    <w:rsid w:val="00EC4DB2"/>
    <w:rsid w:val="00EC5788"/>
    <w:rsid w:val="00EC63B4"/>
    <w:rsid w:val="00EC6786"/>
    <w:rsid w:val="00EC6937"/>
    <w:rsid w:val="00EC6B38"/>
    <w:rsid w:val="00EC7074"/>
    <w:rsid w:val="00EC7865"/>
    <w:rsid w:val="00EC7C78"/>
    <w:rsid w:val="00EC7DCC"/>
    <w:rsid w:val="00ED1367"/>
    <w:rsid w:val="00ED2222"/>
    <w:rsid w:val="00ED227F"/>
    <w:rsid w:val="00ED29D4"/>
    <w:rsid w:val="00ED37F3"/>
    <w:rsid w:val="00ED39E5"/>
    <w:rsid w:val="00ED3FFE"/>
    <w:rsid w:val="00ED47BC"/>
    <w:rsid w:val="00ED4D06"/>
    <w:rsid w:val="00ED4F1A"/>
    <w:rsid w:val="00ED550D"/>
    <w:rsid w:val="00ED5D2B"/>
    <w:rsid w:val="00ED6421"/>
    <w:rsid w:val="00ED68F9"/>
    <w:rsid w:val="00ED6964"/>
    <w:rsid w:val="00ED6CCC"/>
    <w:rsid w:val="00ED6E50"/>
    <w:rsid w:val="00ED6F8A"/>
    <w:rsid w:val="00ED7447"/>
    <w:rsid w:val="00ED7960"/>
    <w:rsid w:val="00ED7BB9"/>
    <w:rsid w:val="00EE012E"/>
    <w:rsid w:val="00EE0994"/>
    <w:rsid w:val="00EE111F"/>
    <w:rsid w:val="00EE1186"/>
    <w:rsid w:val="00EE19C0"/>
    <w:rsid w:val="00EE1B8A"/>
    <w:rsid w:val="00EE1CA2"/>
    <w:rsid w:val="00EE2B85"/>
    <w:rsid w:val="00EE3D73"/>
    <w:rsid w:val="00EE4468"/>
    <w:rsid w:val="00EE5058"/>
    <w:rsid w:val="00EE5490"/>
    <w:rsid w:val="00EE5B19"/>
    <w:rsid w:val="00EE6388"/>
    <w:rsid w:val="00EE68B3"/>
    <w:rsid w:val="00EE6F18"/>
    <w:rsid w:val="00EE7744"/>
    <w:rsid w:val="00EE7CAE"/>
    <w:rsid w:val="00EF1F0F"/>
    <w:rsid w:val="00EF29B8"/>
    <w:rsid w:val="00EF2C33"/>
    <w:rsid w:val="00EF2E44"/>
    <w:rsid w:val="00EF33A1"/>
    <w:rsid w:val="00EF35A4"/>
    <w:rsid w:val="00EF36A2"/>
    <w:rsid w:val="00EF4CB8"/>
    <w:rsid w:val="00EF6214"/>
    <w:rsid w:val="00EF6A13"/>
    <w:rsid w:val="00EF709D"/>
    <w:rsid w:val="00EF7DC0"/>
    <w:rsid w:val="00F0015A"/>
    <w:rsid w:val="00F005C2"/>
    <w:rsid w:val="00F00A1B"/>
    <w:rsid w:val="00F01122"/>
    <w:rsid w:val="00F02C12"/>
    <w:rsid w:val="00F030A6"/>
    <w:rsid w:val="00F030EC"/>
    <w:rsid w:val="00F03412"/>
    <w:rsid w:val="00F03D1C"/>
    <w:rsid w:val="00F04D78"/>
    <w:rsid w:val="00F05082"/>
    <w:rsid w:val="00F052ED"/>
    <w:rsid w:val="00F055E1"/>
    <w:rsid w:val="00F05BBC"/>
    <w:rsid w:val="00F05F15"/>
    <w:rsid w:val="00F06A2E"/>
    <w:rsid w:val="00F07165"/>
    <w:rsid w:val="00F0790D"/>
    <w:rsid w:val="00F11799"/>
    <w:rsid w:val="00F1187F"/>
    <w:rsid w:val="00F11D89"/>
    <w:rsid w:val="00F11FEC"/>
    <w:rsid w:val="00F13371"/>
    <w:rsid w:val="00F13CAD"/>
    <w:rsid w:val="00F13D7B"/>
    <w:rsid w:val="00F1421D"/>
    <w:rsid w:val="00F14B4A"/>
    <w:rsid w:val="00F1505B"/>
    <w:rsid w:val="00F154BC"/>
    <w:rsid w:val="00F158FD"/>
    <w:rsid w:val="00F15EA6"/>
    <w:rsid w:val="00F16228"/>
    <w:rsid w:val="00F17069"/>
    <w:rsid w:val="00F171BF"/>
    <w:rsid w:val="00F177F0"/>
    <w:rsid w:val="00F179E7"/>
    <w:rsid w:val="00F20FFD"/>
    <w:rsid w:val="00F21BAF"/>
    <w:rsid w:val="00F22A07"/>
    <w:rsid w:val="00F2381F"/>
    <w:rsid w:val="00F249B3"/>
    <w:rsid w:val="00F24E77"/>
    <w:rsid w:val="00F2582D"/>
    <w:rsid w:val="00F261CF"/>
    <w:rsid w:val="00F26206"/>
    <w:rsid w:val="00F26932"/>
    <w:rsid w:val="00F269EE"/>
    <w:rsid w:val="00F2796C"/>
    <w:rsid w:val="00F3006C"/>
    <w:rsid w:val="00F30C77"/>
    <w:rsid w:val="00F30FD0"/>
    <w:rsid w:val="00F329E1"/>
    <w:rsid w:val="00F33B09"/>
    <w:rsid w:val="00F33D5E"/>
    <w:rsid w:val="00F33F0D"/>
    <w:rsid w:val="00F340F4"/>
    <w:rsid w:val="00F35259"/>
    <w:rsid w:val="00F357F0"/>
    <w:rsid w:val="00F35822"/>
    <w:rsid w:val="00F358D7"/>
    <w:rsid w:val="00F35C2D"/>
    <w:rsid w:val="00F3642B"/>
    <w:rsid w:val="00F364F0"/>
    <w:rsid w:val="00F36529"/>
    <w:rsid w:val="00F37A63"/>
    <w:rsid w:val="00F37B93"/>
    <w:rsid w:val="00F40239"/>
    <w:rsid w:val="00F42218"/>
    <w:rsid w:val="00F4328D"/>
    <w:rsid w:val="00F43C62"/>
    <w:rsid w:val="00F4402A"/>
    <w:rsid w:val="00F442E6"/>
    <w:rsid w:val="00F44436"/>
    <w:rsid w:val="00F45774"/>
    <w:rsid w:val="00F457B9"/>
    <w:rsid w:val="00F45DF9"/>
    <w:rsid w:val="00F4672F"/>
    <w:rsid w:val="00F47E41"/>
    <w:rsid w:val="00F51BFC"/>
    <w:rsid w:val="00F53419"/>
    <w:rsid w:val="00F54518"/>
    <w:rsid w:val="00F54EA5"/>
    <w:rsid w:val="00F558B9"/>
    <w:rsid w:val="00F55A80"/>
    <w:rsid w:val="00F55A86"/>
    <w:rsid w:val="00F55C6F"/>
    <w:rsid w:val="00F56057"/>
    <w:rsid w:val="00F56D28"/>
    <w:rsid w:val="00F57A51"/>
    <w:rsid w:val="00F57C8C"/>
    <w:rsid w:val="00F6050F"/>
    <w:rsid w:val="00F609A1"/>
    <w:rsid w:val="00F60E1B"/>
    <w:rsid w:val="00F60F79"/>
    <w:rsid w:val="00F6142D"/>
    <w:rsid w:val="00F61604"/>
    <w:rsid w:val="00F62972"/>
    <w:rsid w:val="00F633CD"/>
    <w:rsid w:val="00F637D2"/>
    <w:rsid w:val="00F63DA5"/>
    <w:rsid w:val="00F641F1"/>
    <w:rsid w:val="00F65669"/>
    <w:rsid w:val="00F65EFF"/>
    <w:rsid w:val="00F6692C"/>
    <w:rsid w:val="00F669D2"/>
    <w:rsid w:val="00F66F67"/>
    <w:rsid w:val="00F6750D"/>
    <w:rsid w:val="00F678B0"/>
    <w:rsid w:val="00F67A06"/>
    <w:rsid w:val="00F710A0"/>
    <w:rsid w:val="00F7238B"/>
    <w:rsid w:val="00F728D9"/>
    <w:rsid w:val="00F72F56"/>
    <w:rsid w:val="00F7396B"/>
    <w:rsid w:val="00F745C3"/>
    <w:rsid w:val="00F74B48"/>
    <w:rsid w:val="00F75607"/>
    <w:rsid w:val="00F75F3D"/>
    <w:rsid w:val="00F765F6"/>
    <w:rsid w:val="00F768C7"/>
    <w:rsid w:val="00F76C76"/>
    <w:rsid w:val="00F77F60"/>
    <w:rsid w:val="00F8088A"/>
    <w:rsid w:val="00F81ED6"/>
    <w:rsid w:val="00F8229A"/>
    <w:rsid w:val="00F82491"/>
    <w:rsid w:val="00F82816"/>
    <w:rsid w:val="00F82BF0"/>
    <w:rsid w:val="00F83087"/>
    <w:rsid w:val="00F832B8"/>
    <w:rsid w:val="00F843CE"/>
    <w:rsid w:val="00F854D8"/>
    <w:rsid w:val="00F85D08"/>
    <w:rsid w:val="00F86583"/>
    <w:rsid w:val="00F8661E"/>
    <w:rsid w:val="00F8781D"/>
    <w:rsid w:val="00F87BF2"/>
    <w:rsid w:val="00F87D44"/>
    <w:rsid w:val="00F902D8"/>
    <w:rsid w:val="00F904A4"/>
    <w:rsid w:val="00F9188D"/>
    <w:rsid w:val="00F91AA2"/>
    <w:rsid w:val="00F91D27"/>
    <w:rsid w:val="00F9273E"/>
    <w:rsid w:val="00F92A26"/>
    <w:rsid w:val="00F9376A"/>
    <w:rsid w:val="00F939B2"/>
    <w:rsid w:val="00F94191"/>
    <w:rsid w:val="00F945FB"/>
    <w:rsid w:val="00F95258"/>
    <w:rsid w:val="00F956E6"/>
    <w:rsid w:val="00F96459"/>
    <w:rsid w:val="00F964D8"/>
    <w:rsid w:val="00F9654A"/>
    <w:rsid w:val="00F96B8C"/>
    <w:rsid w:val="00F96F67"/>
    <w:rsid w:val="00F97D8F"/>
    <w:rsid w:val="00FA090B"/>
    <w:rsid w:val="00FA13BE"/>
    <w:rsid w:val="00FA15F5"/>
    <w:rsid w:val="00FA1A62"/>
    <w:rsid w:val="00FA1C67"/>
    <w:rsid w:val="00FA24E9"/>
    <w:rsid w:val="00FA2719"/>
    <w:rsid w:val="00FA455C"/>
    <w:rsid w:val="00FA49B1"/>
    <w:rsid w:val="00FA55F3"/>
    <w:rsid w:val="00FA5923"/>
    <w:rsid w:val="00FA64FB"/>
    <w:rsid w:val="00FA68E7"/>
    <w:rsid w:val="00FA6D15"/>
    <w:rsid w:val="00FA701D"/>
    <w:rsid w:val="00FA75A6"/>
    <w:rsid w:val="00FB0995"/>
    <w:rsid w:val="00FB1674"/>
    <w:rsid w:val="00FB1C1C"/>
    <w:rsid w:val="00FB1ED8"/>
    <w:rsid w:val="00FB2743"/>
    <w:rsid w:val="00FB34F3"/>
    <w:rsid w:val="00FB4916"/>
    <w:rsid w:val="00FB4F92"/>
    <w:rsid w:val="00FB6593"/>
    <w:rsid w:val="00FB6ED1"/>
    <w:rsid w:val="00FB7A3A"/>
    <w:rsid w:val="00FC0C8A"/>
    <w:rsid w:val="00FC21D7"/>
    <w:rsid w:val="00FC2C1F"/>
    <w:rsid w:val="00FC2CB9"/>
    <w:rsid w:val="00FC393C"/>
    <w:rsid w:val="00FC3956"/>
    <w:rsid w:val="00FC457C"/>
    <w:rsid w:val="00FC46BB"/>
    <w:rsid w:val="00FC47B7"/>
    <w:rsid w:val="00FC48C8"/>
    <w:rsid w:val="00FC4D87"/>
    <w:rsid w:val="00FC545C"/>
    <w:rsid w:val="00FC61A9"/>
    <w:rsid w:val="00FC6E34"/>
    <w:rsid w:val="00FC7144"/>
    <w:rsid w:val="00FC715F"/>
    <w:rsid w:val="00FC71F8"/>
    <w:rsid w:val="00FC7CBD"/>
    <w:rsid w:val="00FC7EBE"/>
    <w:rsid w:val="00FD0059"/>
    <w:rsid w:val="00FD0266"/>
    <w:rsid w:val="00FD05B2"/>
    <w:rsid w:val="00FD0AF9"/>
    <w:rsid w:val="00FD0DDE"/>
    <w:rsid w:val="00FD11A0"/>
    <w:rsid w:val="00FD13AF"/>
    <w:rsid w:val="00FD1A9A"/>
    <w:rsid w:val="00FD23BD"/>
    <w:rsid w:val="00FD3662"/>
    <w:rsid w:val="00FD3980"/>
    <w:rsid w:val="00FD4C8F"/>
    <w:rsid w:val="00FD4CA3"/>
    <w:rsid w:val="00FD54FA"/>
    <w:rsid w:val="00FD5599"/>
    <w:rsid w:val="00FD5839"/>
    <w:rsid w:val="00FD5AF9"/>
    <w:rsid w:val="00FD7367"/>
    <w:rsid w:val="00FD73AB"/>
    <w:rsid w:val="00FE016F"/>
    <w:rsid w:val="00FE0880"/>
    <w:rsid w:val="00FE0DD1"/>
    <w:rsid w:val="00FE0EBD"/>
    <w:rsid w:val="00FE2294"/>
    <w:rsid w:val="00FE247A"/>
    <w:rsid w:val="00FE2AA9"/>
    <w:rsid w:val="00FE30ED"/>
    <w:rsid w:val="00FE317A"/>
    <w:rsid w:val="00FE36F6"/>
    <w:rsid w:val="00FE38AC"/>
    <w:rsid w:val="00FE38DC"/>
    <w:rsid w:val="00FE3EF1"/>
    <w:rsid w:val="00FE44BC"/>
    <w:rsid w:val="00FE56B7"/>
    <w:rsid w:val="00FE5F2C"/>
    <w:rsid w:val="00FE6A9A"/>
    <w:rsid w:val="00FE6C79"/>
    <w:rsid w:val="00FE6F0F"/>
    <w:rsid w:val="00FF09E9"/>
    <w:rsid w:val="00FF1018"/>
    <w:rsid w:val="00FF16C0"/>
    <w:rsid w:val="00FF1B28"/>
    <w:rsid w:val="00FF26FB"/>
    <w:rsid w:val="00FF2AA0"/>
    <w:rsid w:val="00FF2D96"/>
    <w:rsid w:val="00FF2FC1"/>
    <w:rsid w:val="00FF33F7"/>
    <w:rsid w:val="00FF35CC"/>
    <w:rsid w:val="00FF3C29"/>
    <w:rsid w:val="00FF4148"/>
    <w:rsid w:val="00FF4ACF"/>
    <w:rsid w:val="00FF4C81"/>
    <w:rsid w:val="00FF5426"/>
    <w:rsid w:val="00FF5616"/>
    <w:rsid w:val="00FF5F5A"/>
    <w:rsid w:val="00FF6432"/>
    <w:rsid w:val="00FF6ECC"/>
    <w:rsid w:val="00FF7228"/>
    <w:rsid w:val="011D4B06"/>
    <w:rsid w:val="01521FCB"/>
    <w:rsid w:val="01543F82"/>
    <w:rsid w:val="01656686"/>
    <w:rsid w:val="02031731"/>
    <w:rsid w:val="021A37B7"/>
    <w:rsid w:val="026A2AAB"/>
    <w:rsid w:val="02BC1AD9"/>
    <w:rsid w:val="034C4D8B"/>
    <w:rsid w:val="039A08A8"/>
    <w:rsid w:val="03B952AD"/>
    <w:rsid w:val="0400294F"/>
    <w:rsid w:val="043F2EE8"/>
    <w:rsid w:val="047821C6"/>
    <w:rsid w:val="04A50FFD"/>
    <w:rsid w:val="054B3251"/>
    <w:rsid w:val="059B4B63"/>
    <w:rsid w:val="063A5D42"/>
    <w:rsid w:val="0649266B"/>
    <w:rsid w:val="06682CA6"/>
    <w:rsid w:val="06A97A11"/>
    <w:rsid w:val="07533944"/>
    <w:rsid w:val="07695AA2"/>
    <w:rsid w:val="079836F7"/>
    <w:rsid w:val="07B418FA"/>
    <w:rsid w:val="08456388"/>
    <w:rsid w:val="084E7CDC"/>
    <w:rsid w:val="08C73642"/>
    <w:rsid w:val="090620BA"/>
    <w:rsid w:val="0A763980"/>
    <w:rsid w:val="0B910B9F"/>
    <w:rsid w:val="0B922375"/>
    <w:rsid w:val="0BB951B0"/>
    <w:rsid w:val="0BF959D9"/>
    <w:rsid w:val="0CAC0C95"/>
    <w:rsid w:val="0D2C333E"/>
    <w:rsid w:val="0ED263CE"/>
    <w:rsid w:val="0F480367"/>
    <w:rsid w:val="0F573D84"/>
    <w:rsid w:val="0F5B58B9"/>
    <w:rsid w:val="0F704915"/>
    <w:rsid w:val="0F9B1A66"/>
    <w:rsid w:val="0FE45FFF"/>
    <w:rsid w:val="10820F09"/>
    <w:rsid w:val="11727730"/>
    <w:rsid w:val="119B3D6E"/>
    <w:rsid w:val="121F2395"/>
    <w:rsid w:val="125F0F10"/>
    <w:rsid w:val="128B500A"/>
    <w:rsid w:val="12A261C5"/>
    <w:rsid w:val="12B16B2C"/>
    <w:rsid w:val="138415C1"/>
    <w:rsid w:val="13953916"/>
    <w:rsid w:val="139865B1"/>
    <w:rsid w:val="148F3CEE"/>
    <w:rsid w:val="14A80D68"/>
    <w:rsid w:val="14CA132B"/>
    <w:rsid w:val="14EE512A"/>
    <w:rsid w:val="15307399"/>
    <w:rsid w:val="159160F7"/>
    <w:rsid w:val="15AA085F"/>
    <w:rsid w:val="15BD4C33"/>
    <w:rsid w:val="162009D3"/>
    <w:rsid w:val="16283322"/>
    <w:rsid w:val="16BC54D9"/>
    <w:rsid w:val="16C45D8C"/>
    <w:rsid w:val="179B0F18"/>
    <w:rsid w:val="17AD5186"/>
    <w:rsid w:val="17D26677"/>
    <w:rsid w:val="1825323A"/>
    <w:rsid w:val="182838A5"/>
    <w:rsid w:val="18A47DF6"/>
    <w:rsid w:val="18CE1DE3"/>
    <w:rsid w:val="18DE0ECD"/>
    <w:rsid w:val="19707CE2"/>
    <w:rsid w:val="1983642C"/>
    <w:rsid w:val="1A1F21D3"/>
    <w:rsid w:val="1A2B31BE"/>
    <w:rsid w:val="1A4E2D40"/>
    <w:rsid w:val="1A9F6BA3"/>
    <w:rsid w:val="1B1B28B3"/>
    <w:rsid w:val="1B31471C"/>
    <w:rsid w:val="1B6D6277"/>
    <w:rsid w:val="1BF47374"/>
    <w:rsid w:val="1C134D87"/>
    <w:rsid w:val="1C214DB3"/>
    <w:rsid w:val="1C8442AB"/>
    <w:rsid w:val="1C8A5FA6"/>
    <w:rsid w:val="1CDB68AA"/>
    <w:rsid w:val="1D5A795E"/>
    <w:rsid w:val="1D5D51B6"/>
    <w:rsid w:val="1D600C8F"/>
    <w:rsid w:val="1D854625"/>
    <w:rsid w:val="1DE8653D"/>
    <w:rsid w:val="1E5A2694"/>
    <w:rsid w:val="1EB77F02"/>
    <w:rsid w:val="1ED05056"/>
    <w:rsid w:val="1F2F7A3F"/>
    <w:rsid w:val="1F411913"/>
    <w:rsid w:val="1F990E44"/>
    <w:rsid w:val="205214B6"/>
    <w:rsid w:val="21056C15"/>
    <w:rsid w:val="21114C7D"/>
    <w:rsid w:val="21B26DD5"/>
    <w:rsid w:val="21FB20EF"/>
    <w:rsid w:val="22124F41"/>
    <w:rsid w:val="22DA2985"/>
    <w:rsid w:val="2375175F"/>
    <w:rsid w:val="23A54C92"/>
    <w:rsid w:val="23DB4221"/>
    <w:rsid w:val="23FF1451"/>
    <w:rsid w:val="2433657F"/>
    <w:rsid w:val="252E0812"/>
    <w:rsid w:val="2542678B"/>
    <w:rsid w:val="2547465B"/>
    <w:rsid w:val="258501BB"/>
    <w:rsid w:val="25A72198"/>
    <w:rsid w:val="262B2451"/>
    <w:rsid w:val="266E14AE"/>
    <w:rsid w:val="271757FD"/>
    <w:rsid w:val="271A0DF9"/>
    <w:rsid w:val="27377806"/>
    <w:rsid w:val="27580BAF"/>
    <w:rsid w:val="27590944"/>
    <w:rsid w:val="27946740"/>
    <w:rsid w:val="28694280"/>
    <w:rsid w:val="289B7820"/>
    <w:rsid w:val="28AE1218"/>
    <w:rsid w:val="28ED70B0"/>
    <w:rsid w:val="298B7C0E"/>
    <w:rsid w:val="29947335"/>
    <w:rsid w:val="2A0304A2"/>
    <w:rsid w:val="2A291D40"/>
    <w:rsid w:val="2A5B0DA3"/>
    <w:rsid w:val="2A7A7067"/>
    <w:rsid w:val="2AA579FE"/>
    <w:rsid w:val="2B211EC4"/>
    <w:rsid w:val="2BA04453"/>
    <w:rsid w:val="2BA858B0"/>
    <w:rsid w:val="2BB60581"/>
    <w:rsid w:val="2BF32BE5"/>
    <w:rsid w:val="2C77421E"/>
    <w:rsid w:val="2C8A5E1D"/>
    <w:rsid w:val="2DA308B0"/>
    <w:rsid w:val="2E7728A6"/>
    <w:rsid w:val="2E841ABB"/>
    <w:rsid w:val="2F142DB8"/>
    <w:rsid w:val="2F1D686B"/>
    <w:rsid w:val="2F3009ED"/>
    <w:rsid w:val="2F5B19BC"/>
    <w:rsid w:val="2F6428B0"/>
    <w:rsid w:val="2F8F2068"/>
    <w:rsid w:val="2F935A62"/>
    <w:rsid w:val="2F9A29D2"/>
    <w:rsid w:val="2FBF4217"/>
    <w:rsid w:val="31055663"/>
    <w:rsid w:val="3149571C"/>
    <w:rsid w:val="3199056D"/>
    <w:rsid w:val="31D268FA"/>
    <w:rsid w:val="3227540B"/>
    <w:rsid w:val="326170B4"/>
    <w:rsid w:val="327F43C7"/>
    <w:rsid w:val="32DD3695"/>
    <w:rsid w:val="33597009"/>
    <w:rsid w:val="33A335BB"/>
    <w:rsid w:val="341C2737"/>
    <w:rsid w:val="342D5EA1"/>
    <w:rsid w:val="34A96F5D"/>
    <w:rsid w:val="34C0053C"/>
    <w:rsid w:val="34F7251D"/>
    <w:rsid w:val="35BD7214"/>
    <w:rsid w:val="36163464"/>
    <w:rsid w:val="365C3439"/>
    <w:rsid w:val="36C22083"/>
    <w:rsid w:val="378B5243"/>
    <w:rsid w:val="37D375A1"/>
    <w:rsid w:val="37E22C7C"/>
    <w:rsid w:val="37FE2EB2"/>
    <w:rsid w:val="38A605FA"/>
    <w:rsid w:val="397E561C"/>
    <w:rsid w:val="39C71A33"/>
    <w:rsid w:val="39E05065"/>
    <w:rsid w:val="3A1023C8"/>
    <w:rsid w:val="3A7D09A9"/>
    <w:rsid w:val="3B0424ED"/>
    <w:rsid w:val="3B562979"/>
    <w:rsid w:val="3C682866"/>
    <w:rsid w:val="3CA431AD"/>
    <w:rsid w:val="3D7F11F2"/>
    <w:rsid w:val="3E247595"/>
    <w:rsid w:val="3E774770"/>
    <w:rsid w:val="3EAB49A6"/>
    <w:rsid w:val="3EFB0117"/>
    <w:rsid w:val="3F74573D"/>
    <w:rsid w:val="3F8450DC"/>
    <w:rsid w:val="3F980919"/>
    <w:rsid w:val="3FEB40E2"/>
    <w:rsid w:val="40E01DEA"/>
    <w:rsid w:val="40E46C32"/>
    <w:rsid w:val="414E4552"/>
    <w:rsid w:val="419A5BEC"/>
    <w:rsid w:val="41AA6225"/>
    <w:rsid w:val="41CA742C"/>
    <w:rsid w:val="4209475A"/>
    <w:rsid w:val="423D135F"/>
    <w:rsid w:val="42E33DC2"/>
    <w:rsid w:val="430C2EFF"/>
    <w:rsid w:val="445B385A"/>
    <w:rsid w:val="458D2233"/>
    <w:rsid w:val="45921FCD"/>
    <w:rsid w:val="461C4A5C"/>
    <w:rsid w:val="46557D80"/>
    <w:rsid w:val="46682BE9"/>
    <w:rsid w:val="46690087"/>
    <w:rsid w:val="467C5888"/>
    <w:rsid w:val="46B63BD4"/>
    <w:rsid w:val="476C667C"/>
    <w:rsid w:val="47703EB9"/>
    <w:rsid w:val="48762417"/>
    <w:rsid w:val="498A575F"/>
    <w:rsid w:val="49977650"/>
    <w:rsid w:val="4AAA06A4"/>
    <w:rsid w:val="4B590EE2"/>
    <w:rsid w:val="4D8275FD"/>
    <w:rsid w:val="4D910021"/>
    <w:rsid w:val="4DA06A02"/>
    <w:rsid w:val="4DA7414F"/>
    <w:rsid w:val="4DB75E81"/>
    <w:rsid w:val="4DC314FD"/>
    <w:rsid w:val="4DFB3C09"/>
    <w:rsid w:val="4E5F2502"/>
    <w:rsid w:val="4E892B0C"/>
    <w:rsid w:val="4F195D21"/>
    <w:rsid w:val="4F3413C9"/>
    <w:rsid w:val="4F505C01"/>
    <w:rsid w:val="50451DEF"/>
    <w:rsid w:val="506E0832"/>
    <w:rsid w:val="50994F3E"/>
    <w:rsid w:val="514E7F89"/>
    <w:rsid w:val="51F715B2"/>
    <w:rsid w:val="520E0266"/>
    <w:rsid w:val="522E1326"/>
    <w:rsid w:val="528B1756"/>
    <w:rsid w:val="530719E0"/>
    <w:rsid w:val="535A0572"/>
    <w:rsid w:val="536D3D54"/>
    <w:rsid w:val="541A4391"/>
    <w:rsid w:val="542821D3"/>
    <w:rsid w:val="54F00A60"/>
    <w:rsid w:val="550373A6"/>
    <w:rsid w:val="558B549E"/>
    <w:rsid w:val="559D6EA4"/>
    <w:rsid w:val="55A81880"/>
    <w:rsid w:val="55AF6B1A"/>
    <w:rsid w:val="55E225EE"/>
    <w:rsid w:val="567F1297"/>
    <w:rsid w:val="576C7B3B"/>
    <w:rsid w:val="57EC54FE"/>
    <w:rsid w:val="583602A2"/>
    <w:rsid w:val="58C77761"/>
    <w:rsid w:val="58EA29BC"/>
    <w:rsid w:val="599A0BF8"/>
    <w:rsid w:val="5A4059F6"/>
    <w:rsid w:val="5A4542AC"/>
    <w:rsid w:val="5A817505"/>
    <w:rsid w:val="5AB55249"/>
    <w:rsid w:val="5ADC2F12"/>
    <w:rsid w:val="5AE6440F"/>
    <w:rsid w:val="5AF1047B"/>
    <w:rsid w:val="5AF91617"/>
    <w:rsid w:val="5C3D3C20"/>
    <w:rsid w:val="5C6061CD"/>
    <w:rsid w:val="5D011A23"/>
    <w:rsid w:val="5D3E654F"/>
    <w:rsid w:val="5E6E31E4"/>
    <w:rsid w:val="5EAE0C28"/>
    <w:rsid w:val="5EF95CBD"/>
    <w:rsid w:val="5EFE2EBE"/>
    <w:rsid w:val="5F9979A5"/>
    <w:rsid w:val="5FEF292B"/>
    <w:rsid w:val="602D192C"/>
    <w:rsid w:val="604E4D8C"/>
    <w:rsid w:val="60C35E7D"/>
    <w:rsid w:val="611C3D69"/>
    <w:rsid w:val="6162688E"/>
    <w:rsid w:val="61F155BD"/>
    <w:rsid w:val="61F70B50"/>
    <w:rsid w:val="62080618"/>
    <w:rsid w:val="621E261C"/>
    <w:rsid w:val="62436C6C"/>
    <w:rsid w:val="62FA64D6"/>
    <w:rsid w:val="63696E0D"/>
    <w:rsid w:val="6465351D"/>
    <w:rsid w:val="64B55C23"/>
    <w:rsid w:val="64D66144"/>
    <w:rsid w:val="653A7F33"/>
    <w:rsid w:val="65851C90"/>
    <w:rsid w:val="65BD51AA"/>
    <w:rsid w:val="65C836E3"/>
    <w:rsid w:val="67760859"/>
    <w:rsid w:val="67992F55"/>
    <w:rsid w:val="68887EED"/>
    <w:rsid w:val="693D1B94"/>
    <w:rsid w:val="694524A5"/>
    <w:rsid w:val="698E2372"/>
    <w:rsid w:val="69A7751E"/>
    <w:rsid w:val="6AF86B50"/>
    <w:rsid w:val="6B313368"/>
    <w:rsid w:val="6B40168C"/>
    <w:rsid w:val="6B861B45"/>
    <w:rsid w:val="6BAF1AED"/>
    <w:rsid w:val="6C627F06"/>
    <w:rsid w:val="6C787278"/>
    <w:rsid w:val="6D116946"/>
    <w:rsid w:val="6D422602"/>
    <w:rsid w:val="6D902DCB"/>
    <w:rsid w:val="6DA3629B"/>
    <w:rsid w:val="6E0C3940"/>
    <w:rsid w:val="6EA52704"/>
    <w:rsid w:val="6F334B58"/>
    <w:rsid w:val="6F3E7828"/>
    <w:rsid w:val="703F41DD"/>
    <w:rsid w:val="70A870EE"/>
    <w:rsid w:val="70B17F5B"/>
    <w:rsid w:val="70C760F5"/>
    <w:rsid w:val="71D65C0F"/>
    <w:rsid w:val="7313680E"/>
    <w:rsid w:val="73252A11"/>
    <w:rsid w:val="732D7E3E"/>
    <w:rsid w:val="73C50DCB"/>
    <w:rsid w:val="73DC0B1E"/>
    <w:rsid w:val="73F54AA1"/>
    <w:rsid w:val="740F6610"/>
    <w:rsid w:val="742222C8"/>
    <w:rsid w:val="74385131"/>
    <w:rsid w:val="74400B2B"/>
    <w:rsid w:val="74A46AB0"/>
    <w:rsid w:val="758C1FDF"/>
    <w:rsid w:val="76C05BA0"/>
    <w:rsid w:val="7762799F"/>
    <w:rsid w:val="77CA5215"/>
    <w:rsid w:val="78245E0F"/>
    <w:rsid w:val="789622FF"/>
    <w:rsid w:val="791E2FC3"/>
    <w:rsid w:val="792F3D53"/>
    <w:rsid w:val="79C64055"/>
    <w:rsid w:val="7A714BB4"/>
    <w:rsid w:val="7B026B67"/>
    <w:rsid w:val="7B6F3616"/>
    <w:rsid w:val="7BF82D5D"/>
    <w:rsid w:val="7C72032F"/>
    <w:rsid w:val="7CBF40FA"/>
    <w:rsid w:val="7D1A2561"/>
    <w:rsid w:val="7D857EFE"/>
    <w:rsid w:val="7E3D0EC5"/>
    <w:rsid w:val="7E812274"/>
    <w:rsid w:val="7E900103"/>
    <w:rsid w:val="7EB72F2A"/>
    <w:rsid w:val="7EC472F6"/>
    <w:rsid w:val="7EDF14C3"/>
    <w:rsid w:val="7F773DCD"/>
    <w:rsid w:val="7F9043F7"/>
    <w:rsid w:val="7FBB6136"/>
    <w:rsid w:val="7FF77C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cs="Times New Roman" w:eastAsiaTheme="minorEastAsia"/>
      <w:kern w:val="2"/>
      <w:sz w:val="28"/>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66"/>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3" w:lineRule="auto"/>
      <w:outlineLvl w:val="2"/>
    </w:pPr>
    <w:rPr>
      <w:b/>
      <w:bCs/>
      <w:sz w:val="32"/>
      <w:szCs w:val="32"/>
    </w:rPr>
  </w:style>
  <w:style w:type="paragraph" w:styleId="5">
    <w:name w:val="heading 4"/>
    <w:basedOn w:val="1"/>
    <w:next w:val="1"/>
    <w:qFormat/>
    <w:uiPriority w:val="0"/>
    <w:pPr>
      <w:keepNext/>
      <w:keepLines/>
      <w:adjustRightInd w:val="0"/>
      <w:snapToGrid w:val="0"/>
      <w:spacing w:before="280" w:after="290" w:line="372" w:lineRule="auto"/>
      <w:outlineLvl w:val="3"/>
    </w:pPr>
    <w:rPr>
      <w:rFonts w:ascii="Arial" w:hAnsi="Arial" w:eastAsia="黑体"/>
      <w:b/>
      <w:bCs/>
      <w:sz w:val="30"/>
      <w:szCs w:val="28"/>
    </w:rPr>
  </w:style>
  <w:style w:type="paragraph" w:styleId="6">
    <w:name w:val="heading 5"/>
    <w:basedOn w:val="1"/>
    <w:next w:val="1"/>
    <w:qFormat/>
    <w:uiPriority w:val="0"/>
    <w:pPr>
      <w:keepNext/>
      <w:keepLines/>
      <w:adjustRightInd w:val="0"/>
      <w:snapToGrid w:val="0"/>
      <w:spacing w:before="280" w:after="120" w:line="377" w:lineRule="auto"/>
      <w:outlineLvl w:val="4"/>
    </w:pPr>
    <w:rPr>
      <w:b/>
      <w:bCs/>
      <w:szCs w:val="28"/>
    </w:rPr>
  </w:style>
  <w:style w:type="paragraph" w:styleId="7">
    <w:name w:val="heading 6"/>
    <w:next w:val="8"/>
    <w:qFormat/>
    <w:uiPriority w:val="0"/>
    <w:pPr>
      <w:keepNext/>
      <w:numPr>
        <w:ilvl w:val="0"/>
        <w:numId w:val="1"/>
      </w:numPr>
      <w:spacing w:beforeLines="50" w:afterLines="50" w:line="360" w:lineRule="auto"/>
      <w:outlineLvl w:val="5"/>
    </w:pPr>
    <w:rPr>
      <w:rFonts w:ascii="楷体_GB2312" w:hAnsi="Calibri" w:eastAsia="楷体_GB2312" w:cs="Times New Roman"/>
      <w:b/>
      <w:sz w:val="28"/>
      <w:shd w:val="pct10" w:color="auto" w:fill="FFFFFF"/>
      <w:lang w:val="en-US" w:eastAsia="zh-CN" w:bidi="ar-SA"/>
    </w:rPr>
  </w:style>
  <w:style w:type="paragraph" w:styleId="9">
    <w:name w:val="heading 7"/>
    <w:basedOn w:val="1"/>
    <w:next w:val="8"/>
    <w:qFormat/>
    <w:uiPriority w:val="0"/>
    <w:pPr>
      <w:keepNext/>
      <w:numPr>
        <w:ilvl w:val="0"/>
        <w:numId w:val="2"/>
      </w:numPr>
      <w:spacing w:line="400" w:lineRule="exact"/>
      <w:ind w:left="424" w:hanging="424" w:hangingChars="163"/>
      <w:outlineLvl w:val="6"/>
    </w:pPr>
    <w:rPr>
      <w:rFonts w:ascii="宋体" w:hAnsi="Arial" w:eastAsia="楷体_GB2312"/>
      <w:spacing w:val="20"/>
      <w:szCs w:val="20"/>
    </w:rPr>
  </w:style>
  <w:style w:type="paragraph" w:styleId="10">
    <w:name w:val="heading 8"/>
    <w:basedOn w:val="1"/>
    <w:next w:val="8"/>
    <w:qFormat/>
    <w:uiPriority w:val="0"/>
    <w:pPr>
      <w:keepNext/>
      <w:keepLines/>
      <w:spacing w:before="240" w:after="64" w:line="317" w:lineRule="auto"/>
      <w:outlineLvl w:val="7"/>
    </w:pPr>
    <w:rPr>
      <w:rFonts w:ascii="Arial" w:hAnsi="Arial" w:eastAsia="黑体"/>
      <w:sz w:val="24"/>
      <w:szCs w:val="20"/>
    </w:rPr>
  </w:style>
  <w:style w:type="paragraph" w:styleId="11">
    <w:name w:val="heading 9"/>
    <w:basedOn w:val="1"/>
    <w:next w:val="8"/>
    <w:qFormat/>
    <w:uiPriority w:val="0"/>
    <w:pPr>
      <w:keepNext/>
      <w:keepLines/>
      <w:spacing w:before="240" w:after="64" w:line="317" w:lineRule="auto"/>
      <w:outlineLvl w:val="8"/>
    </w:pPr>
    <w:rPr>
      <w:rFonts w:ascii="Arial" w:hAnsi="Arial" w:eastAsia="黑体"/>
      <w:sz w:val="21"/>
      <w:szCs w:val="20"/>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8">
    <w:name w:val="Normal Indent"/>
    <w:basedOn w:val="1"/>
    <w:link w:val="64"/>
    <w:qFormat/>
    <w:uiPriority w:val="0"/>
    <w:pPr>
      <w:adjustRightInd w:val="0"/>
      <w:spacing w:line="360" w:lineRule="auto"/>
      <w:ind w:firstLine="420"/>
    </w:pPr>
    <w:rPr>
      <w:rFonts w:hint="eastAsia" w:ascii="宋体" w:hAnsi="Arial"/>
      <w:kern w:val="0"/>
      <w:sz w:val="24"/>
      <w:szCs w:val="20"/>
    </w:rPr>
  </w:style>
  <w:style w:type="paragraph" w:styleId="12">
    <w:name w:val="toc 7"/>
    <w:basedOn w:val="1"/>
    <w:next w:val="1"/>
    <w:semiHidden/>
    <w:qFormat/>
    <w:uiPriority w:val="0"/>
    <w:pPr>
      <w:ind w:left="1680"/>
      <w:jc w:val="left"/>
    </w:pPr>
    <w:rPr>
      <w:sz w:val="18"/>
      <w:szCs w:val="18"/>
    </w:rPr>
  </w:style>
  <w:style w:type="paragraph" w:styleId="13">
    <w:name w:val="List Number 2"/>
    <w:basedOn w:val="1"/>
    <w:qFormat/>
    <w:uiPriority w:val="0"/>
    <w:pPr>
      <w:tabs>
        <w:tab w:val="left" w:pos="840"/>
      </w:tabs>
      <w:adjustRightInd w:val="0"/>
      <w:snapToGrid w:val="0"/>
      <w:spacing w:line="360" w:lineRule="auto"/>
      <w:ind w:left="840" w:hanging="420"/>
    </w:pPr>
  </w:style>
  <w:style w:type="paragraph" w:styleId="14">
    <w:name w:val="Document Map"/>
    <w:basedOn w:val="1"/>
    <w:qFormat/>
    <w:uiPriority w:val="0"/>
    <w:pPr>
      <w:shd w:val="clear" w:color="auto" w:fill="000080"/>
    </w:pPr>
  </w:style>
  <w:style w:type="paragraph" w:styleId="15">
    <w:name w:val="annotation text"/>
    <w:basedOn w:val="1"/>
    <w:link w:val="71"/>
    <w:qFormat/>
    <w:uiPriority w:val="0"/>
    <w:pPr>
      <w:jc w:val="left"/>
    </w:pPr>
    <w:rPr>
      <w:sz w:val="24"/>
    </w:rPr>
  </w:style>
  <w:style w:type="paragraph" w:styleId="16">
    <w:name w:val="Body Text 3"/>
    <w:basedOn w:val="1"/>
    <w:qFormat/>
    <w:uiPriority w:val="0"/>
    <w:pPr>
      <w:spacing w:line="280" w:lineRule="exact"/>
    </w:pPr>
    <w:rPr>
      <w:rFonts w:ascii="宋体" w:hAnsi="宋体"/>
      <w:sz w:val="24"/>
    </w:rPr>
  </w:style>
  <w:style w:type="paragraph" w:styleId="17">
    <w:name w:val="Body Text"/>
    <w:basedOn w:val="1"/>
    <w:link w:val="74"/>
    <w:qFormat/>
    <w:uiPriority w:val="0"/>
    <w:rPr>
      <w:szCs w:val="20"/>
    </w:rPr>
  </w:style>
  <w:style w:type="paragraph" w:styleId="18">
    <w:name w:val="Body Text Indent"/>
    <w:basedOn w:val="1"/>
    <w:link w:val="81"/>
    <w:qFormat/>
    <w:uiPriority w:val="0"/>
    <w:pPr>
      <w:ind w:firstLine="480" w:firstLineChars="200"/>
    </w:pPr>
    <w:rPr>
      <w:rFonts w:ascii="幼圆" w:eastAsia="幼圆"/>
      <w:sz w:val="24"/>
    </w:rPr>
  </w:style>
  <w:style w:type="paragraph" w:styleId="19">
    <w:name w:val="List Number 3"/>
    <w:basedOn w:val="1"/>
    <w:qFormat/>
    <w:uiPriority w:val="0"/>
    <w:pPr>
      <w:tabs>
        <w:tab w:val="left" w:pos="1560"/>
      </w:tabs>
      <w:adjustRightInd w:val="0"/>
      <w:snapToGrid w:val="0"/>
      <w:spacing w:line="360" w:lineRule="auto"/>
      <w:ind w:left="1010" w:hanging="170"/>
    </w:pPr>
  </w:style>
  <w:style w:type="paragraph" w:styleId="20">
    <w:name w:val="toc 5"/>
    <w:basedOn w:val="1"/>
    <w:next w:val="1"/>
    <w:semiHidden/>
    <w:qFormat/>
    <w:uiPriority w:val="0"/>
    <w:pPr>
      <w:ind w:left="1120"/>
      <w:jc w:val="left"/>
    </w:pPr>
    <w:rPr>
      <w:sz w:val="18"/>
      <w:szCs w:val="18"/>
    </w:rPr>
  </w:style>
  <w:style w:type="paragraph" w:styleId="21">
    <w:name w:val="toc 3"/>
    <w:basedOn w:val="1"/>
    <w:next w:val="1"/>
    <w:qFormat/>
    <w:uiPriority w:val="0"/>
    <w:pPr>
      <w:ind w:left="560"/>
      <w:jc w:val="left"/>
    </w:pPr>
    <w:rPr>
      <w:i/>
      <w:iCs/>
      <w:sz w:val="20"/>
      <w:szCs w:val="20"/>
    </w:rPr>
  </w:style>
  <w:style w:type="paragraph" w:styleId="22">
    <w:name w:val="Plain Text"/>
    <w:basedOn w:val="1"/>
    <w:link w:val="67"/>
    <w:qFormat/>
    <w:uiPriority w:val="0"/>
    <w:rPr>
      <w:rFonts w:ascii="宋体" w:hAnsi="Courier New"/>
      <w:sz w:val="21"/>
      <w:szCs w:val="20"/>
    </w:rPr>
  </w:style>
  <w:style w:type="paragraph" w:styleId="23">
    <w:name w:val="toc 8"/>
    <w:basedOn w:val="1"/>
    <w:next w:val="1"/>
    <w:semiHidden/>
    <w:qFormat/>
    <w:uiPriority w:val="0"/>
    <w:pPr>
      <w:ind w:left="1960"/>
      <w:jc w:val="left"/>
    </w:pPr>
    <w:rPr>
      <w:sz w:val="18"/>
      <w:szCs w:val="18"/>
    </w:rPr>
  </w:style>
  <w:style w:type="paragraph" w:styleId="24">
    <w:name w:val="Date"/>
    <w:basedOn w:val="1"/>
    <w:next w:val="1"/>
    <w:link w:val="63"/>
    <w:qFormat/>
    <w:uiPriority w:val="0"/>
    <w:rPr>
      <w:sz w:val="24"/>
      <w:szCs w:val="20"/>
    </w:rPr>
  </w:style>
  <w:style w:type="paragraph" w:styleId="25">
    <w:name w:val="Body Text Indent 2"/>
    <w:basedOn w:val="1"/>
    <w:link w:val="51"/>
    <w:qFormat/>
    <w:uiPriority w:val="0"/>
    <w:pPr>
      <w:spacing w:line="360" w:lineRule="auto"/>
      <w:ind w:right="-31" w:rightChars="-15" w:firstLine="756" w:firstLineChars="270"/>
    </w:pPr>
  </w:style>
  <w:style w:type="paragraph" w:styleId="26">
    <w:name w:val="Balloon Text"/>
    <w:basedOn w:val="1"/>
    <w:qFormat/>
    <w:uiPriority w:val="0"/>
    <w:rPr>
      <w:sz w:val="18"/>
      <w:szCs w:val="18"/>
    </w:rPr>
  </w:style>
  <w:style w:type="paragraph" w:styleId="27">
    <w:name w:val="footer"/>
    <w:basedOn w:val="1"/>
    <w:link w:val="75"/>
    <w:qFormat/>
    <w:uiPriority w:val="0"/>
    <w:pPr>
      <w:tabs>
        <w:tab w:val="center" w:pos="4153"/>
        <w:tab w:val="right" w:pos="8306"/>
      </w:tabs>
      <w:snapToGrid w:val="0"/>
      <w:jc w:val="left"/>
    </w:pPr>
    <w:rPr>
      <w:sz w:val="18"/>
      <w:szCs w:val="18"/>
    </w:rPr>
  </w:style>
  <w:style w:type="paragraph" w:styleId="28">
    <w:name w:val="header"/>
    <w:basedOn w:val="1"/>
    <w:link w:val="62"/>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39"/>
    <w:pPr>
      <w:spacing w:before="120" w:after="120"/>
      <w:jc w:val="left"/>
    </w:pPr>
    <w:rPr>
      <w:b/>
      <w:bCs/>
      <w:caps/>
      <w:sz w:val="20"/>
      <w:szCs w:val="20"/>
    </w:rPr>
  </w:style>
  <w:style w:type="paragraph" w:styleId="30">
    <w:name w:val="toc 4"/>
    <w:basedOn w:val="1"/>
    <w:next w:val="1"/>
    <w:semiHidden/>
    <w:qFormat/>
    <w:uiPriority w:val="0"/>
    <w:pPr>
      <w:ind w:left="840"/>
      <w:jc w:val="left"/>
    </w:pPr>
    <w:rPr>
      <w:sz w:val="18"/>
      <w:szCs w:val="18"/>
    </w:rPr>
  </w:style>
  <w:style w:type="paragraph" w:styleId="31">
    <w:name w:val="toc 6"/>
    <w:basedOn w:val="1"/>
    <w:next w:val="1"/>
    <w:semiHidden/>
    <w:qFormat/>
    <w:uiPriority w:val="0"/>
    <w:pPr>
      <w:ind w:left="1400"/>
      <w:jc w:val="left"/>
    </w:pPr>
    <w:rPr>
      <w:sz w:val="18"/>
      <w:szCs w:val="18"/>
    </w:rPr>
  </w:style>
  <w:style w:type="paragraph" w:styleId="32">
    <w:name w:val="Body Text Indent 3"/>
    <w:basedOn w:val="1"/>
    <w:qFormat/>
    <w:uiPriority w:val="0"/>
    <w:pPr>
      <w:ind w:firstLine="280" w:firstLineChars="100"/>
    </w:pPr>
    <w:rPr>
      <w:szCs w:val="20"/>
    </w:rPr>
  </w:style>
  <w:style w:type="paragraph" w:styleId="33">
    <w:name w:val="toc 2"/>
    <w:basedOn w:val="1"/>
    <w:next w:val="1"/>
    <w:qFormat/>
    <w:uiPriority w:val="39"/>
    <w:pPr>
      <w:ind w:left="280"/>
      <w:jc w:val="left"/>
    </w:pPr>
    <w:rPr>
      <w:smallCaps/>
      <w:sz w:val="20"/>
      <w:szCs w:val="20"/>
    </w:rPr>
  </w:style>
  <w:style w:type="paragraph" w:styleId="34">
    <w:name w:val="toc 9"/>
    <w:basedOn w:val="1"/>
    <w:next w:val="1"/>
    <w:semiHidden/>
    <w:qFormat/>
    <w:uiPriority w:val="0"/>
    <w:pPr>
      <w:ind w:left="2240"/>
      <w:jc w:val="left"/>
    </w:pPr>
    <w:rPr>
      <w:sz w:val="18"/>
      <w:szCs w:val="18"/>
    </w:rPr>
  </w:style>
  <w:style w:type="paragraph" w:styleId="35">
    <w:name w:val="Body Text 2"/>
    <w:basedOn w:val="1"/>
    <w:qFormat/>
    <w:uiPriority w:val="0"/>
    <w:pPr>
      <w:spacing w:line="280" w:lineRule="exact"/>
      <w:jc w:val="center"/>
    </w:pPr>
    <w:rPr>
      <w:rFonts w:ascii="宋体" w:hAnsi="宋体"/>
      <w:spacing w:val="-12"/>
      <w:sz w:val="24"/>
    </w:rPr>
  </w:style>
  <w:style w:type="paragraph" w:styleId="36">
    <w:name w:val="HTML Preformatted"/>
    <w:basedOn w:val="1"/>
    <w:link w:val="14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3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8">
    <w:name w:val="annotation subject"/>
    <w:basedOn w:val="15"/>
    <w:next w:val="15"/>
    <w:link w:val="149"/>
    <w:semiHidden/>
    <w:unhideWhenUsed/>
    <w:qFormat/>
    <w:uiPriority w:val="0"/>
    <w:rPr>
      <w:b/>
      <w:bCs/>
      <w:sz w:val="28"/>
    </w:r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Strong"/>
    <w:qFormat/>
    <w:uiPriority w:val="22"/>
    <w:rPr>
      <w:b/>
      <w:bCs/>
    </w:rPr>
  </w:style>
  <w:style w:type="character" w:styleId="43">
    <w:name w:val="page number"/>
    <w:basedOn w:val="41"/>
    <w:qFormat/>
    <w:uiPriority w:val="0"/>
  </w:style>
  <w:style w:type="character" w:styleId="44">
    <w:name w:val="Hyperlink"/>
    <w:qFormat/>
    <w:uiPriority w:val="99"/>
    <w:rPr>
      <w:color w:val="0000FF"/>
      <w:u w:val="single"/>
    </w:rPr>
  </w:style>
  <w:style w:type="character" w:styleId="45">
    <w:name w:val="annotation reference"/>
    <w:basedOn w:val="41"/>
    <w:semiHidden/>
    <w:unhideWhenUsed/>
    <w:qFormat/>
    <w:uiPriority w:val="0"/>
    <w:rPr>
      <w:sz w:val="21"/>
      <w:szCs w:val="21"/>
    </w:rPr>
  </w:style>
  <w:style w:type="character" w:customStyle="1" w:styleId="46">
    <w:name w:val="纯文本 Char1"/>
    <w:qFormat/>
    <w:uiPriority w:val="0"/>
    <w:rPr>
      <w:rFonts w:ascii="宋体" w:hAnsi="Courier New" w:eastAsia="宋体"/>
      <w:kern w:val="2"/>
      <w:sz w:val="21"/>
      <w:lang w:val="en-US" w:eastAsia="zh-CN" w:bidi="ar-SA"/>
    </w:rPr>
  </w:style>
  <w:style w:type="character" w:customStyle="1" w:styleId="47">
    <w:name w:val="text"/>
    <w:basedOn w:val="41"/>
    <w:qFormat/>
    <w:uiPriority w:val="0"/>
  </w:style>
  <w:style w:type="character" w:customStyle="1" w:styleId="48">
    <w:name w:val="para1"/>
    <w:qFormat/>
    <w:uiPriority w:val="0"/>
    <w:rPr>
      <w:rFonts w:hint="default" w:ascii="Arial" w:hAnsi="Arial" w:cs="Arial"/>
      <w:sz w:val="18"/>
      <w:szCs w:val="18"/>
    </w:rPr>
  </w:style>
  <w:style w:type="character" w:customStyle="1" w:styleId="49">
    <w:name w:val="font01"/>
    <w:qFormat/>
    <w:uiPriority w:val="0"/>
    <w:rPr>
      <w:rFonts w:hint="eastAsia" w:ascii="宋体" w:hAnsi="宋体" w:eastAsia="宋体" w:cs="宋体"/>
      <w:color w:val="000000"/>
      <w:sz w:val="20"/>
      <w:szCs w:val="20"/>
      <w:u w:val="none"/>
    </w:rPr>
  </w:style>
  <w:style w:type="character" w:customStyle="1" w:styleId="50">
    <w:name w:val="font91"/>
    <w:qFormat/>
    <w:uiPriority w:val="0"/>
    <w:rPr>
      <w:rFonts w:hint="eastAsia" w:ascii="新宋体" w:hAnsi="新宋体" w:eastAsia="新宋体" w:cs="新宋体"/>
      <w:color w:val="000000"/>
      <w:sz w:val="20"/>
      <w:szCs w:val="20"/>
      <w:u w:val="none"/>
    </w:rPr>
  </w:style>
  <w:style w:type="character" w:customStyle="1" w:styleId="51">
    <w:name w:val="正文文本缩进 2 Char"/>
    <w:link w:val="25"/>
    <w:qFormat/>
    <w:uiPriority w:val="0"/>
    <w:rPr>
      <w:rFonts w:eastAsia="宋体"/>
      <w:kern w:val="2"/>
      <w:sz w:val="28"/>
      <w:szCs w:val="24"/>
      <w:lang w:val="en-US" w:eastAsia="zh-CN" w:bidi="ar-SA"/>
    </w:rPr>
  </w:style>
  <w:style w:type="character" w:customStyle="1" w:styleId="52">
    <w:name w:val="font101"/>
    <w:qFormat/>
    <w:uiPriority w:val="0"/>
    <w:rPr>
      <w:rFonts w:hint="eastAsia" w:ascii="宋体" w:hAnsi="宋体" w:eastAsia="宋体" w:cs="宋体"/>
      <w:color w:val="000000"/>
      <w:sz w:val="20"/>
      <w:szCs w:val="20"/>
      <w:u w:val="none"/>
    </w:rPr>
  </w:style>
  <w:style w:type="character" w:customStyle="1" w:styleId="53">
    <w:name w:val="fontwz1"/>
    <w:qFormat/>
    <w:uiPriority w:val="0"/>
    <w:rPr>
      <w:sz w:val="22"/>
      <w:szCs w:val="22"/>
    </w:rPr>
  </w:style>
  <w:style w:type="character" w:customStyle="1" w:styleId="54">
    <w:name w:val="font11"/>
    <w:qFormat/>
    <w:uiPriority w:val="0"/>
    <w:rPr>
      <w:rFonts w:hint="default" w:ascii="Calibri" w:hAnsi="Calibri" w:cs="Calibri"/>
      <w:color w:val="000000"/>
      <w:sz w:val="20"/>
      <w:szCs w:val="20"/>
      <w:u w:val="none"/>
    </w:rPr>
  </w:style>
  <w:style w:type="character" w:customStyle="1" w:styleId="55">
    <w:name w:val="font111"/>
    <w:qFormat/>
    <w:uiPriority w:val="0"/>
    <w:rPr>
      <w:rFonts w:hint="eastAsia" w:ascii="新宋体" w:hAnsi="新宋体" w:eastAsia="新宋体" w:cs="新宋体"/>
      <w:color w:val="000000"/>
      <w:sz w:val="20"/>
      <w:szCs w:val="20"/>
      <w:u w:val="none"/>
      <w:vertAlign w:val="superscript"/>
    </w:rPr>
  </w:style>
  <w:style w:type="character" w:customStyle="1" w:styleId="56">
    <w:name w:val="批注文字 Char1"/>
    <w:qFormat/>
    <w:uiPriority w:val="0"/>
    <w:rPr>
      <w:kern w:val="2"/>
      <w:sz w:val="28"/>
      <w:szCs w:val="24"/>
    </w:rPr>
  </w:style>
  <w:style w:type="character" w:customStyle="1" w:styleId="57">
    <w:name w:val="font51"/>
    <w:qFormat/>
    <w:uiPriority w:val="0"/>
    <w:rPr>
      <w:rFonts w:hint="eastAsia" w:ascii="新宋体" w:hAnsi="新宋体" w:eastAsia="新宋体" w:cs="新宋体"/>
      <w:color w:val="000000"/>
      <w:sz w:val="20"/>
      <w:szCs w:val="20"/>
      <w:u w:val="none"/>
      <w:vertAlign w:val="superscript"/>
    </w:rPr>
  </w:style>
  <w:style w:type="character" w:customStyle="1" w:styleId="58">
    <w:name w:val="访问过的超链接1"/>
    <w:qFormat/>
    <w:uiPriority w:val="99"/>
    <w:rPr>
      <w:color w:val="800080"/>
      <w:u w:val="single"/>
    </w:rPr>
  </w:style>
  <w:style w:type="character" w:customStyle="1" w:styleId="59">
    <w:name w:val="p1"/>
    <w:basedOn w:val="41"/>
    <w:qFormat/>
    <w:uiPriority w:val="0"/>
  </w:style>
  <w:style w:type="character" w:customStyle="1" w:styleId="60">
    <w:name w:val="font31"/>
    <w:qFormat/>
    <w:uiPriority w:val="0"/>
    <w:rPr>
      <w:rFonts w:hint="eastAsia" w:ascii="新宋体" w:hAnsi="新宋体" w:eastAsia="新宋体" w:cs="新宋体"/>
      <w:color w:val="000000"/>
      <w:sz w:val="20"/>
      <w:szCs w:val="20"/>
      <w:u w:val="none"/>
    </w:rPr>
  </w:style>
  <w:style w:type="character" w:customStyle="1" w:styleId="61">
    <w:name w:val="cpx13huei"/>
    <w:basedOn w:val="41"/>
    <w:qFormat/>
    <w:uiPriority w:val="0"/>
  </w:style>
  <w:style w:type="character" w:customStyle="1" w:styleId="62">
    <w:name w:val="页眉 Char"/>
    <w:link w:val="28"/>
    <w:qFormat/>
    <w:uiPriority w:val="99"/>
    <w:rPr>
      <w:kern w:val="2"/>
      <w:sz w:val="18"/>
      <w:szCs w:val="18"/>
    </w:rPr>
  </w:style>
  <w:style w:type="character" w:customStyle="1" w:styleId="63">
    <w:name w:val="日期 Char"/>
    <w:link w:val="24"/>
    <w:qFormat/>
    <w:uiPriority w:val="0"/>
    <w:rPr>
      <w:kern w:val="2"/>
      <w:sz w:val="24"/>
    </w:rPr>
  </w:style>
  <w:style w:type="character" w:customStyle="1" w:styleId="64">
    <w:name w:val="正文缩进 Char1"/>
    <w:link w:val="8"/>
    <w:qFormat/>
    <w:uiPriority w:val="0"/>
    <w:rPr>
      <w:rFonts w:hint="eastAsia" w:ascii="宋体" w:hAnsi="Arial" w:eastAsia="宋体" w:cs="宋体"/>
      <w:sz w:val="24"/>
    </w:rPr>
  </w:style>
  <w:style w:type="character" w:customStyle="1" w:styleId="65">
    <w:name w:val="font41"/>
    <w:qFormat/>
    <w:uiPriority w:val="0"/>
    <w:rPr>
      <w:rFonts w:hint="eastAsia" w:ascii="新宋体" w:hAnsi="新宋体" w:eastAsia="新宋体" w:cs="新宋体"/>
      <w:color w:val="000000"/>
      <w:sz w:val="20"/>
      <w:szCs w:val="20"/>
      <w:u w:val="none"/>
    </w:rPr>
  </w:style>
  <w:style w:type="character" w:customStyle="1" w:styleId="66">
    <w:name w:val="标题 2 Char"/>
    <w:link w:val="3"/>
    <w:qFormat/>
    <w:uiPriority w:val="0"/>
    <w:rPr>
      <w:rFonts w:ascii="Arial" w:hAnsi="Arial" w:eastAsia="黑体"/>
      <w:b/>
      <w:bCs/>
      <w:kern w:val="2"/>
      <w:sz w:val="32"/>
      <w:szCs w:val="32"/>
      <w:lang w:val="en-US" w:eastAsia="zh-CN" w:bidi="ar-SA"/>
    </w:rPr>
  </w:style>
  <w:style w:type="character" w:customStyle="1" w:styleId="67">
    <w:name w:val="纯文本 Char"/>
    <w:link w:val="22"/>
    <w:qFormat/>
    <w:uiPriority w:val="0"/>
    <w:rPr>
      <w:rFonts w:ascii="宋体" w:hAnsi="Courier New" w:eastAsia="宋体"/>
      <w:kern w:val="2"/>
      <w:sz w:val="21"/>
      <w:lang w:val="en-US" w:eastAsia="zh-CN" w:bidi="ar-SA"/>
    </w:rPr>
  </w:style>
  <w:style w:type="character" w:customStyle="1" w:styleId="68">
    <w:name w:val="Default Char Char"/>
    <w:link w:val="69"/>
    <w:qFormat/>
    <w:uiPriority w:val="0"/>
    <w:rPr>
      <w:rFonts w:ascii="宋体"/>
      <w:color w:val="000000"/>
      <w:sz w:val="24"/>
      <w:szCs w:val="24"/>
      <w:lang w:val="en-US" w:eastAsia="zh-CN" w:bidi="ar-SA"/>
    </w:rPr>
  </w:style>
  <w:style w:type="paragraph" w:customStyle="1" w:styleId="69">
    <w:name w:val="Default"/>
    <w:link w:val="68"/>
    <w:qFormat/>
    <w:uiPriority w:val="0"/>
    <w:pPr>
      <w:widowControl w:val="0"/>
      <w:autoSpaceDE w:val="0"/>
      <w:autoSpaceDN w:val="0"/>
      <w:adjustRightInd w:val="0"/>
    </w:pPr>
    <w:rPr>
      <w:rFonts w:ascii="宋体" w:hAnsi="Calibri" w:cs="Times New Roman" w:eastAsiaTheme="minorEastAsia"/>
      <w:color w:val="000000"/>
      <w:sz w:val="24"/>
      <w:szCs w:val="24"/>
      <w:lang w:val="en-US" w:eastAsia="zh-CN" w:bidi="ar-SA"/>
    </w:rPr>
  </w:style>
  <w:style w:type="character" w:customStyle="1" w:styleId="70">
    <w:name w:val="v151"/>
    <w:qFormat/>
    <w:uiPriority w:val="0"/>
    <w:rPr>
      <w:sz w:val="18"/>
      <w:szCs w:val="18"/>
    </w:rPr>
  </w:style>
  <w:style w:type="character" w:customStyle="1" w:styleId="71">
    <w:name w:val="批注文字 Char"/>
    <w:link w:val="15"/>
    <w:qFormat/>
    <w:uiPriority w:val="0"/>
    <w:rPr>
      <w:kern w:val="2"/>
      <w:sz w:val="24"/>
      <w:szCs w:val="24"/>
    </w:rPr>
  </w:style>
  <w:style w:type="character" w:customStyle="1" w:styleId="72">
    <w:name w:val="blacktext"/>
    <w:basedOn w:val="41"/>
    <w:qFormat/>
    <w:uiPriority w:val="0"/>
  </w:style>
  <w:style w:type="character" w:customStyle="1" w:styleId="73">
    <w:name w:val="个人撰写风格"/>
    <w:qFormat/>
    <w:uiPriority w:val="0"/>
    <w:rPr>
      <w:rFonts w:ascii="Arial" w:hAnsi="Arial" w:eastAsia="宋体" w:cs="Arial"/>
      <w:color w:val="auto"/>
      <w:sz w:val="20"/>
    </w:rPr>
  </w:style>
  <w:style w:type="character" w:customStyle="1" w:styleId="74">
    <w:name w:val="正文文本 Char"/>
    <w:link w:val="17"/>
    <w:qFormat/>
    <w:uiPriority w:val="0"/>
    <w:rPr>
      <w:kern w:val="2"/>
      <w:sz w:val="28"/>
    </w:rPr>
  </w:style>
  <w:style w:type="character" w:customStyle="1" w:styleId="75">
    <w:name w:val="页脚 Char"/>
    <w:link w:val="27"/>
    <w:qFormat/>
    <w:uiPriority w:val="0"/>
    <w:rPr>
      <w:kern w:val="2"/>
      <w:sz w:val="18"/>
      <w:szCs w:val="18"/>
    </w:rPr>
  </w:style>
  <w:style w:type="character" w:customStyle="1" w:styleId="76">
    <w:name w:val="font81"/>
    <w:qFormat/>
    <w:uiPriority w:val="0"/>
    <w:rPr>
      <w:rFonts w:hint="eastAsia" w:ascii="宋体" w:hAnsi="宋体" w:eastAsia="宋体" w:cs="宋体"/>
      <w:color w:val="000000"/>
      <w:sz w:val="20"/>
      <w:szCs w:val="20"/>
      <w:u w:val="none"/>
      <w:vertAlign w:val="superscript"/>
    </w:rPr>
  </w:style>
  <w:style w:type="character" w:customStyle="1" w:styleId="77">
    <w:name w:val="px14"/>
    <w:basedOn w:val="41"/>
    <w:qFormat/>
    <w:uiPriority w:val="0"/>
  </w:style>
  <w:style w:type="character" w:customStyle="1" w:styleId="78">
    <w:name w:val="p1481"/>
    <w:qFormat/>
    <w:uiPriority w:val="0"/>
    <w:rPr>
      <w:color w:val="515151"/>
      <w:sz w:val="25"/>
      <w:szCs w:val="25"/>
    </w:rPr>
  </w:style>
  <w:style w:type="character" w:customStyle="1" w:styleId="79">
    <w:name w:val="正文缩进 Char"/>
    <w:qFormat/>
    <w:uiPriority w:val="0"/>
    <w:rPr>
      <w:rFonts w:ascii="宋体" w:hAnsi="Arial" w:eastAsia="宋体"/>
      <w:sz w:val="24"/>
      <w:lang w:val="en-US" w:eastAsia="zh-CN" w:bidi="ar-SA"/>
    </w:rPr>
  </w:style>
  <w:style w:type="character" w:customStyle="1" w:styleId="80">
    <w:name w:val="个人答复风格"/>
    <w:qFormat/>
    <w:uiPriority w:val="0"/>
    <w:rPr>
      <w:rFonts w:ascii="Arial" w:hAnsi="Arial" w:eastAsia="宋体" w:cs="Arial"/>
      <w:color w:val="auto"/>
      <w:sz w:val="20"/>
    </w:rPr>
  </w:style>
  <w:style w:type="character" w:customStyle="1" w:styleId="81">
    <w:name w:val="正文文本缩进 Char"/>
    <w:link w:val="18"/>
    <w:qFormat/>
    <w:uiPriority w:val="0"/>
    <w:rPr>
      <w:rFonts w:ascii="幼圆" w:eastAsia="幼圆"/>
      <w:kern w:val="2"/>
      <w:sz w:val="24"/>
      <w:szCs w:val="24"/>
    </w:rPr>
  </w:style>
  <w:style w:type="paragraph" w:customStyle="1" w:styleId="82">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83">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4">
    <w:name w:val="Char1"/>
    <w:basedOn w:val="1"/>
    <w:qFormat/>
    <w:uiPriority w:val="0"/>
    <w:rPr>
      <w:rFonts w:ascii="Tahoma" w:hAnsi="Tahoma"/>
      <w:sz w:val="24"/>
      <w:szCs w:val="20"/>
    </w:rPr>
  </w:style>
  <w:style w:type="paragraph" w:customStyle="1" w:styleId="8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6">
    <w:name w:val="a"/>
    <w:basedOn w:val="1"/>
    <w:qFormat/>
    <w:uiPriority w:val="0"/>
    <w:pPr>
      <w:widowControl/>
      <w:jc w:val="left"/>
    </w:pPr>
    <w:rPr>
      <w:rFonts w:ascii="宋体" w:hAnsi="宋体" w:cs="宋体"/>
      <w:kern w:val="0"/>
      <w:sz w:val="24"/>
    </w:rPr>
  </w:style>
  <w:style w:type="paragraph" w:customStyle="1" w:styleId="87">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8">
    <w:name w:val="xl5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9">
    <w:name w:val="xl5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0">
    <w:name w:val="xl4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1">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32"/>
      <w:szCs w:val="32"/>
    </w:rPr>
  </w:style>
  <w:style w:type="paragraph" w:customStyle="1" w:styleId="92">
    <w:name w:val="4.a."/>
    <w:basedOn w:val="1"/>
    <w:qFormat/>
    <w:uiPriority w:val="0"/>
    <w:pPr>
      <w:adjustRightInd w:val="0"/>
      <w:snapToGrid w:val="0"/>
      <w:spacing w:beforeLines="20" w:afterLines="20" w:line="300" w:lineRule="auto"/>
      <w:ind w:left="2898" w:leftChars="1114" w:hanging="224" w:hangingChars="80"/>
      <w:jc w:val="left"/>
    </w:pPr>
    <w:rPr>
      <w:rFonts w:eastAsia="DFKai-SB"/>
      <w:szCs w:val="28"/>
      <w:lang w:eastAsia="zh-TW"/>
    </w:rPr>
  </w:style>
  <w:style w:type="paragraph" w:customStyle="1" w:styleId="93">
    <w:name w:val="xl6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4">
    <w:name w:val="xl4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5">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6">
    <w:name w:val="Table Text"/>
    <w:qFormat/>
    <w:uiPriority w:val="0"/>
    <w:pPr>
      <w:snapToGrid w:val="0"/>
      <w:spacing w:before="80" w:after="80"/>
    </w:pPr>
    <w:rPr>
      <w:rFonts w:ascii="Arial" w:hAnsi="Arial" w:cs="Times New Roman" w:eastAsiaTheme="minorEastAsia"/>
      <w:sz w:val="18"/>
      <w:lang w:val="en-US" w:eastAsia="en-US" w:bidi="ar-SA"/>
    </w:rPr>
  </w:style>
  <w:style w:type="paragraph" w:customStyle="1" w:styleId="97">
    <w:name w:val="Char Char Char Char Char Char Char"/>
    <w:basedOn w:val="1"/>
    <w:qFormat/>
    <w:uiPriority w:val="0"/>
    <w:rPr>
      <w:rFonts w:ascii="Tahoma" w:hAnsi="Tahoma"/>
      <w:sz w:val="24"/>
      <w:szCs w:val="20"/>
    </w:rPr>
  </w:style>
  <w:style w:type="paragraph" w:customStyle="1" w:styleId="98">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9">
    <w:name w:val="正文 New New New New"/>
    <w:qFormat/>
    <w:uiPriority w:val="0"/>
    <w:pPr>
      <w:widowControl w:val="0"/>
      <w:jc w:val="both"/>
    </w:pPr>
    <w:rPr>
      <w:rFonts w:ascii="Calibri" w:hAnsi="Calibri" w:cs="Times New Roman" w:eastAsiaTheme="minorEastAsia"/>
      <w:szCs w:val="24"/>
      <w:lang w:val="en-US" w:eastAsia="zh-CN" w:bidi="ar-SA"/>
    </w:rPr>
  </w:style>
  <w:style w:type="paragraph" w:customStyle="1" w:styleId="100">
    <w:name w:val="Char"/>
    <w:basedOn w:val="1"/>
    <w:qFormat/>
    <w:uiPriority w:val="0"/>
    <w:rPr>
      <w:rFonts w:ascii="Tahoma" w:hAnsi="Tahoma"/>
      <w:sz w:val="24"/>
      <w:szCs w:val="20"/>
    </w:rPr>
  </w:style>
  <w:style w:type="paragraph" w:customStyle="1" w:styleId="101">
    <w:name w:val="列出段落1"/>
    <w:basedOn w:val="1"/>
    <w:qFormat/>
    <w:uiPriority w:val="34"/>
    <w:pPr>
      <w:ind w:firstLine="420" w:firstLineChars="200"/>
    </w:pPr>
    <w:rPr>
      <w:sz w:val="21"/>
      <w:szCs w:val="22"/>
    </w:rPr>
  </w:style>
  <w:style w:type="paragraph" w:customStyle="1" w:styleId="102">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 w:val="21"/>
      <w:szCs w:val="20"/>
      <w:lang w:eastAsia="en-US"/>
    </w:rPr>
  </w:style>
  <w:style w:type="paragraph" w:customStyle="1" w:styleId="103">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04">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0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06">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0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08">
    <w:name w:val="Char Char Char Char Char Char Char Char Char Char Char Char Char"/>
    <w:basedOn w:val="14"/>
    <w:qFormat/>
    <w:uiPriority w:val="0"/>
    <w:rPr>
      <w:rFonts w:ascii="Tahoma" w:hAnsi="Tahoma"/>
      <w:sz w:val="24"/>
    </w:rPr>
  </w:style>
  <w:style w:type="paragraph" w:customStyle="1" w:styleId="109">
    <w:name w:val="ptdl"/>
    <w:basedOn w:val="1"/>
    <w:qFormat/>
    <w:uiPriority w:val="0"/>
    <w:pPr>
      <w:spacing w:after="156"/>
      <w:ind w:firstLine="480"/>
    </w:pPr>
    <w:rPr>
      <w:sz w:val="24"/>
      <w:szCs w:val="20"/>
    </w:rPr>
  </w:style>
  <w:style w:type="paragraph" w:customStyle="1" w:styleId="110">
    <w:name w:val="Char1 Char Char Char Char Char Char Char Char Char1 Char"/>
    <w:basedOn w:val="1"/>
    <w:qFormat/>
    <w:uiPriority w:val="0"/>
    <w:rPr>
      <w:rFonts w:ascii="Tahoma" w:hAnsi="Tahoma"/>
      <w:sz w:val="24"/>
      <w:szCs w:val="20"/>
    </w:rPr>
  </w:style>
  <w:style w:type="paragraph" w:customStyle="1" w:styleId="111">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12">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13">
    <w:name w:val="标3"/>
    <w:basedOn w:val="1"/>
    <w:qFormat/>
    <w:uiPriority w:val="0"/>
    <w:pPr>
      <w:numPr>
        <w:ilvl w:val="2"/>
        <w:numId w:val="3"/>
      </w:numPr>
      <w:tabs>
        <w:tab w:val="left" w:pos="1740"/>
        <w:tab w:val="clear" w:pos="1260"/>
      </w:tabs>
      <w:adjustRightInd w:val="0"/>
      <w:snapToGrid w:val="0"/>
      <w:spacing w:before="50"/>
      <w:ind w:left="1740"/>
      <w:outlineLvl w:val="2"/>
    </w:pPr>
    <w:rPr>
      <w:rFonts w:ascii="Arial Narrow" w:hAnsi="Arial Narrow" w:eastAsia="仿宋_GB2312"/>
      <w:szCs w:val="20"/>
    </w:rPr>
  </w:style>
  <w:style w:type="paragraph" w:customStyle="1" w:styleId="114">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15">
    <w:name w:val="xl52"/>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16">
    <w:name w:val="列出段落11"/>
    <w:basedOn w:val="1"/>
    <w:qFormat/>
    <w:uiPriority w:val="34"/>
    <w:pPr>
      <w:ind w:firstLine="420" w:firstLineChars="200"/>
    </w:pPr>
    <w:rPr>
      <w:sz w:val="21"/>
      <w:szCs w:val="22"/>
    </w:rPr>
  </w:style>
  <w:style w:type="paragraph" w:customStyle="1" w:styleId="117">
    <w:name w:val="xl3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18">
    <w:name w:val="Table Text Char"/>
    <w:qFormat/>
    <w:uiPriority w:val="0"/>
    <w:pPr>
      <w:snapToGrid w:val="0"/>
      <w:spacing w:before="80" w:after="80"/>
    </w:pPr>
    <w:rPr>
      <w:rFonts w:ascii="Arial" w:hAnsi="Arial" w:cs="Times New Roman" w:eastAsiaTheme="minorEastAsia"/>
      <w:kern w:val="2"/>
      <w:sz w:val="18"/>
      <w:lang w:val="en-US" w:eastAsia="zh-CN" w:bidi="ar-SA"/>
    </w:rPr>
  </w:style>
  <w:style w:type="paragraph" w:customStyle="1" w:styleId="119">
    <w:name w:val="xl6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0">
    <w:name w:val="xl4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1">
    <w:name w:val="样式3"/>
    <w:basedOn w:val="22"/>
    <w:qFormat/>
    <w:uiPriority w:val="0"/>
    <w:pPr>
      <w:spacing w:line="0" w:lineRule="atLeast"/>
      <w:outlineLvl w:val="0"/>
    </w:pPr>
    <w:rPr>
      <w:rFonts w:hint="eastAsia"/>
      <w:sz w:val="28"/>
    </w:rPr>
  </w:style>
  <w:style w:type="paragraph" w:customStyle="1" w:styleId="122">
    <w:name w:val="xl2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3">
    <w:name w:val="xl3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4">
    <w:name w:val="列出段落2"/>
    <w:basedOn w:val="1"/>
    <w:qFormat/>
    <w:uiPriority w:val="0"/>
    <w:pPr>
      <w:ind w:firstLine="420" w:firstLineChars="200"/>
    </w:pPr>
    <w:rPr>
      <w:sz w:val="21"/>
      <w:szCs w:val="20"/>
    </w:rPr>
  </w:style>
  <w:style w:type="paragraph" w:customStyle="1" w:styleId="125">
    <w:name w:val="样式 标题 3Heading 3 - oldlevel_3PIM 3H3Level 3 Headl3CTprop...1"/>
    <w:basedOn w:val="4"/>
    <w:qFormat/>
    <w:uiPriority w:val="0"/>
    <w:pPr>
      <w:spacing w:before="120" w:after="120"/>
      <w:ind w:firstLine="723" w:firstLineChars="200"/>
      <w:jc w:val="center"/>
    </w:pPr>
    <w:rPr>
      <w:rFonts w:eastAsia="黑体" w:cs="宋体"/>
      <w:color w:val="000000"/>
      <w:sz w:val="36"/>
      <w:szCs w:val="36"/>
    </w:rPr>
  </w:style>
  <w:style w:type="paragraph" w:customStyle="1" w:styleId="126">
    <w:name w:val="样式1"/>
    <w:basedOn w:val="2"/>
    <w:qFormat/>
    <w:uiPriority w:val="0"/>
    <w:pPr>
      <w:spacing w:line="0" w:lineRule="atLeast"/>
      <w:jc w:val="center"/>
    </w:pPr>
    <w:rPr>
      <w:rFonts w:eastAsia="黑体"/>
      <w:b w:val="0"/>
      <w:bCs w:val="0"/>
      <w:sz w:val="36"/>
      <w:szCs w:val="20"/>
    </w:rPr>
  </w:style>
  <w:style w:type="paragraph" w:customStyle="1" w:styleId="127">
    <w:name w:val="Char Char Char Char"/>
    <w:basedOn w:val="1"/>
    <w:qFormat/>
    <w:uiPriority w:val="0"/>
    <w:rPr>
      <w:rFonts w:ascii="Tahoma" w:hAnsi="Tahoma" w:cs="Tahoma"/>
      <w:sz w:val="24"/>
    </w:rPr>
  </w:style>
  <w:style w:type="paragraph" w:customStyle="1" w:styleId="128">
    <w:name w:val="xl4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9">
    <w:name w:val="xl53"/>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0">
    <w:name w:val="xl59"/>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1">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32">
    <w:name w:val="xl6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3">
    <w:name w:val="正文非缩进"/>
    <w:basedOn w:val="1"/>
    <w:next w:val="22"/>
    <w:qFormat/>
    <w:uiPriority w:val="0"/>
    <w:rPr>
      <w:rFonts w:ascii="宋体" w:hAnsi="Courier New"/>
      <w:sz w:val="21"/>
      <w:szCs w:val="21"/>
    </w:rPr>
  </w:style>
  <w:style w:type="paragraph" w:customStyle="1" w:styleId="13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
    <w:name w:val="xl5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32"/>
      <w:szCs w:val="32"/>
    </w:rPr>
  </w:style>
  <w:style w:type="paragraph" w:customStyle="1" w:styleId="136">
    <w:name w:val="Char3"/>
    <w:basedOn w:val="1"/>
    <w:qFormat/>
    <w:uiPriority w:val="0"/>
    <w:pPr>
      <w:widowControl/>
      <w:spacing w:after="160" w:line="240" w:lineRule="exact"/>
      <w:jc w:val="left"/>
    </w:pPr>
    <w:rPr>
      <w:rFonts w:ascii="Verdana" w:hAnsi="Verdana"/>
      <w:kern w:val="0"/>
      <w:sz w:val="20"/>
      <w:szCs w:val="20"/>
      <w:lang w:eastAsia="en-US"/>
    </w:rPr>
  </w:style>
  <w:style w:type="paragraph" w:customStyle="1" w:styleId="137">
    <w:name w:val="xl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8">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9">
    <w:name w:val="xl5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40">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41">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42">
    <w:name w:val="Char Char Char Char Char Char Char Char Char Char"/>
    <w:basedOn w:val="1"/>
    <w:qFormat/>
    <w:uiPriority w:val="0"/>
    <w:rPr>
      <w:rFonts w:ascii="Tahoma" w:hAnsi="Tahoma"/>
      <w:sz w:val="24"/>
      <w:szCs w:val="20"/>
    </w:rPr>
  </w:style>
  <w:style w:type="paragraph" w:customStyle="1" w:styleId="143">
    <w:name w:val="表头文本"/>
    <w:basedOn w:val="1"/>
    <w:qFormat/>
    <w:uiPriority w:val="0"/>
    <w:pPr>
      <w:autoSpaceDE w:val="0"/>
      <w:autoSpaceDN w:val="0"/>
      <w:adjustRightInd w:val="0"/>
      <w:jc w:val="center"/>
    </w:pPr>
    <w:rPr>
      <w:b/>
      <w:kern w:val="0"/>
      <w:sz w:val="24"/>
      <w:szCs w:val="20"/>
    </w:rPr>
  </w:style>
  <w:style w:type="paragraph" w:customStyle="1" w:styleId="144">
    <w:name w:val="xl50"/>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styleId="145">
    <w:name w:val="List Paragraph"/>
    <w:basedOn w:val="1"/>
    <w:qFormat/>
    <w:uiPriority w:val="99"/>
    <w:pPr>
      <w:ind w:firstLine="420" w:firstLineChars="200"/>
    </w:pPr>
  </w:style>
  <w:style w:type="character" w:customStyle="1" w:styleId="146">
    <w:name w:val="HTML 预设格式 Char"/>
    <w:basedOn w:val="41"/>
    <w:qFormat/>
    <w:uiPriority w:val="0"/>
    <w:rPr>
      <w:rFonts w:ascii="Arial" w:hAnsi="Arial"/>
      <w:sz w:val="24"/>
      <w:szCs w:val="24"/>
    </w:rPr>
  </w:style>
  <w:style w:type="character" w:customStyle="1" w:styleId="147">
    <w:name w:val="HTML 预设格式 Char1"/>
    <w:basedOn w:val="41"/>
    <w:link w:val="36"/>
    <w:semiHidden/>
    <w:qFormat/>
    <w:uiPriority w:val="0"/>
    <w:rPr>
      <w:rFonts w:ascii="Courier New" w:hAnsi="Courier New" w:cs="Courier New"/>
      <w:kern w:val="2"/>
    </w:rPr>
  </w:style>
  <w:style w:type="paragraph" w:customStyle="1" w:styleId="148">
    <w:name w:val="样式 标题 2PIM2H2Heading 2 Hidden2nd levelh22Header 2l2DO N...2"/>
    <w:basedOn w:val="3"/>
    <w:qFormat/>
    <w:uiPriority w:val="0"/>
    <w:pPr>
      <w:spacing w:before="120" w:after="0" w:line="415" w:lineRule="auto"/>
      <w:jc w:val="center"/>
    </w:pPr>
    <w:rPr>
      <w:rFonts w:cs="宋体"/>
      <w:color w:val="000000"/>
      <w:sz w:val="28"/>
      <w:szCs w:val="24"/>
    </w:rPr>
  </w:style>
  <w:style w:type="character" w:customStyle="1" w:styleId="149">
    <w:name w:val="批注主题 Char"/>
    <w:basedOn w:val="71"/>
    <w:link w:val="38"/>
    <w:semiHidden/>
    <w:qFormat/>
    <w:uiPriority w:val="0"/>
    <w:rPr>
      <w:rFonts w:ascii="Calibri" w:hAnsi="Calibri" w:eastAsiaTheme="minorEastAsia"/>
      <w:b/>
      <w:bCs/>
      <w:kern w:val="2"/>
      <w:sz w:val="28"/>
      <w:szCs w:val="24"/>
    </w:rPr>
  </w:style>
  <w:style w:type="character" w:customStyle="1" w:styleId="150">
    <w:name w:val="fontstyle01"/>
    <w:qFormat/>
    <w:uiPriority w:val="0"/>
    <w:rPr>
      <w:rFonts w:hint="eastAsia" w:ascii="宋体" w:hAnsi="宋体" w:eastAsia="宋体"/>
      <w:color w:val="000000"/>
      <w:sz w:val="24"/>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758807F-7113-45DF-B2D0-4986D354B13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52</Pages>
  <Words>5002</Words>
  <Characters>28515</Characters>
  <Lines>237</Lines>
  <Paragraphs>66</Paragraphs>
  <TotalTime>1</TotalTime>
  <ScaleCrop>false</ScaleCrop>
  <LinksUpToDate>false</LinksUpToDate>
  <CharactersWithSpaces>33451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2020-08-11T09:39:00Z</dcterms:created>
  <dc:creator>YlmF</dc:creator>
  <cp:lastModifiedBy>♚0818</cp:lastModifiedBy>
  <cp:lastPrinted>2015-12-13T02:02:00Z</cp:lastPrinted>
  <dcterms:modified xsi:type="dcterms:W3CDTF">2021-10-12T08:20:43Z</dcterms:modified>
  <dc:title>目   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C47576A81FCD4AE096C3813EC6832187</vt:lpwstr>
  </property>
</Properties>
</file>